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71098337"/>
    <w:p w14:paraId="32D02F96" w14:textId="288E43C1" w:rsidR="00827017" w:rsidRPr="005F20F5" w:rsidRDefault="00827017" w:rsidP="00827017">
      <w:pPr>
        <w:sectPr w:rsidR="00827017" w:rsidRPr="005F20F5" w:rsidSect="00872AF9">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09" w:footer="709" w:gutter="0"/>
          <w:cols w:space="708"/>
          <w:titlePg/>
          <w:docGrid w:linePitch="360"/>
        </w:sectPr>
      </w:pPr>
      <w:r w:rsidRPr="005F20F5">
        <w:rPr>
          <w:noProof/>
          <w:sz w:val="44"/>
          <w:lang w:eastAsia="en-AU"/>
        </w:rPr>
        <mc:AlternateContent>
          <mc:Choice Requires="wps">
            <w:drawing>
              <wp:inline distT="0" distB="0" distL="0" distR="0" wp14:anchorId="09B95CB9" wp14:editId="0D0E5158">
                <wp:extent cx="5760000" cy="8534400"/>
                <wp:effectExtent l="0" t="0" r="127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34400"/>
                        </a:xfrm>
                        <a:prstGeom prst="rect">
                          <a:avLst/>
                        </a:prstGeom>
                        <a:solidFill>
                          <a:schemeClr val="bg2"/>
                        </a:solidFill>
                        <a:ln w="9525" cap="rnd">
                          <a:solidFill>
                            <a:srgbClr val="000000"/>
                          </a:solidFill>
                          <a:round/>
                          <a:headEnd/>
                          <a:tailEnd/>
                        </a:ln>
                        <a:effectLst>
                          <a:softEdge rad="31750"/>
                        </a:effectLst>
                      </wps:spPr>
                      <wps:txbx>
                        <w:txbxContent>
                          <w:p w14:paraId="7E5D2AF4" w14:textId="77777777" w:rsidR="006F0E04" w:rsidRPr="00EC73BF" w:rsidRDefault="006F0E04" w:rsidP="00827017"/>
                          <w:p w14:paraId="5745CC19" w14:textId="77777777" w:rsidR="006F0E04" w:rsidRDefault="006F0E04" w:rsidP="00827017"/>
                          <w:p w14:paraId="2BB3C5DB" w14:textId="77777777" w:rsidR="006F0E04" w:rsidRDefault="006F0E04" w:rsidP="00827017"/>
                          <w:p w14:paraId="2ABA362E" w14:textId="77777777" w:rsidR="006F0E04" w:rsidRPr="00827017" w:rsidRDefault="006F0E04" w:rsidP="00827017">
                            <w:pPr>
                              <w:jc w:val="center"/>
                              <w:rPr>
                                <w:b/>
                                <w:color w:val="FEFFFF" w:themeColor="background1"/>
                                <w:sz w:val="32"/>
                                <w:szCs w:val="32"/>
                              </w:rPr>
                            </w:pPr>
                            <w:r w:rsidRPr="00827017">
                              <w:rPr>
                                <w:b/>
                                <w:color w:val="FEFFFF" w:themeColor="background1"/>
                                <w:sz w:val="32"/>
                                <w:szCs w:val="32"/>
                              </w:rPr>
                              <w:t>National Disability Insurance Scheme</w:t>
                            </w:r>
                          </w:p>
                          <w:p w14:paraId="44BD5176" w14:textId="77777777" w:rsidR="006F0E04" w:rsidRDefault="006F0E04" w:rsidP="00827017">
                            <w:pPr>
                              <w:jc w:val="center"/>
                              <w:rPr>
                                <w:b/>
                                <w:color w:val="FEFFFF" w:themeColor="background1"/>
                              </w:rPr>
                            </w:pPr>
                          </w:p>
                          <w:p w14:paraId="2DEAF209" w14:textId="77777777" w:rsidR="006F0E04" w:rsidRDefault="006F0E04" w:rsidP="00827017">
                            <w:pPr>
                              <w:jc w:val="center"/>
                              <w:rPr>
                                <w:b/>
                                <w:color w:val="FEFFFF" w:themeColor="background1"/>
                              </w:rPr>
                            </w:pPr>
                          </w:p>
                          <w:p w14:paraId="295418C4" w14:textId="77777777" w:rsidR="006F0E04" w:rsidRDefault="006F0E04" w:rsidP="00827017">
                            <w:pPr>
                              <w:jc w:val="center"/>
                              <w:rPr>
                                <w:b/>
                                <w:color w:val="FEFFFF" w:themeColor="background1"/>
                              </w:rPr>
                            </w:pPr>
                          </w:p>
                          <w:p w14:paraId="237B054A" w14:textId="77777777" w:rsidR="00217257" w:rsidRPr="00A33670" w:rsidRDefault="00217257" w:rsidP="00827017">
                            <w:pPr>
                              <w:jc w:val="center"/>
                              <w:rPr>
                                <w:b/>
                                <w:color w:val="FF0000"/>
                                <w:sz w:val="52"/>
                                <w:szCs w:val="52"/>
                              </w:rPr>
                            </w:pPr>
                          </w:p>
                          <w:p w14:paraId="2A4D1634" w14:textId="77777777" w:rsidR="006F0E04" w:rsidRPr="005E5772" w:rsidRDefault="006F0E04" w:rsidP="00827017">
                            <w:pPr>
                              <w:jc w:val="center"/>
                              <w:rPr>
                                <w:b/>
                                <w:color w:val="FEFFFF" w:themeColor="background1"/>
                              </w:rPr>
                            </w:pPr>
                          </w:p>
                          <w:p w14:paraId="3A279B0E" w14:textId="77777777" w:rsidR="006F0E04" w:rsidRDefault="006F0E04" w:rsidP="003F2371">
                            <w:pPr>
                              <w:jc w:val="center"/>
                              <w:rPr>
                                <w:b/>
                                <w:color w:val="FEFFFF" w:themeColor="background1"/>
                                <w:sz w:val="48"/>
                                <w:szCs w:val="48"/>
                              </w:rPr>
                            </w:pPr>
                            <w:r>
                              <w:rPr>
                                <w:b/>
                                <w:color w:val="FEFFFF" w:themeColor="background1"/>
                                <w:sz w:val="48"/>
                                <w:szCs w:val="48"/>
                              </w:rPr>
                              <w:t xml:space="preserve">Specialist Disability Accommodation Pricing </w:t>
                            </w:r>
                            <w:r w:rsidRPr="00827017">
                              <w:rPr>
                                <w:b/>
                                <w:color w:val="FEFFFF" w:themeColor="background1"/>
                                <w:sz w:val="48"/>
                                <w:szCs w:val="48"/>
                              </w:rPr>
                              <w:t>Review</w:t>
                            </w:r>
                          </w:p>
                          <w:p w14:paraId="1C744034" w14:textId="77777777" w:rsidR="006F0E04" w:rsidRDefault="006F0E04" w:rsidP="008F6FA8">
                            <w:pPr>
                              <w:jc w:val="center"/>
                              <w:rPr>
                                <w:b/>
                                <w:color w:val="FEFFFF" w:themeColor="background1"/>
                                <w:sz w:val="48"/>
                                <w:szCs w:val="48"/>
                              </w:rPr>
                            </w:pPr>
                            <w:r>
                              <w:rPr>
                                <w:b/>
                                <w:color w:val="FEFFFF" w:themeColor="background1"/>
                                <w:sz w:val="48"/>
                                <w:szCs w:val="48"/>
                              </w:rPr>
                              <w:t>2022-23</w:t>
                            </w:r>
                          </w:p>
                          <w:p w14:paraId="06C58B29" w14:textId="53D554EB" w:rsidR="006F0E04" w:rsidRPr="00827017" w:rsidRDefault="006F0E04" w:rsidP="003F2371">
                            <w:pPr>
                              <w:jc w:val="center"/>
                              <w:rPr>
                                <w:b/>
                                <w:color w:val="FEFFFF" w:themeColor="background1"/>
                                <w:sz w:val="48"/>
                                <w:szCs w:val="48"/>
                              </w:rPr>
                            </w:pPr>
                            <w:r w:rsidRPr="00827017">
                              <w:rPr>
                                <w:b/>
                                <w:color w:val="FEFFFF" w:themeColor="background1"/>
                                <w:sz w:val="48"/>
                                <w:szCs w:val="48"/>
                              </w:rPr>
                              <w:t xml:space="preserve"> </w:t>
                            </w:r>
                          </w:p>
                          <w:p w14:paraId="63784F5A" w14:textId="77777777" w:rsidR="006F0E04" w:rsidRPr="005E5772" w:rsidRDefault="006F0E04" w:rsidP="00827017">
                            <w:pPr>
                              <w:jc w:val="center"/>
                              <w:rPr>
                                <w:b/>
                                <w:color w:val="FEFFFF" w:themeColor="background1"/>
                                <w:sz w:val="40"/>
                                <w:szCs w:val="56"/>
                              </w:rPr>
                            </w:pPr>
                          </w:p>
                          <w:p w14:paraId="19891706" w14:textId="77777777" w:rsidR="006F0E04" w:rsidRPr="005E5772" w:rsidRDefault="006F0E04" w:rsidP="00827017">
                            <w:pPr>
                              <w:jc w:val="center"/>
                              <w:rPr>
                                <w:b/>
                                <w:color w:val="FEFFFF" w:themeColor="background1"/>
                                <w:sz w:val="40"/>
                                <w:szCs w:val="56"/>
                              </w:rPr>
                            </w:pPr>
                          </w:p>
                          <w:p w14:paraId="6230A2C2" w14:textId="16D716F8" w:rsidR="006F0E04" w:rsidRPr="005E5772" w:rsidRDefault="006F0E04" w:rsidP="00827017">
                            <w:pPr>
                              <w:jc w:val="center"/>
                              <w:rPr>
                                <w:b/>
                                <w:color w:val="FEFFFF" w:themeColor="background1"/>
                                <w:sz w:val="36"/>
                                <w:szCs w:val="36"/>
                              </w:rPr>
                            </w:pPr>
                            <w:r>
                              <w:rPr>
                                <w:b/>
                                <w:color w:val="FEFFFF" w:themeColor="background1"/>
                                <w:sz w:val="36"/>
                                <w:szCs w:val="36"/>
                              </w:rPr>
                              <w:t>Consultation Paper</w:t>
                            </w:r>
                          </w:p>
                          <w:p w14:paraId="7EE0D7C5" w14:textId="5931CBB1" w:rsidR="006F0E04" w:rsidRPr="005E5772" w:rsidRDefault="001F75B7" w:rsidP="00827017">
                            <w:pPr>
                              <w:spacing w:before="3000"/>
                              <w:jc w:val="center"/>
                              <w:rPr>
                                <w:b/>
                                <w:color w:val="FEFFFF" w:themeColor="background1"/>
                                <w:sz w:val="28"/>
                                <w:szCs w:val="28"/>
                              </w:rPr>
                            </w:pPr>
                            <w:r>
                              <w:rPr>
                                <w:b/>
                                <w:color w:val="FEFFFF" w:themeColor="background1"/>
                                <w:sz w:val="36"/>
                                <w:szCs w:val="36"/>
                              </w:rPr>
                              <w:t xml:space="preserve">October </w:t>
                            </w:r>
                            <w:r w:rsidR="006F0E04">
                              <w:rPr>
                                <w:b/>
                                <w:color w:val="FEFFFF" w:themeColor="background1"/>
                                <w:sz w:val="36"/>
                                <w:szCs w:val="36"/>
                              </w:rPr>
                              <w:t>2022</w:t>
                            </w:r>
                          </w:p>
                        </w:txbxContent>
                      </wps:txbx>
                      <wps:bodyPr rot="0" vert="horz" wrap="square" lIns="91440" tIns="45720" rIns="91440" bIns="45720" anchor="t" anchorCtr="0">
                        <a:noAutofit/>
                      </wps:bodyPr>
                    </wps:wsp>
                  </a:graphicData>
                </a:graphic>
              </wp:inline>
            </w:drawing>
          </mc:Choice>
          <mc:Fallback>
            <w:pict>
              <v:shapetype w14:anchorId="09B95CB9" id="_x0000_t202" coordsize="21600,21600" o:spt="202" path="m,l,21600r21600,l21600,xe">
                <v:stroke joinstyle="miter"/>
                <v:path gradientshapeok="t" o:connecttype="rect"/>
              </v:shapetype>
              <v:shape id="Text Box 2" o:spid="_x0000_s1026" type="#_x0000_t202" style="width:453.55pt;height:6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" fillcolor="#6b2976 [3214]">
                <v:stroke joinstyle="round" endcap="round"/>
                <v:textbox>
                  <w:txbxContent>
                    <w:p w14:paraId="7E5D2AF4" w14:textId="77777777" w:rsidR="006F0E04" w:rsidRPr="00EC73BF" w:rsidRDefault="006F0E04" w:rsidP="00827017"/>
                    <w:p w14:paraId="5745CC19" w14:textId="77777777" w:rsidR="006F0E04" w:rsidRDefault="006F0E04" w:rsidP="00827017"/>
                    <w:p w14:paraId="2BB3C5DB" w14:textId="77777777" w:rsidR="006F0E04" w:rsidRDefault="006F0E04" w:rsidP="00827017"/>
                    <w:p w14:paraId="2ABA362E" w14:textId="77777777" w:rsidR="006F0E04" w:rsidRPr="00827017" w:rsidRDefault="006F0E04" w:rsidP="00827017">
                      <w:pPr>
                        <w:jc w:val="center"/>
                        <w:rPr>
                          <w:b/>
                          <w:color w:val="FEFFFF" w:themeColor="background1"/>
                          <w:sz w:val="32"/>
                          <w:szCs w:val="32"/>
                        </w:rPr>
                      </w:pPr>
                      <w:r w:rsidRPr="00827017">
                        <w:rPr>
                          <w:b/>
                          <w:color w:val="FEFFFF" w:themeColor="background1"/>
                          <w:sz w:val="32"/>
                          <w:szCs w:val="32"/>
                        </w:rPr>
                        <w:t>National Disability Insurance Scheme</w:t>
                      </w:r>
                    </w:p>
                    <w:p w14:paraId="44BD5176" w14:textId="77777777" w:rsidR="006F0E04" w:rsidRDefault="006F0E04" w:rsidP="00827017">
                      <w:pPr>
                        <w:jc w:val="center"/>
                        <w:rPr>
                          <w:b/>
                          <w:color w:val="FEFFFF" w:themeColor="background1"/>
                        </w:rPr>
                      </w:pPr>
                    </w:p>
                    <w:p w14:paraId="2DEAF209" w14:textId="77777777" w:rsidR="006F0E04" w:rsidRDefault="006F0E04" w:rsidP="00827017">
                      <w:pPr>
                        <w:jc w:val="center"/>
                        <w:rPr>
                          <w:b/>
                          <w:color w:val="FEFFFF" w:themeColor="background1"/>
                        </w:rPr>
                      </w:pPr>
                    </w:p>
                    <w:p w14:paraId="295418C4" w14:textId="77777777" w:rsidR="006F0E04" w:rsidRDefault="006F0E04" w:rsidP="00827017">
                      <w:pPr>
                        <w:jc w:val="center"/>
                        <w:rPr>
                          <w:b/>
                          <w:color w:val="FEFFFF" w:themeColor="background1"/>
                        </w:rPr>
                      </w:pPr>
                    </w:p>
                    <w:p w14:paraId="237B054A" w14:textId="77777777" w:rsidR="00217257" w:rsidRPr="00A33670" w:rsidRDefault="00217257" w:rsidP="00827017">
                      <w:pPr>
                        <w:jc w:val="center"/>
                        <w:rPr>
                          <w:b/>
                          <w:color w:val="FF0000"/>
                          <w:sz w:val="52"/>
                          <w:szCs w:val="52"/>
                        </w:rPr>
                      </w:pPr>
                    </w:p>
                    <w:p w14:paraId="2A4D1634" w14:textId="77777777" w:rsidR="006F0E04" w:rsidRPr="005E5772" w:rsidRDefault="006F0E04" w:rsidP="00827017">
                      <w:pPr>
                        <w:jc w:val="center"/>
                        <w:rPr>
                          <w:b/>
                          <w:color w:val="FEFFFF" w:themeColor="background1"/>
                        </w:rPr>
                      </w:pPr>
                    </w:p>
                    <w:p w14:paraId="3A279B0E" w14:textId="77777777" w:rsidR="006F0E04" w:rsidRDefault="006F0E04" w:rsidP="003F2371">
                      <w:pPr>
                        <w:jc w:val="center"/>
                        <w:rPr>
                          <w:b/>
                          <w:color w:val="FEFFFF" w:themeColor="background1"/>
                          <w:sz w:val="48"/>
                          <w:szCs w:val="48"/>
                        </w:rPr>
                      </w:pPr>
                      <w:r>
                        <w:rPr>
                          <w:b/>
                          <w:color w:val="FEFFFF" w:themeColor="background1"/>
                          <w:sz w:val="48"/>
                          <w:szCs w:val="48"/>
                        </w:rPr>
                        <w:t xml:space="preserve">Specialist Disability Accommodation Pricing </w:t>
                      </w:r>
                      <w:r w:rsidRPr="00827017">
                        <w:rPr>
                          <w:b/>
                          <w:color w:val="FEFFFF" w:themeColor="background1"/>
                          <w:sz w:val="48"/>
                          <w:szCs w:val="48"/>
                        </w:rPr>
                        <w:t>Review</w:t>
                      </w:r>
                    </w:p>
                    <w:p w14:paraId="1C744034" w14:textId="77777777" w:rsidR="006F0E04" w:rsidRDefault="006F0E04" w:rsidP="008F6FA8">
                      <w:pPr>
                        <w:jc w:val="center"/>
                        <w:rPr>
                          <w:b/>
                          <w:color w:val="FEFFFF" w:themeColor="background1"/>
                          <w:sz w:val="48"/>
                          <w:szCs w:val="48"/>
                        </w:rPr>
                      </w:pPr>
                      <w:r>
                        <w:rPr>
                          <w:b/>
                          <w:color w:val="FEFFFF" w:themeColor="background1"/>
                          <w:sz w:val="48"/>
                          <w:szCs w:val="48"/>
                        </w:rPr>
                        <w:t>2022-23</w:t>
                      </w:r>
                    </w:p>
                    <w:p w14:paraId="06C58B29" w14:textId="53D554EB" w:rsidR="006F0E04" w:rsidRPr="00827017" w:rsidRDefault="006F0E04" w:rsidP="003F2371">
                      <w:pPr>
                        <w:jc w:val="center"/>
                        <w:rPr>
                          <w:b/>
                          <w:color w:val="FEFFFF" w:themeColor="background1"/>
                          <w:sz w:val="48"/>
                          <w:szCs w:val="48"/>
                        </w:rPr>
                      </w:pPr>
                      <w:r w:rsidRPr="00827017">
                        <w:rPr>
                          <w:b/>
                          <w:color w:val="FEFFFF" w:themeColor="background1"/>
                          <w:sz w:val="48"/>
                          <w:szCs w:val="48"/>
                        </w:rPr>
                        <w:t xml:space="preserve"> </w:t>
                      </w:r>
                    </w:p>
                    <w:p w14:paraId="63784F5A" w14:textId="77777777" w:rsidR="006F0E04" w:rsidRPr="005E5772" w:rsidRDefault="006F0E04" w:rsidP="00827017">
                      <w:pPr>
                        <w:jc w:val="center"/>
                        <w:rPr>
                          <w:b/>
                          <w:color w:val="FEFFFF" w:themeColor="background1"/>
                          <w:sz w:val="40"/>
                          <w:szCs w:val="56"/>
                        </w:rPr>
                      </w:pPr>
                    </w:p>
                    <w:p w14:paraId="19891706" w14:textId="77777777" w:rsidR="006F0E04" w:rsidRPr="005E5772" w:rsidRDefault="006F0E04" w:rsidP="00827017">
                      <w:pPr>
                        <w:jc w:val="center"/>
                        <w:rPr>
                          <w:b/>
                          <w:color w:val="FEFFFF" w:themeColor="background1"/>
                          <w:sz w:val="40"/>
                          <w:szCs w:val="56"/>
                        </w:rPr>
                      </w:pPr>
                    </w:p>
                    <w:p w14:paraId="6230A2C2" w14:textId="16D716F8" w:rsidR="006F0E04" w:rsidRPr="005E5772" w:rsidRDefault="006F0E04" w:rsidP="00827017">
                      <w:pPr>
                        <w:jc w:val="center"/>
                        <w:rPr>
                          <w:b/>
                          <w:color w:val="FEFFFF" w:themeColor="background1"/>
                          <w:sz w:val="36"/>
                          <w:szCs w:val="36"/>
                        </w:rPr>
                      </w:pPr>
                      <w:r>
                        <w:rPr>
                          <w:b/>
                          <w:color w:val="FEFFFF" w:themeColor="background1"/>
                          <w:sz w:val="36"/>
                          <w:szCs w:val="36"/>
                        </w:rPr>
                        <w:t>Consultation Paper</w:t>
                      </w:r>
                    </w:p>
                    <w:p w14:paraId="7EE0D7C5" w14:textId="5931CBB1" w:rsidR="006F0E04" w:rsidRPr="005E5772" w:rsidRDefault="001F75B7" w:rsidP="00827017">
                      <w:pPr>
                        <w:spacing w:before="3000"/>
                        <w:jc w:val="center"/>
                        <w:rPr>
                          <w:b/>
                          <w:color w:val="FEFFFF" w:themeColor="background1"/>
                          <w:sz w:val="28"/>
                          <w:szCs w:val="28"/>
                        </w:rPr>
                      </w:pPr>
                      <w:r>
                        <w:rPr>
                          <w:b/>
                          <w:color w:val="FEFFFF" w:themeColor="background1"/>
                          <w:sz w:val="36"/>
                          <w:szCs w:val="36"/>
                        </w:rPr>
                        <w:t xml:space="preserve">October </w:t>
                      </w:r>
                      <w:r w:rsidR="006F0E04">
                        <w:rPr>
                          <w:b/>
                          <w:color w:val="FEFFFF" w:themeColor="background1"/>
                          <w:sz w:val="36"/>
                          <w:szCs w:val="36"/>
                        </w:rPr>
                        <w:t>2022</w:t>
                      </w:r>
                    </w:p>
                  </w:txbxContent>
                </v:textbox>
                <w10:anchorlock/>
              </v:shape>
            </w:pict>
          </mc:Fallback>
        </mc:AlternateContent>
      </w:r>
      <w:r w:rsidRPr="005F20F5">
        <w:br w:type="page"/>
      </w:r>
    </w:p>
    <w:p w14:paraId="12C2A4F8" w14:textId="77777777" w:rsidR="00911CC2" w:rsidRPr="005F20F5" w:rsidRDefault="00911CC2" w:rsidP="00911CC2">
      <w:pPr>
        <w:rPr>
          <w:b/>
        </w:rPr>
      </w:pPr>
      <w:r w:rsidRPr="005F20F5">
        <w:rPr>
          <w:b/>
        </w:rPr>
        <w:lastRenderedPageBreak/>
        <w:t>Copyright</w:t>
      </w:r>
    </w:p>
    <w:p w14:paraId="503F7012" w14:textId="0FA61008" w:rsidR="00FB7819" w:rsidRPr="005F20F5" w:rsidRDefault="00FB7819" w:rsidP="00911CC2">
      <w:r w:rsidRPr="005F20F5">
        <w:t>© 202</w:t>
      </w:r>
      <w:r w:rsidR="008F6FA8">
        <w:t>2</w:t>
      </w:r>
    </w:p>
    <w:p w14:paraId="2CBB424D" w14:textId="77777777" w:rsidR="00911CC2" w:rsidRPr="005F20F5" w:rsidRDefault="00911CC2" w:rsidP="00911CC2">
      <w:r w:rsidRPr="005F20F5">
        <w:t>Copyright of the information contained in this document is owned and protected by the National Disability Insurance Scheme Launch Transition Agency (National Disability Insurance Agency).</w:t>
      </w:r>
    </w:p>
    <w:p w14:paraId="26EB3CB2" w14:textId="77777777" w:rsidR="00911CC2" w:rsidRPr="005F20F5" w:rsidRDefault="00911CC2" w:rsidP="00911CC2"/>
    <w:p w14:paraId="29843F66" w14:textId="77777777" w:rsidR="00911CC2" w:rsidRPr="005F20F5" w:rsidRDefault="00911CC2" w:rsidP="00911CC2">
      <w:pPr>
        <w:rPr>
          <w:b/>
        </w:rPr>
      </w:pPr>
      <w:r w:rsidRPr="005F20F5">
        <w:rPr>
          <w:b/>
        </w:rPr>
        <w:t>Use of National Disability Insurance Agency copyright material</w:t>
      </w:r>
    </w:p>
    <w:p w14:paraId="5180F183" w14:textId="275056BC" w:rsidR="00911CC2" w:rsidRPr="005F20F5" w:rsidRDefault="00911CC2" w:rsidP="00911CC2">
      <w:r w:rsidRPr="005F20F5">
        <w:t xml:space="preserve">The material in this report, </w:t>
      </w:r>
      <w:proofErr w:type="gramStart"/>
      <w:r w:rsidRPr="005F20F5">
        <w:t>with the exception of</w:t>
      </w:r>
      <w:proofErr w:type="gramEnd"/>
      <w:r w:rsidRPr="005F20F5">
        <w:t xml:space="preserve"> logos, trademarks, third party material and other content as specified, is licensed under Creative Commons CC NC licence, version</w:t>
      </w:r>
      <w:r w:rsidR="004D39F3">
        <w:t xml:space="preserve"> </w:t>
      </w:r>
      <w:hyperlink r:id="rId17" w:history="1">
        <w:r w:rsidR="000F4F21" w:rsidRPr="005F20F5">
          <w:rPr>
            <w:rStyle w:val="Hyperlink"/>
          </w:rPr>
          <w:t>4.0</w:t>
        </w:r>
      </w:hyperlink>
      <w:r w:rsidRPr="005F20F5">
        <w:t xml:space="preserve">. </w:t>
      </w:r>
      <w:proofErr w:type="gramStart"/>
      <w:r w:rsidRPr="005F20F5">
        <w:t>With the exception of</w:t>
      </w:r>
      <w:proofErr w:type="gramEnd"/>
      <w:r w:rsidRPr="005F20F5">
        <w:t xml:space="preserve"> logos, trademarks, third party material and other content as specified, you may reproduce the material in this document, provided you acknowledge the National Disability Insurance Agency as the owner of all intellectual property rights in the reproduced material by using ‘© National Disability Insurance Sche</w:t>
      </w:r>
      <w:r w:rsidR="00FB7819" w:rsidRPr="005F20F5">
        <w:t>me Launch Transition Agency 2021</w:t>
      </w:r>
      <w:r w:rsidRPr="005F20F5">
        <w:t>’ and do not use the material for commercial purposes.</w:t>
      </w:r>
    </w:p>
    <w:p w14:paraId="5ABE170A" w14:textId="77777777" w:rsidR="00911CC2" w:rsidRPr="005F20F5" w:rsidRDefault="00911CC2" w:rsidP="00911CC2">
      <w:r w:rsidRPr="005F20F5">
        <w:t>Reproduction of any Creative Commons material in this document is subject to the CC NC licence conditions available on the Creative Commons site, as is the full legal code for this material.</w:t>
      </w:r>
    </w:p>
    <w:p w14:paraId="4986BC6A" w14:textId="77777777" w:rsidR="00911CC2" w:rsidRPr="005F20F5" w:rsidRDefault="00911CC2" w:rsidP="00911CC2"/>
    <w:p w14:paraId="60891FF3" w14:textId="77777777" w:rsidR="00D77181" w:rsidRPr="005F20F5" w:rsidRDefault="00D77181" w:rsidP="00D77181"/>
    <w:p w14:paraId="6E37830A" w14:textId="77777777" w:rsidR="00D77181" w:rsidRPr="005F20F5" w:rsidRDefault="00D77181" w:rsidP="005C411B">
      <w:pPr>
        <w:spacing w:after="0"/>
        <w:rPr>
          <w:b/>
          <w:color w:val="6B2976" w:themeColor="background2"/>
          <w:sz w:val="36"/>
          <w:szCs w:val="36"/>
        </w:rPr>
        <w:sectPr w:rsidR="00D77181" w:rsidRPr="005F20F5" w:rsidSect="00872AF9">
          <w:headerReference w:type="even" r:id="rId18"/>
          <w:headerReference w:type="default" r:id="rId19"/>
          <w:headerReference w:type="first" r:id="rId20"/>
          <w:footerReference w:type="first" r:id="rId21"/>
          <w:pgSz w:w="11907" w:h="16839" w:code="9"/>
          <w:pgMar w:top="1440" w:right="1440" w:bottom="1440" w:left="1440" w:header="709" w:footer="709" w:gutter="0"/>
          <w:cols w:space="708"/>
          <w:titlePg/>
          <w:docGrid w:linePitch="360"/>
        </w:sectPr>
      </w:pPr>
    </w:p>
    <w:p w14:paraId="62AB1782" w14:textId="77777777" w:rsidR="007219F1" w:rsidRPr="00ED5709" w:rsidRDefault="00B13C2B" w:rsidP="00ED5709">
      <w:pPr>
        <w:pStyle w:val="TOCHeading"/>
      </w:pPr>
      <w:r w:rsidRPr="00ED5709">
        <w:lastRenderedPageBreak/>
        <w:t xml:space="preserve">Table of </w:t>
      </w:r>
      <w:r w:rsidR="007219F1" w:rsidRPr="00ED5709">
        <w:t>Contents</w:t>
      </w:r>
      <w:bookmarkEnd w:id="0"/>
    </w:p>
    <w:p w14:paraId="6C8F710F" w14:textId="5D460146" w:rsidR="004E798E" w:rsidRDefault="00F8502A">
      <w:pPr>
        <w:pStyle w:val="TOC1"/>
        <w:rPr>
          <w:rFonts w:asciiTheme="minorHAnsi" w:hAnsiTheme="minorHAnsi"/>
          <w:b w:val="0"/>
          <w:szCs w:val="28"/>
          <w:lang w:eastAsia="zh-CN" w:bidi="th-TH"/>
        </w:rPr>
      </w:pPr>
      <w:r>
        <w:fldChar w:fldCharType="begin"/>
      </w:r>
      <w:r>
        <w:instrText xml:space="preserve"> TOC \o "1-</w:instrText>
      </w:r>
      <w:r w:rsidR="001D3403">
        <w:instrText>2</w:instrText>
      </w:r>
      <w:r>
        <w:instrText xml:space="preserve">" \h \z \u </w:instrText>
      </w:r>
      <w:r>
        <w:fldChar w:fldCharType="separate"/>
      </w:r>
      <w:hyperlink w:anchor="_Toc116293066" w:history="1">
        <w:r w:rsidR="004E798E" w:rsidRPr="000957E9">
          <w:rPr>
            <w:rStyle w:val="Hyperlink"/>
          </w:rPr>
          <w:t>Introduction</w:t>
        </w:r>
        <w:r w:rsidR="004E798E">
          <w:rPr>
            <w:webHidden/>
          </w:rPr>
          <w:tab/>
        </w:r>
        <w:r w:rsidR="004E798E">
          <w:rPr>
            <w:webHidden/>
          </w:rPr>
          <w:fldChar w:fldCharType="begin"/>
        </w:r>
        <w:r w:rsidR="004E798E">
          <w:rPr>
            <w:webHidden/>
          </w:rPr>
          <w:instrText xml:space="preserve"> PAGEREF _Toc116293066 \h </w:instrText>
        </w:r>
        <w:r w:rsidR="004E798E">
          <w:rPr>
            <w:webHidden/>
          </w:rPr>
        </w:r>
        <w:r w:rsidR="004E798E">
          <w:rPr>
            <w:webHidden/>
          </w:rPr>
          <w:fldChar w:fldCharType="separate"/>
        </w:r>
        <w:r w:rsidR="00765987">
          <w:rPr>
            <w:webHidden/>
          </w:rPr>
          <w:t>5</w:t>
        </w:r>
        <w:r w:rsidR="004E798E">
          <w:rPr>
            <w:webHidden/>
          </w:rPr>
          <w:fldChar w:fldCharType="end"/>
        </w:r>
      </w:hyperlink>
    </w:p>
    <w:p w14:paraId="55F14828" w14:textId="13C73DF7" w:rsidR="004E798E" w:rsidRDefault="0095150D" w:rsidP="004E798E">
      <w:pPr>
        <w:pStyle w:val="TOC2"/>
        <w:rPr>
          <w:rFonts w:asciiTheme="minorHAnsi" w:hAnsiTheme="minorHAnsi"/>
          <w:szCs w:val="28"/>
          <w:lang w:eastAsia="zh-CN" w:bidi="th-TH"/>
        </w:rPr>
      </w:pPr>
      <w:hyperlink w:anchor="_Toc116293067" w:history="1">
        <w:r w:rsidR="004E798E" w:rsidRPr="000957E9">
          <w:rPr>
            <w:rStyle w:val="Hyperlink"/>
          </w:rPr>
          <w:t>Legislative and Policy Framework</w:t>
        </w:r>
        <w:r w:rsidR="004E798E">
          <w:rPr>
            <w:webHidden/>
          </w:rPr>
          <w:tab/>
        </w:r>
        <w:r w:rsidR="004E798E">
          <w:rPr>
            <w:webHidden/>
          </w:rPr>
          <w:fldChar w:fldCharType="begin"/>
        </w:r>
        <w:r w:rsidR="004E798E">
          <w:rPr>
            <w:webHidden/>
          </w:rPr>
          <w:instrText xml:space="preserve"> PAGEREF _Toc116293067 \h </w:instrText>
        </w:r>
        <w:r w:rsidR="004E798E">
          <w:rPr>
            <w:webHidden/>
          </w:rPr>
        </w:r>
        <w:r w:rsidR="004E798E">
          <w:rPr>
            <w:webHidden/>
          </w:rPr>
          <w:fldChar w:fldCharType="separate"/>
        </w:r>
        <w:r w:rsidR="00765987">
          <w:rPr>
            <w:webHidden/>
          </w:rPr>
          <w:t>5</w:t>
        </w:r>
        <w:r w:rsidR="004E798E">
          <w:rPr>
            <w:webHidden/>
          </w:rPr>
          <w:fldChar w:fldCharType="end"/>
        </w:r>
      </w:hyperlink>
    </w:p>
    <w:p w14:paraId="2469FC2D" w14:textId="02A04215" w:rsidR="004E798E" w:rsidRDefault="0095150D" w:rsidP="004E798E">
      <w:pPr>
        <w:pStyle w:val="TOC2"/>
        <w:rPr>
          <w:rFonts w:asciiTheme="minorHAnsi" w:hAnsiTheme="minorHAnsi"/>
          <w:szCs w:val="28"/>
          <w:lang w:eastAsia="zh-CN" w:bidi="th-TH"/>
        </w:rPr>
      </w:pPr>
      <w:hyperlink w:anchor="_Toc116293068" w:history="1">
        <w:r w:rsidR="004E798E" w:rsidRPr="000957E9">
          <w:rPr>
            <w:rStyle w:val="Hyperlink"/>
          </w:rPr>
          <w:t>Scope of the Review</w:t>
        </w:r>
        <w:r w:rsidR="004E798E">
          <w:rPr>
            <w:webHidden/>
          </w:rPr>
          <w:tab/>
        </w:r>
        <w:r w:rsidR="004E798E">
          <w:rPr>
            <w:webHidden/>
          </w:rPr>
          <w:fldChar w:fldCharType="begin"/>
        </w:r>
        <w:r w:rsidR="004E798E">
          <w:rPr>
            <w:webHidden/>
          </w:rPr>
          <w:instrText xml:space="preserve"> PAGEREF _Toc116293068 \h </w:instrText>
        </w:r>
        <w:r w:rsidR="004E798E">
          <w:rPr>
            <w:webHidden/>
          </w:rPr>
        </w:r>
        <w:r w:rsidR="004E798E">
          <w:rPr>
            <w:webHidden/>
          </w:rPr>
          <w:fldChar w:fldCharType="separate"/>
        </w:r>
        <w:r w:rsidR="00765987">
          <w:rPr>
            <w:webHidden/>
          </w:rPr>
          <w:t>7</w:t>
        </w:r>
        <w:r w:rsidR="004E798E">
          <w:rPr>
            <w:webHidden/>
          </w:rPr>
          <w:fldChar w:fldCharType="end"/>
        </w:r>
      </w:hyperlink>
    </w:p>
    <w:p w14:paraId="10FC156E" w14:textId="66E19823" w:rsidR="004E798E" w:rsidRDefault="0095150D" w:rsidP="004E798E">
      <w:pPr>
        <w:pStyle w:val="TOC2"/>
        <w:rPr>
          <w:rFonts w:asciiTheme="minorHAnsi" w:hAnsiTheme="minorHAnsi"/>
          <w:szCs w:val="28"/>
          <w:lang w:eastAsia="zh-CN" w:bidi="th-TH"/>
        </w:rPr>
      </w:pPr>
      <w:hyperlink w:anchor="_Toc116293069" w:history="1">
        <w:r w:rsidR="004E798E" w:rsidRPr="000957E9">
          <w:rPr>
            <w:rStyle w:val="Hyperlink"/>
          </w:rPr>
          <w:t>Process and Timing</w:t>
        </w:r>
        <w:r w:rsidR="004E798E">
          <w:rPr>
            <w:webHidden/>
          </w:rPr>
          <w:tab/>
        </w:r>
        <w:r w:rsidR="004E798E">
          <w:rPr>
            <w:webHidden/>
          </w:rPr>
          <w:fldChar w:fldCharType="begin"/>
        </w:r>
        <w:r w:rsidR="004E798E">
          <w:rPr>
            <w:webHidden/>
          </w:rPr>
          <w:instrText xml:space="preserve"> PAGEREF _Toc116293069 \h </w:instrText>
        </w:r>
        <w:r w:rsidR="004E798E">
          <w:rPr>
            <w:webHidden/>
          </w:rPr>
        </w:r>
        <w:r w:rsidR="004E798E">
          <w:rPr>
            <w:webHidden/>
          </w:rPr>
          <w:fldChar w:fldCharType="separate"/>
        </w:r>
        <w:r w:rsidR="00765987">
          <w:rPr>
            <w:webHidden/>
          </w:rPr>
          <w:t>9</w:t>
        </w:r>
        <w:r w:rsidR="004E798E">
          <w:rPr>
            <w:webHidden/>
          </w:rPr>
          <w:fldChar w:fldCharType="end"/>
        </w:r>
      </w:hyperlink>
    </w:p>
    <w:p w14:paraId="31CED096" w14:textId="61E14C9A" w:rsidR="004E798E" w:rsidRDefault="0095150D" w:rsidP="004E798E">
      <w:pPr>
        <w:pStyle w:val="TOC2"/>
        <w:rPr>
          <w:rFonts w:asciiTheme="minorHAnsi" w:hAnsiTheme="minorHAnsi"/>
          <w:szCs w:val="28"/>
          <w:lang w:eastAsia="zh-CN" w:bidi="th-TH"/>
        </w:rPr>
      </w:pPr>
      <w:hyperlink w:anchor="_Toc116293070" w:history="1">
        <w:r w:rsidR="004E798E" w:rsidRPr="000957E9">
          <w:rPr>
            <w:rStyle w:val="Hyperlink"/>
          </w:rPr>
          <w:t>How You Can Contribute to the Review</w:t>
        </w:r>
        <w:r w:rsidR="004E798E">
          <w:rPr>
            <w:webHidden/>
          </w:rPr>
          <w:tab/>
        </w:r>
        <w:r w:rsidR="004E798E">
          <w:rPr>
            <w:webHidden/>
          </w:rPr>
          <w:fldChar w:fldCharType="begin"/>
        </w:r>
        <w:r w:rsidR="004E798E">
          <w:rPr>
            <w:webHidden/>
          </w:rPr>
          <w:instrText xml:space="preserve"> PAGEREF _Toc116293070 \h </w:instrText>
        </w:r>
        <w:r w:rsidR="004E798E">
          <w:rPr>
            <w:webHidden/>
          </w:rPr>
        </w:r>
        <w:r w:rsidR="004E798E">
          <w:rPr>
            <w:webHidden/>
          </w:rPr>
          <w:fldChar w:fldCharType="separate"/>
        </w:r>
        <w:r w:rsidR="00765987">
          <w:rPr>
            <w:webHidden/>
          </w:rPr>
          <w:t>10</w:t>
        </w:r>
        <w:r w:rsidR="004E798E">
          <w:rPr>
            <w:webHidden/>
          </w:rPr>
          <w:fldChar w:fldCharType="end"/>
        </w:r>
      </w:hyperlink>
    </w:p>
    <w:p w14:paraId="6624EA19" w14:textId="32E78D58" w:rsidR="004E798E" w:rsidRDefault="0095150D" w:rsidP="004E798E">
      <w:pPr>
        <w:pStyle w:val="TOC2"/>
        <w:rPr>
          <w:rFonts w:asciiTheme="minorHAnsi" w:hAnsiTheme="minorHAnsi"/>
          <w:szCs w:val="28"/>
          <w:lang w:eastAsia="zh-CN" w:bidi="th-TH"/>
        </w:rPr>
      </w:pPr>
      <w:hyperlink w:anchor="_Toc116293071" w:history="1">
        <w:r w:rsidR="004E798E" w:rsidRPr="000957E9">
          <w:rPr>
            <w:rStyle w:val="Hyperlink"/>
          </w:rPr>
          <w:t>Further Information</w:t>
        </w:r>
        <w:r w:rsidR="004E798E">
          <w:rPr>
            <w:webHidden/>
          </w:rPr>
          <w:tab/>
        </w:r>
        <w:r w:rsidR="004E798E">
          <w:rPr>
            <w:webHidden/>
          </w:rPr>
          <w:fldChar w:fldCharType="begin"/>
        </w:r>
        <w:r w:rsidR="004E798E">
          <w:rPr>
            <w:webHidden/>
          </w:rPr>
          <w:instrText xml:space="preserve"> PAGEREF _Toc116293071 \h </w:instrText>
        </w:r>
        <w:r w:rsidR="004E798E">
          <w:rPr>
            <w:webHidden/>
          </w:rPr>
        </w:r>
        <w:r w:rsidR="004E798E">
          <w:rPr>
            <w:webHidden/>
          </w:rPr>
          <w:fldChar w:fldCharType="separate"/>
        </w:r>
        <w:r w:rsidR="00765987">
          <w:rPr>
            <w:webHidden/>
          </w:rPr>
          <w:t>10</w:t>
        </w:r>
        <w:r w:rsidR="004E798E">
          <w:rPr>
            <w:webHidden/>
          </w:rPr>
          <w:fldChar w:fldCharType="end"/>
        </w:r>
      </w:hyperlink>
    </w:p>
    <w:p w14:paraId="3135B898" w14:textId="6BD5B3C9" w:rsidR="004E798E" w:rsidRDefault="0095150D">
      <w:pPr>
        <w:pStyle w:val="TOC1"/>
        <w:rPr>
          <w:rFonts w:asciiTheme="minorHAnsi" w:hAnsiTheme="minorHAnsi"/>
          <w:b w:val="0"/>
          <w:szCs w:val="28"/>
          <w:lang w:eastAsia="zh-CN" w:bidi="th-TH"/>
        </w:rPr>
      </w:pPr>
      <w:hyperlink w:anchor="_Toc116293072" w:history="1">
        <w:r w:rsidR="004E798E" w:rsidRPr="000957E9">
          <w:rPr>
            <w:rStyle w:val="Hyperlink"/>
          </w:rPr>
          <w:t>Current Pricing Arrangements</w:t>
        </w:r>
        <w:r w:rsidR="004E798E">
          <w:rPr>
            <w:webHidden/>
          </w:rPr>
          <w:tab/>
        </w:r>
        <w:r w:rsidR="004E798E">
          <w:rPr>
            <w:webHidden/>
          </w:rPr>
          <w:fldChar w:fldCharType="begin"/>
        </w:r>
        <w:r w:rsidR="004E798E">
          <w:rPr>
            <w:webHidden/>
          </w:rPr>
          <w:instrText xml:space="preserve"> PAGEREF _Toc116293072 \h </w:instrText>
        </w:r>
        <w:r w:rsidR="004E798E">
          <w:rPr>
            <w:webHidden/>
          </w:rPr>
        </w:r>
        <w:r w:rsidR="004E798E">
          <w:rPr>
            <w:webHidden/>
          </w:rPr>
          <w:fldChar w:fldCharType="separate"/>
        </w:r>
        <w:r w:rsidR="00765987">
          <w:rPr>
            <w:webHidden/>
          </w:rPr>
          <w:t>11</w:t>
        </w:r>
        <w:r w:rsidR="004E798E">
          <w:rPr>
            <w:webHidden/>
          </w:rPr>
          <w:fldChar w:fldCharType="end"/>
        </w:r>
      </w:hyperlink>
    </w:p>
    <w:p w14:paraId="74F76E31" w14:textId="5D3EAAF8" w:rsidR="004E798E" w:rsidRDefault="0095150D" w:rsidP="004E798E">
      <w:pPr>
        <w:pStyle w:val="TOC2"/>
        <w:rPr>
          <w:rFonts w:asciiTheme="minorHAnsi" w:hAnsiTheme="minorHAnsi"/>
          <w:szCs w:val="28"/>
          <w:lang w:eastAsia="zh-CN" w:bidi="th-TH"/>
        </w:rPr>
      </w:pPr>
      <w:hyperlink w:anchor="_Toc116293073" w:history="1">
        <w:r w:rsidR="004E798E" w:rsidRPr="000957E9">
          <w:rPr>
            <w:rStyle w:val="Hyperlink"/>
          </w:rPr>
          <w:t>New Builds</w:t>
        </w:r>
        <w:r w:rsidR="004E798E">
          <w:rPr>
            <w:webHidden/>
          </w:rPr>
          <w:tab/>
        </w:r>
        <w:r w:rsidR="004E798E">
          <w:rPr>
            <w:webHidden/>
          </w:rPr>
          <w:fldChar w:fldCharType="begin"/>
        </w:r>
        <w:r w:rsidR="004E798E">
          <w:rPr>
            <w:webHidden/>
          </w:rPr>
          <w:instrText xml:space="preserve"> PAGEREF _Toc116293073 \h </w:instrText>
        </w:r>
        <w:r w:rsidR="004E798E">
          <w:rPr>
            <w:webHidden/>
          </w:rPr>
        </w:r>
        <w:r w:rsidR="004E798E">
          <w:rPr>
            <w:webHidden/>
          </w:rPr>
          <w:fldChar w:fldCharType="separate"/>
        </w:r>
        <w:r w:rsidR="00765987">
          <w:rPr>
            <w:webHidden/>
          </w:rPr>
          <w:t>11</w:t>
        </w:r>
        <w:r w:rsidR="004E798E">
          <w:rPr>
            <w:webHidden/>
          </w:rPr>
          <w:fldChar w:fldCharType="end"/>
        </w:r>
      </w:hyperlink>
    </w:p>
    <w:p w14:paraId="534B38DF" w14:textId="3BF5BA2E" w:rsidR="004E798E" w:rsidRDefault="0095150D" w:rsidP="004E798E">
      <w:pPr>
        <w:pStyle w:val="TOC2"/>
        <w:rPr>
          <w:rFonts w:asciiTheme="minorHAnsi" w:hAnsiTheme="minorHAnsi"/>
          <w:szCs w:val="28"/>
          <w:lang w:eastAsia="zh-CN" w:bidi="th-TH"/>
        </w:rPr>
      </w:pPr>
      <w:hyperlink w:anchor="_Toc116293074" w:history="1">
        <w:r w:rsidR="004E798E" w:rsidRPr="000957E9">
          <w:rPr>
            <w:rStyle w:val="Hyperlink"/>
          </w:rPr>
          <w:t>Existing Stock</w:t>
        </w:r>
        <w:r w:rsidR="004E798E">
          <w:rPr>
            <w:webHidden/>
          </w:rPr>
          <w:tab/>
        </w:r>
        <w:r w:rsidR="004E798E">
          <w:rPr>
            <w:webHidden/>
          </w:rPr>
          <w:fldChar w:fldCharType="begin"/>
        </w:r>
        <w:r w:rsidR="004E798E">
          <w:rPr>
            <w:webHidden/>
          </w:rPr>
          <w:instrText xml:space="preserve"> PAGEREF _Toc116293074 \h </w:instrText>
        </w:r>
        <w:r w:rsidR="004E798E">
          <w:rPr>
            <w:webHidden/>
          </w:rPr>
        </w:r>
        <w:r w:rsidR="004E798E">
          <w:rPr>
            <w:webHidden/>
          </w:rPr>
          <w:fldChar w:fldCharType="separate"/>
        </w:r>
        <w:r w:rsidR="00765987">
          <w:rPr>
            <w:webHidden/>
          </w:rPr>
          <w:t>12</w:t>
        </w:r>
        <w:r w:rsidR="004E798E">
          <w:rPr>
            <w:webHidden/>
          </w:rPr>
          <w:fldChar w:fldCharType="end"/>
        </w:r>
      </w:hyperlink>
    </w:p>
    <w:p w14:paraId="07D1B295" w14:textId="23196A87" w:rsidR="004E798E" w:rsidRDefault="0095150D" w:rsidP="004E798E">
      <w:pPr>
        <w:pStyle w:val="TOC2"/>
        <w:rPr>
          <w:rFonts w:asciiTheme="minorHAnsi" w:hAnsiTheme="minorHAnsi"/>
          <w:szCs w:val="28"/>
          <w:lang w:eastAsia="zh-CN" w:bidi="th-TH"/>
        </w:rPr>
      </w:pPr>
      <w:hyperlink w:anchor="_Toc116293075" w:history="1">
        <w:r w:rsidR="004E798E" w:rsidRPr="000957E9">
          <w:rPr>
            <w:rStyle w:val="Hyperlink"/>
          </w:rPr>
          <w:t>Legacy Stock</w:t>
        </w:r>
        <w:r w:rsidR="004E798E">
          <w:rPr>
            <w:webHidden/>
          </w:rPr>
          <w:tab/>
        </w:r>
        <w:r w:rsidR="004E798E">
          <w:rPr>
            <w:webHidden/>
          </w:rPr>
          <w:fldChar w:fldCharType="begin"/>
        </w:r>
        <w:r w:rsidR="004E798E">
          <w:rPr>
            <w:webHidden/>
          </w:rPr>
          <w:instrText xml:space="preserve"> PAGEREF _Toc116293075 \h </w:instrText>
        </w:r>
        <w:r w:rsidR="004E798E">
          <w:rPr>
            <w:webHidden/>
          </w:rPr>
        </w:r>
        <w:r w:rsidR="004E798E">
          <w:rPr>
            <w:webHidden/>
          </w:rPr>
          <w:fldChar w:fldCharType="separate"/>
        </w:r>
        <w:r w:rsidR="00765987">
          <w:rPr>
            <w:webHidden/>
          </w:rPr>
          <w:t>13</w:t>
        </w:r>
        <w:r w:rsidR="004E798E">
          <w:rPr>
            <w:webHidden/>
          </w:rPr>
          <w:fldChar w:fldCharType="end"/>
        </w:r>
      </w:hyperlink>
    </w:p>
    <w:p w14:paraId="12BCC35E" w14:textId="43817A64" w:rsidR="004E798E" w:rsidRDefault="0095150D" w:rsidP="004E798E">
      <w:pPr>
        <w:pStyle w:val="TOC2"/>
        <w:rPr>
          <w:rFonts w:asciiTheme="minorHAnsi" w:hAnsiTheme="minorHAnsi"/>
          <w:szCs w:val="28"/>
          <w:lang w:eastAsia="zh-CN" w:bidi="th-TH"/>
        </w:rPr>
      </w:pPr>
      <w:hyperlink w:anchor="_Toc116293076" w:history="1">
        <w:r w:rsidR="004E798E" w:rsidRPr="000957E9">
          <w:rPr>
            <w:rStyle w:val="Hyperlink"/>
          </w:rPr>
          <w:t>Adjustments for Geographic Location</w:t>
        </w:r>
        <w:r w:rsidR="004E798E">
          <w:rPr>
            <w:webHidden/>
          </w:rPr>
          <w:tab/>
        </w:r>
        <w:r w:rsidR="004E798E">
          <w:rPr>
            <w:webHidden/>
          </w:rPr>
          <w:fldChar w:fldCharType="begin"/>
        </w:r>
        <w:r w:rsidR="004E798E">
          <w:rPr>
            <w:webHidden/>
          </w:rPr>
          <w:instrText xml:space="preserve"> PAGEREF _Toc116293076 \h </w:instrText>
        </w:r>
        <w:r w:rsidR="004E798E">
          <w:rPr>
            <w:webHidden/>
          </w:rPr>
        </w:r>
        <w:r w:rsidR="004E798E">
          <w:rPr>
            <w:webHidden/>
          </w:rPr>
          <w:fldChar w:fldCharType="separate"/>
        </w:r>
        <w:r w:rsidR="00765987">
          <w:rPr>
            <w:webHidden/>
          </w:rPr>
          <w:t>13</w:t>
        </w:r>
        <w:r w:rsidR="004E798E">
          <w:rPr>
            <w:webHidden/>
          </w:rPr>
          <w:fldChar w:fldCharType="end"/>
        </w:r>
      </w:hyperlink>
    </w:p>
    <w:p w14:paraId="6E9F9A54" w14:textId="33F6A810" w:rsidR="004E798E" w:rsidRDefault="0095150D" w:rsidP="004E798E">
      <w:pPr>
        <w:pStyle w:val="TOC2"/>
        <w:rPr>
          <w:rFonts w:asciiTheme="minorHAnsi" w:hAnsiTheme="minorHAnsi"/>
          <w:szCs w:val="28"/>
          <w:lang w:eastAsia="zh-CN" w:bidi="th-TH"/>
        </w:rPr>
      </w:pPr>
      <w:hyperlink w:anchor="_Toc116293077" w:history="1">
        <w:r w:rsidR="004E798E" w:rsidRPr="000957E9">
          <w:rPr>
            <w:rStyle w:val="Hyperlink"/>
          </w:rPr>
          <w:t>Annual Indexation</w:t>
        </w:r>
        <w:r w:rsidR="004E798E">
          <w:rPr>
            <w:webHidden/>
          </w:rPr>
          <w:tab/>
        </w:r>
        <w:r w:rsidR="004E798E">
          <w:rPr>
            <w:webHidden/>
          </w:rPr>
          <w:fldChar w:fldCharType="begin"/>
        </w:r>
        <w:r w:rsidR="004E798E">
          <w:rPr>
            <w:webHidden/>
          </w:rPr>
          <w:instrText xml:space="preserve"> PAGEREF _Toc116293077 \h </w:instrText>
        </w:r>
        <w:r w:rsidR="004E798E">
          <w:rPr>
            <w:webHidden/>
          </w:rPr>
        </w:r>
        <w:r w:rsidR="004E798E">
          <w:rPr>
            <w:webHidden/>
          </w:rPr>
          <w:fldChar w:fldCharType="separate"/>
        </w:r>
        <w:r w:rsidR="00765987">
          <w:rPr>
            <w:webHidden/>
          </w:rPr>
          <w:t>18</w:t>
        </w:r>
        <w:r w:rsidR="004E798E">
          <w:rPr>
            <w:webHidden/>
          </w:rPr>
          <w:fldChar w:fldCharType="end"/>
        </w:r>
      </w:hyperlink>
    </w:p>
    <w:p w14:paraId="7BF076A8" w14:textId="6DB97182" w:rsidR="004E798E" w:rsidRDefault="0095150D">
      <w:pPr>
        <w:pStyle w:val="TOC1"/>
        <w:rPr>
          <w:rFonts w:asciiTheme="minorHAnsi" w:hAnsiTheme="minorHAnsi"/>
          <w:b w:val="0"/>
          <w:szCs w:val="28"/>
          <w:lang w:eastAsia="zh-CN" w:bidi="th-TH"/>
        </w:rPr>
      </w:pPr>
      <w:hyperlink w:anchor="_Toc116293078" w:history="1">
        <w:r w:rsidR="004E798E" w:rsidRPr="000957E9">
          <w:rPr>
            <w:rStyle w:val="Hyperlink"/>
          </w:rPr>
          <w:t>Current Pricing Methodology and Assumptions</w:t>
        </w:r>
        <w:r w:rsidR="004E798E">
          <w:rPr>
            <w:webHidden/>
          </w:rPr>
          <w:tab/>
        </w:r>
        <w:r w:rsidR="004E798E">
          <w:rPr>
            <w:webHidden/>
          </w:rPr>
          <w:fldChar w:fldCharType="begin"/>
        </w:r>
        <w:r w:rsidR="004E798E">
          <w:rPr>
            <w:webHidden/>
          </w:rPr>
          <w:instrText xml:space="preserve"> PAGEREF _Toc116293078 \h </w:instrText>
        </w:r>
        <w:r w:rsidR="004E798E">
          <w:rPr>
            <w:webHidden/>
          </w:rPr>
        </w:r>
        <w:r w:rsidR="004E798E">
          <w:rPr>
            <w:webHidden/>
          </w:rPr>
          <w:fldChar w:fldCharType="separate"/>
        </w:r>
        <w:r w:rsidR="00765987">
          <w:rPr>
            <w:webHidden/>
          </w:rPr>
          <w:t>19</w:t>
        </w:r>
        <w:r w:rsidR="004E798E">
          <w:rPr>
            <w:webHidden/>
          </w:rPr>
          <w:fldChar w:fldCharType="end"/>
        </w:r>
      </w:hyperlink>
    </w:p>
    <w:p w14:paraId="53050BD5" w14:textId="2264417A" w:rsidR="004E798E" w:rsidRDefault="0095150D" w:rsidP="004E798E">
      <w:pPr>
        <w:pStyle w:val="TOC2"/>
        <w:rPr>
          <w:rFonts w:asciiTheme="minorHAnsi" w:hAnsiTheme="minorHAnsi"/>
          <w:szCs w:val="28"/>
          <w:lang w:eastAsia="zh-CN" w:bidi="th-TH"/>
        </w:rPr>
      </w:pPr>
      <w:hyperlink w:anchor="_Toc116293079" w:history="1">
        <w:r w:rsidR="004E798E" w:rsidRPr="000957E9">
          <w:rPr>
            <w:rStyle w:val="Hyperlink"/>
          </w:rPr>
          <w:t>Overview of the Pricing Methodology</w:t>
        </w:r>
        <w:r w:rsidR="004E798E">
          <w:rPr>
            <w:webHidden/>
          </w:rPr>
          <w:tab/>
        </w:r>
        <w:r w:rsidR="004E798E">
          <w:rPr>
            <w:webHidden/>
          </w:rPr>
          <w:fldChar w:fldCharType="begin"/>
        </w:r>
        <w:r w:rsidR="004E798E">
          <w:rPr>
            <w:webHidden/>
          </w:rPr>
          <w:instrText xml:space="preserve"> PAGEREF _Toc116293079 \h </w:instrText>
        </w:r>
        <w:r w:rsidR="004E798E">
          <w:rPr>
            <w:webHidden/>
          </w:rPr>
        </w:r>
        <w:r w:rsidR="004E798E">
          <w:rPr>
            <w:webHidden/>
          </w:rPr>
          <w:fldChar w:fldCharType="separate"/>
        </w:r>
        <w:r w:rsidR="00765987">
          <w:rPr>
            <w:webHidden/>
          </w:rPr>
          <w:t>19</w:t>
        </w:r>
        <w:r w:rsidR="004E798E">
          <w:rPr>
            <w:webHidden/>
          </w:rPr>
          <w:fldChar w:fldCharType="end"/>
        </w:r>
      </w:hyperlink>
    </w:p>
    <w:p w14:paraId="03A3CD83" w14:textId="14B880E2" w:rsidR="004E798E" w:rsidRDefault="0095150D" w:rsidP="004E798E">
      <w:pPr>
        <w:pStyle w:val="TOC2"/>
        <w:rPr>
          <w:rFonts w:asciiTheme="minorHAnsi" w:hAnsiTheme="minorHAnsi"/>
          <w:szCs w:val="28"/>
          <w:lang w:eastAsia="zh-CN" w:bidi="th-TH"/>
        </w:rPr>
      </w:pPr>
      <w:hyperlink w:anchor="_Toc116293080" w:history="1">
        <w:r w:rsidR="004E798E" w:rsidRPr="000957E9">
          <w:rPr>
            <w:rStyle w:val="Hyperlink"/>
          </w:rPr>
          <w:t>Detailed Methodology – Price Limits for New Builds</w:t>
        </w:r>
        <w:r w:rsidR="004E798E">
          <w:rPr>
            <w:webHidden/>
          </w:rPr>
          <w:tab/>
        </w:r>
        <w:r w:rsidR="004E798E">
          <w:rPr>
            <w:webHidden/>
          </w:rPr>
          <w:fldChar w:fldCharType="begin"/>
        </w:r>
        <w:r w:rsidR="004E798E">
          <w:rPr>
            <w:webHidden/>
          </w:rPr>
          <w:instrText xml:space="preserve"> PAGEREF _Toc116293080 \h </w:instrText>
        </w:r>
        <w:r w:rsidR="004E798E">
          <w:rPr>
            <w:webHidden/>
          </w:rPr>
        </w:r>
        <w:r w:rsidR="004E798E">
          <w:rPr>
            <w:webHidden/>
          </w:rPr>
          <w:fldChar w:fldCharType="separate"/>
        </w:r>
        <w:r w:rsidR="00765987">
          <w:rPr>
            <w:webHidden/>
          </w:rPr>
          <w:t>20</w:t>
        </w:r>
        <w:r w:rsidR="004E798E">
          <w:rPr>
            <w:webHidden/>
          </w:rPr>
          <w:fldChar w:fldCharType="end"/>
        </w:r>
      </w:hyperlink>
    </w:p>
    <w:p w14:paraId="3E0FD9FB" w14:textId="63AA8180" w:rsidR="004E798E" w:rsidRDefault="0095150D" w:rsidP="004E798E">
      <w:pPr>
        <w:pStyle w:val="TOC2"/>
        <w:rPr>
          <w:rFonts w:asciiTheme="minorHAnsi" w:hAnsiTheme="minorHAnsi"/>
          <w:szCs w:val="28"/>
          <w:lang w:eastAsia="zh-CN" w:bidi="th-TH"/>
        </w:rPr>
      </w:pPr>
      <w:hyperlink w:anchor="_Toc116293081" w:history="1">
        <w:r w:rsidR="004E798E" w:rsidRPr="000957E9">
          <w:rPr>
            <w:rStyle w:val="Hyperlink"/>
          </w:rPr>
          <w:t>Detailed Methodology – Price Limits for Existing Stock</w:t>
        </w:r>
        <w:r w:rsidR="004E798E">
          <w:rPr>
            <w:webHidden/>
          </w:rPr>
          <w:tab/>
        </w:r>
        <w:r w:rsidR="004E798E">
          <w:rPr>
            <w:webHidden/>
          </w:rPr>
          <w:fldChar w:fldCharType="begin"/>
        </w:r>
        <w:r w:rsidR="004E798E">
          <w:rPr>
            <w:webHidden/>
          </w:rPr>
          <w:instrText xml:space="preserve"> PAGEREF _Toc116293081 \h </w:instrText>
        </w:r>
        <w:r w:rsidR="004E798E">
          <w:rPr>
            <w:webHidden/>
          </w:rPr>
        </w:r>
        <w:r w:rsidR="004E798E">
          <w:rPr>
            <w:webHidden/>
          </w:rPr>
          <w:fldChar w:fldCharType="separate"/>
        </w:r>
        <w:r w:rsidR="00765987">
          <w:rPr>
            <w:webHidden/>
          </w:rPr>
          <w:t>32</w:t>
        </w:r>
        <w:r w:rsidR="004E798E">
          <w:rPr>
            <w:webHidden/>
          </w:rPr>
          <w:fldChar w:fldCharType="end"/>
        </w:r>
      </w:hyperlink>
    </w:p>
    <w:p w14:paraId="012A3F4A" w14:textId="19E636D0" w:rsidR="004E798E" w:rsidRDefault="0095150D">
      <w:pPr>
        <w:pStyle w:val="TOC1"/>
        <w:rPr>
          <w:rFonts w:asciiTheme="minorHAnsi" w:hAnsiTheme="minorHAnsi"/>
          <w:b w:val="0"/>
          <w:szCs w:val="28"/>
          <w:lang w:eastAsia="zh-CN" w:bidi="th-TH"/>
        </w:rPr>
      </w:pPr>
      <w:hyperlink w:anchor="_Toc116293082" w:history="1">
        <w:r w:rsidR="004E798E" w:rsidRPr="000957E9">
          <w:rPr>
            <w:rStyle w:val="Hyperlink"/>
          </w:rPr>
          <w:t>Consultation Questions</w:t>
        </w:r>
        <w:r w:rsidR="004E798E">
          <w:rPr>
            <w:webHidden/>
          </w:rPr>
          <w:tab/>
        </w:r>
        <w:r w:rsidR="004E798E">
          <w:rPr>
            <w:webHidden/>
          </w:rPr>
          <w:fldChar w:fldCharType="begin"/>
        </w:r>
        <w:r w:rsidR="004E798E">
          <w:rPr>
            <w:webHidden/>
          </w:rPr>
          <w:instrText xml:space="preserve"> PAGEREF _Toc116293082 \h </w:instrText>
        </w:r>
        <w:r w:rsidR="004E798E">
          <w:rPr>
            <w:webHidden/>
          </w:rPr>
        </w:r>
        <w:r w:rsidR="004E798E">
          <w:rPr>
            <w:webHidden/>
          </w:rPr>
          <w:fldChar w:fldCharType="separate"/>
        </w:r>
        <w:r w:rsidR="00765987">
          <w:rPr>
            <w:webHidden/>
          </w:rPr>
          <w:t>34</w:t>
        </w:r>
        <w:r w:rsidR="004E798E">
          <w:rPr>
            <w:webHidden/>
          </w:rPr>
          <w:fldChar w:fldCharType="end"/>
        </w:r>
      </w:hyperlink>
    </w:p>
    <w:p w14:paraId="4CCAA9D6" w14:textId="139CAFF6" w:rsidR="004E798E" w:rsidRDefault="0095150D" w:rsidP="004E798E">
      <w:pPr>
        <w:pStyle w:val="TOC2"/>
        <w:rPr>
          <w:rFonts w:asciiTheme="minorHAnsi" w:hAnsiTheme="minorHAnsi"/>
          <w:szCs w:val="28"/>
          <w:lang w:eastAsia="zh-CN" w:bidi="th-TH"/>
        </w:rPr>
      </w:pPr>
      <w:hyperlink w:anchor="_Toc116293083" w:history="1">
        <w:r w:rsidR="004E798E" w:rsidRPr="000957E9">
          <w:rPr>
            <w:rStyle w:val="Hyperlink"/>
          </w:rPr>
          <w:t>Acquisition Costs</w:t>
        </w:r>
        <w:r w:rsidR="004E798E">
          <w:rPr>
            <w:webHidden/>
          </w:rPr>
          <w:tab/>
        </w:r>
        <w:r w:rsidR="004E798E">
          <w:rPr>
            <w:webHidden/>
          </w:rPr>
          <w:fldChar w:fldCharType="begin"/>
        </w:r>
        <w:r w:rsidR="004E798E">
          <w:rPr>
            <w:webHidden/>
          </w:rPr>
          <w:instrText xml:space="preserve"> PAGEREF _Toc116293083 \h </w:instrText>
        </w:r>
        <w:r w:rsidR="004E798E">
          <w:rPr>
            <w:webHidden/>
          </w:rPr>
        </w:r>
        <w:r w:rsidR="004E798E">
          <w:rPr>
            <w:webHidden/>
          </w:rPr>
          <w:fldChar w:fldCharType="separate"/>
        </w:r>
        <w:r w:rsidR="00765987">
          <w:rPr>
            <w:webHidden/>
          </w:rPr>
          <w:t>34</w:t>
        </w:r>
        <w:r w:rsidR="004E798E">
          <w:rPr>
            <w:webHidden/>
          </w:rPr>
          <w:fldChar w:fldCharType="end"/>
        </w:r>
      </w:hyperlink>
    </w:p>
    <w:p w14:paraId="15E25A2D" w14:textId="7E0B8D03" w:rsidR="004E798E" w:rsidRDefault="0095150D" w:rsidP="004E798E">
      <w:pPr>
        <w:pStyle w:val="TOC2"/>
        <w:rPr>
          <w:rFonts w:asciiTheme="minorHAnsi" w:hAnsiTheme="minorHAnsi"/>
          <w:szCs w:val="28"/>
          <w:lang w:eastAsia="zh-CN" w:bidi="th-TH"/>
        </w:rPr>
      </w:pPr>
      <w:hyperlink w:anchor="_Toc116293084" w:history="1">
        <w:r w:rsidR="004E798E" w:rsidRPr="000957E9">
          <w:rPr>
            <w:rStyle w:val="Hyperlink"/>
          </w:rPr>
          <w:t>Exit Costs (Residual Value)</w:t>
        </w:r>
        <w:r w:rsidR="004E798E">
          <w:rPr>
            <w:webHidden/>
          </w:rPr>
          <w:tab/>
        </w:r>
        <w:r w:rsidR="004E798E">
          <w:rPr>
            <w:webHidden/>
          </w:rPr>
          <w:fldChar w:fldCharType="begin"/>
        </w:r>
        <w:r w:rsidR="004E798E">
          <w:rPr>
            <w:webHidden/>
          </w:rPr>
          <w:instrText xml:space="preserve"> PAGEREF _Toc116293084 \h </w:instrText>
        </w:r>
        <w:r w:rsidR="004E798E">
          <w:rPr>
            <w:webHidden/>
          </w:rPr>
        </w:r>
        <w:r w:rsidR="004E798E">
          <w:rPr>
            <w:webHidden/>
          </w:rPr>
          <w:fldChar w:fldCharType="separate"/>
        </w:r>
        <w:r w:rsidR="00765987">
          <w:rPr>
            <w:webHidden/>
          </w:rPr>
          <w:t>35</w:t>
        </w:r>
        <w:r w:rsidR="004E798E">
          <w:rPr>
            <w:webHidden/>
          </w:rPr>
          <w:fldChar w:fldCharType="end"/>
        </w:r>
      </w:hyperlink>
    </w:p>
    <w:p w14:paraId="27AA30B6" w14:textId="20E0F7DB" w:rsidR="004E798E" w:rsidRDefault="0095150D" w:rsidP="004E798E">
      <w:pPr>
        <w:pStyle w:val="TOC2"/>
        <w:rPr>
          <w:rFonts w:asciiTheme="minorHAnsi" w:hAnsiTheme="minorHAnsi"/>
          <w:szCs w:val="28"/>
          <w:lang w:eastAsia="zh-CN" w:bidi="th-TH"/>
        </w:rPr>
      </w:pPr>
      <w:hyperlink w:anchor="_Toc116293085" w:history="1">
        <w:r w:rsidR="004E798E" w:rsidRPr="000957E9">
          <w:rPr>
            <w:rStyle w:val="Hyperlink"/>
          </w:rPr>
          <w:t>Ownership Costs</w:t>
        </w:r>
        <w:r w:rsidR="004E798E">
          <w:rPr>
            <w:webHidden/>
          </w:rPr>
          <w:tab/>
        </w:r>
        <w:r w:rsidR="004E798E">
          <w:rPr>
            <w:webHidden/>
          </w:rPr>
          <w:fldChar w:fldCharType="begin"/>
        </w:r>
        <w:r w:rsidR="004E798E">
          <w:rPr>
            <w:webHidden/>
          </w:rPr>
          <w:instrText xml:space="preserve"> PAGEREF _Toc116293085 \h </w:instrText>
        </w:r>
        <w:r w:rsidR="004E798E">
          <w:rPr>
            <w:webHidden/>
          </w:rPr>
        </w:r>
        <w:r w:rsidR="004E798E">
          <w:rPr>
            <w:webHidden/>
          </w:rPr>
          <w:fldChar w:fldCharType="separate"/>
        </w:r>
        <w:r w:rsidR="00765987">
          <w:rPr>
            <w:webHidden/>
          </w:rPr>
          <w:t>35</w:t>
        </w:r>
        <w:r w:rsidR="004E798E">
          <w:rPr>
            <w:webHidden/>
          </w:rPr>
          <w:fldChar w:fldCharType="end"/>
        </w:r>
      </w:hyperlink>
    </w:p>
    <w:p w14:paraId="471B9114" w14:textId="6DE1F8F6" w:rsidR="004E798E" w:rsidRDefault="0095150D" w:rsidP="004E798E">
      <w:pPr>
        <w:pStyle w:val="TOC2"/>
        <w:rPr>
          <w:rFonts w:asciiTheme="minorHAnsi" w:hAnsiTheme="minorHAnsi"/>
          <w:szCs w:val="28"/>
          <w:lang w:eastAsia="zh-CN" w:bidi="th-TH"/>
        </w:rPr>
      </w:pPr>
      <w:hyperlink w:anchor="_Toc116293086" w:history="1">
        <w:r w:rsidR="004E798E" w:rsidRPr="000957E9">
          <w:rPr>
            <w:rStyle w:val="Hyperlink"/>
          </w:rPr>
          <w:t>Tax Costs</w:t>
        </w:r>
        <w:r w:rsidR="004E798E">
          <w:rPr>
            <w:webHidden/>
          </w:rPr>
          <w:tab/>
        </w:r>
        <w:r w:rsidR="004E798E">
          <w:rPr>
            <w:webHidden/>
          </w:rPr>
          <w:fldChar w:fldCharType="begin"/>
        </w:r>
        <w:r w:rsidR="004E798E">
          <w:rPr>
            <w:webHidden/>
          </w:rPr>
          <w:instrText xml:space="preserve"> PAGEREF _Toc116293086 \h </w:instrText>
        </w:r>
        <w:r w:rsidR="004E798E">
          <w:rPr>
            <w:webHidden/>
          </w:rPr>
        </w:r>
        <w:r w:rsidR="004E798E">
          <w:rPr>
            <w:webHidden/>
          </w:rPr>
          <w:fldChar w:fldCharType="separate"/>
        </w:r>
        <w:r w:rsidR="00765987">
          <w:rPr>
            <w:webHidden/>
          </w:rPr>
          <w:t>36</w:t>
        </w:r>
        <w:r w:rsidR="004E798E">
          <w:rPr>
            <w:webHidden/>
          </w:rPr>
          <w:fldChar w:fldCharType="end"/>
        </w:r>
      </w:hyperlink>
    </w:p>
    <w:p w14:paraId="079999BD" w14:textId="05E7EFE9" w:rsidR="004E798E" w:rsidRDefault="0095150D" w:rsidP="004E798E">
      <w:pPr>
        <w:pStyle w:val="TOC2"/>
        <w:rPr>
          <w:rFonts w:asciiTheme="minorHAnsi" w:hAnsiTheme="minorHAnsi"/>
          <w:szCs w:val="28"/>
          <w:lang w:eastAsia="zh-CN" w:bidi="th-TH"/>
        </w:rPr>
      </w:pPr>
      <w:hyperlink w:anchor="_Toc116293087" w:history="1">
        <w:r w:rsidR="004E798E" w:rsidRPr="000957E9">
          <w:rPr>
            <w:rStyle w:val="Hyperlink"/>
          </w:rPr>
          <w:t>Financing Costs</w:t>
        </w:r>
        <w:r w:rsidR="004E798E">
          <w:rPr>
            <w:webHidden/>
          </w:rPr>
          <w:tab/>
        </w:r>
        <w:r w:rsidR="004E798E">
          <w:rPr>
            <w:webHidden/>
          </w:rPr>
          <w:fldChar w:fldCharType="begin"/>
        </w:r>
        <w:r w:rsidR="004E798E">
          <w:rPr>
            <w:webHidden/>
          </w:rPr>
          <w:instrText xml:space="preserve"> PAGEREF _Toc116293087 \h </w:instrText>
        </w:r>
        <w:r w:rsidR="004E798E">
          <w:rPr>
            <w:webHidden/>
          </w:rPr>
        </w:r>
        <w:r w:rsidR="004E798E">
          <w:rPr>
            <w:webHidden/>
          </w:rPr>
          <w:fldChar w:fldCharType="separate"/>
        </w:r>
        <w:r w:rsidR="00765987">
          <w:rPr>
            <w:webHidden/>
          </w:rPr>
          <w:t>36</w:t>
        </w:r>
        <w:r w:rsidR="004E798E">
          <w:rPr>
            <w:webHidden/>
          </w:rPr>
          <w:fldChar w:fldCharType="end"/>
        </w:r>
      </w:hyperlink>
    </w:p>
    <w:p w14:paraId="2AABA999" w14:textId="3C11E76D" w:rsidR="004E798E" w:rsidRDefault="0095150D" w:rsidP="004E798E">
      <w:pPr>
        <w:pStyle w:val="TOC2"/>
        <w:rPr>
          <w:rFonts w:asciiTheme="minorHAnsi" w:hAnsiTheme="minorHAnsi"/>
          <w:szCs w:val="28"/>
          <w:lang w:eastAsia="zh-CN" w:bidi="th-TH"/>
        </w:rPr>
      </w:pPr>
      <w:hyperlink w:anchor="_Toc116293088" w:history="1">
        <w:r w:rsidR="004E798E" w:rsidRPr="000957E9">
          <w:rPr>
            <w:rStyle w:val="Hyperlink"/>
          </w:rPr>
          <w:t>Indexation of Base Prices</w:t>
        </w:r>
        <w:r w:rsidR="004E798E">
          <w:rPr>
            <w:webHidden/>
          </w:rPr>
          <w:tab/>
        </w:r>
        <w:r w:rsidR="004E798E">
          <w:rPr>
            <w:webHidden/>
          </w:rPr>
          <w:fldChar w:fldCharType="begin"/>
        </w:r>
        <w:r w:rsidR="004E798E">
          <w:rPr>
            <w:webHidden/>
          </w:rPr>
          <w:instrText xml:space="preserve"> PAGEREF _Toc116293088 \h </w:instrText>
        </w:r>
        <w:r w:rsidR="004E798E">
          <w:rPr>
            <w:webHidden/>
          </w:rPr>
        </w:r>
        <w:r w:rsidR="004E798E">
          <w:rPr>
            <w:webHidden/>
          </w:rPr>
          <w:fldChar w:fldCharType="separate"/>
        </w:r>
        <w:r w:rsidR="00765987">
          <w:rPr>
            <w:webHidden/>
          </w:rPr>
          <w:t>36</w:t>
        </w:r>
        <w:r w:rsidR="004E798E">
          <w:rPr>
            <w:webHidden/>
          </w:rPr>
          <w:fldChar w:fldCharType="end"/>
        </w:r>
      </w:hyperlink>
    </w:p>
    <w:p w14:paraId="1696266E" w14:textId="03A733BC" w:rsidR="004E798E" w:rsidRDefault="0095150D" w:rsidP="004E798E">
      <w:pPr>
        <w:pStyle w:val="TOC2"/>
        <w:rPr>
          <w:rFonts w:asciiTheme="minorHAnsi" w:hAnsiTheme="minorHAnsi"/>
          <w:szCs w:val="28"/>
          <w:lang w:eastAsia="zh-CN" w:bidi="th-TH"/>
        </w:rPr>
      </w:pPr>
      <w:hyperlink w:anchor="_Toc116293089" w:history="1">
        <w:r w:rsidR="004E798E" w:rsidRPr="000957E9">
          <w:rPr>
            <w:rStyle w:val="Hyperlink"/>
          </w:rPr>
          <w:t>Other Issues</w:t>
        </w:r>
        <w:r w:rsidR="004E798E">
          <w:rPr>
            <w:webHidden/>
          </w:rPr>
          <w:tab/>
        </w:r>
        <w:r w:rsidR="004E798E">
          <w:rPr>
            <w:webHidden/>
          </w:rPr>
          <w:fldChar w:fldCharType="begin"/>
        </w:r>
        <w:r w:rsidR="004E798E">
          <w:rPr>
            <w:webHidden/>
          </w:rPr>
          <w:instrText xml:space="preserve"> PAGEREF _Toc116293089 \h </w:instrText>
        </w:r>
        <w:r w:rsidR="004E798E">
          <w:rPr>
            <w:webHidden/>
          </w:rPr>
        </w:r>
        <w:r w:rsidR="004E798E">
          <w:rPr>
            <w:webHidden/>
          </w:rPr>
          <w:fldChar w:fldCharType="separate"/>
        </w:r>
        <w:r w:rsidR="00765987">
          <w:rPr>
            <w:webHidden/>
          </w:rPr>
          <w:t>36</w:t>
        </w:r>
        <w:r w:rsidR="004E798E">
          <w:rPr>
            <w:webHidden/>
          </w:rPr>
          <w:fldChar w:fldCharType="end"/>
        </w:r>
      </w:hyperlink>
    </w:p>
    <w:p w14:paraId="194D0741" w14:textId="66AF643A" w:rsidR="004E798E" w:rsidRDefault="0095150D">
      <w:pPr>
        <w:pStyle w:val="TOC1"/>
        <w:rPr>
          <w:rFonts w:asciiTheme="minorHAnsi" w:hAnsiTheme="minorHAnsi"/>
          <w:b w:val="0"/>
          <w:szCs w:val="28"/>
          <w:lang w:eastAsia="zh-CN" w:bidi="th-TH"/>
        </w:rPr>
      </w:pPr>
      <w:hyperlink w:anchor="_Toc116293090" w:history="1">
        <w:r w:rsidR="004E798E" w:rsidRPr="000957E9">
          <w:rPr>
            <w:rStyle w:val="Hyperlink"/>
          </w:rPr>
          <w:t>Appendix A – Limited Cost Assumptions Review</w:t>
        </w:r>
        <w:r w:rsidR="004E798E">
          <w:rPr>
            <w:webHidden/>
          </w:rPr>
          <w:tab/>
        </w:r>
        <w:r w:rsidR="004E798E">
          <w:rPr>
            <w:webHidden/>
          </w:rPr>
          <w:fldChar w:fldCharType="begin"/>
        </w:r>
        <w:r w:rsidR="004E798E">
          <w:rPr>
            <w:webHidden/>
          </w:rPr>
          <w:instrText xml:space="preserve"> PAGEREF _Toc116293090 \h </w:instrText>
        </w:r>
        <w:r w:rsidR="004E798E">
          <w:rPr>
            <w:webHidden/>
          </w:rPr>
        </w:r>
        <w:r w:rsidR="004E798E">
          <w:rPr>
            <w:webHidden/>
          </w:rPr>
          <w:fldChar w:fldCharType="separate"/>
        </w:r>
        <w:r w:rsidR="00765987">
          <w:rPr>
            <w:webHidden/>
          </w:rPr>
          <w:t>37</w:t>
        </w:r>
        <w:r w:rsidR="004E798E">
          <w:rPr>
            <w:webHidden/>
          </w:rPr>
          <w:fldChar w:fldCharType="end"/>
        </w:r>
      </w:hyperlink>
    </w:p>
    <w:p w14:paraId="5ED94B32" w14:textId="131053F1" w:rsidR="002810D1" w:rsidRPr="005F20F5" w:rsidRDefault="00F8502A">
      <w:r>
        <w:fldChar w:fldCharType="end"/>
      </w:r>
    </w:p>
    <w:p w14:paraId="5126AB3C" w14:textId="77777777" w:rsidR="0078683A" w:rsidRPr="0078683A" w:rsidRDefault="0078683A" w:rsidP="0078683A">
      <w:pPr>
        <w:tabs>
          <w:tab w:val="left" w:pos="2866"/>
        </w:tabs>
        <w:rPr>
          <w:sz w:val="36"/>
          <w:szCs w:val="40"/>
        </w:rPr>
        <w:sectPr w:rsidR="0078683A" w:rsidRPr="0078683A" w:rsidSect="00872AF9">
          <w:pgSz w:w="11907" w:h="16839" w:code="9"/>
          <w:pgMar w:top="1440" w:right="1440" w:bottom="1440" w:left="1440" w:header="709" w:footer="709" w:gutter="0"/>
          <w:cols w:space="708"/>
          <w:titlePg/>
          <w:docGrid w:linePitch="360"/>
        </w:sectPr>
      </w:pPr>
    </w:p>
    <w:p w14:paraId="0FE750C4" w14:textId="7DD84F29" w:rsidR="00ED5709" w:rsidRDefault="00ED5709" w:rsidP="00ED5709">
      <w:pPr>
        <w:pStyle w:val="TOCHeading"/>
      </w:pPr>
      <w:r w:rsidRPr="005F20F5">
        <w:lastRenderedPageBreak/>
        <w:t>Terms that we use</w:t>
      </w:r>
    </w:p>
    <w:p w14:paraId="6E61D865" w14:textId="2D3CF816" w:rsidR="0031522F" w:rsidRPr="0031522F" w:rsidRDefault="0031522F" w:rsidP="0031522F">
      <w:r>
        <w:t xml:space="preserve">The formal definition of </w:t>
      </w:r>
      <w:r w:rsidRPr="0031522F">
        <w:t xml:space="preserve">the following Terms can be found in the </w:t>
      </w:r>
      <w:hyperlink r:id="rId22" w:history="1">
        <w:r w:rsidR="00EE1371" w:rsidRPr="00DE28CF">
          <w:rPr>
            <w:rStyle w:val="Hyperlink"/>
            <w:i/>
            <w:iCs/>
            <w:szCs w:val="22"/>
          </w:rPr>
          <w:t>NDIS Pricing Arrangements for Specialist Disability Accommodation 2023-23</w:t>
        </w:r>
      </w:hyperlink>
      <w:r w:rsidR="00EE1371">
        <w:rPr>
          <w:i/>
          <w:iCs/>
          <w:szCs w:val="22"/>
        </w:rPr>
        <w:t>.</w:t>
      </w:r>
    </w:p>
    <w:tbl>
      <w:tblPr>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7"/>
        <w:gridCol w:w="6889"/>
      </w:tblGrid>
      <w:tr w:rsidR="00C329C3" w:rsidRPr="0031522F" w14:paraId="3C698E66" w14:textId="77777777" w:rsidTr="00294429">
        <w:tc>
          <w:tcPr>
            <w:tcW w:w="2127" w:type="dxa"/>
          </w:tcPr>
          <w:p w14:paraId="25B8390B" w14:textId="122D87B6" w:rsidR="00C329C3" w:rsidRPr="0031522F" w:rsidRDefault="00C329C3" w:rsidP="0031522F">
            <w:pPr>
              <w:spacing w:before="40" w:after="40" w:line="240" w:lineRule="atLeast"/>
              <w:rPr>
                <w:b/>
                <w:bCs/>
              </w:rPr>
            </w:pPr>
            <w:r w:rsidRPr="0031522F">
              <w:rPr>
                <w:rFonts w:cs="Arial"/>
                <w:b/>
                <w:bCs/>
                <w:sz w:val="18"/>
                <w:szCs w:val="18"/>
              </w:rPr>
              <w:t>Term</w:t>
            </w:r>
          </w:p>
        </w:tc>
        <w:tc>
          <w:tcPr>
            <w:tcW w:w="6889" w:type="dxa"/>
          </w:tcPr>
          <w:p w14:paraId="277130CA" w14:textId="57C5948D" w:rsidR="00C329C3" w:rsidRPr="0031522F" w:rsidRDefault="00C329C3" w:rsidP="0031522F">
            <w:pPr>
              <w:spacing w:before="40" w:after="40" w:line="240" w:lineRule="atLeast"/>
              <w:rPr>
                <w:b/>
                <w:bCs/>
              </w:rPr>
            </w:pPr>
            <w:r w:rsidRPr="0031522F">
              <w:rPr>
                <w:rFonts w:cs="Arial"/>
                <w:b/>
                <w:bCs/>
                <w:sz w:val="18"/>
                <w:szCs w:val="18"/>
              </w:rPr>
              <w:t>Meaning</w:t>
            </w:r>
          </w:p>
        </w:tc>
      </w:tr>
      <w:tr w:rsidR="00494D5B" w:rsidRPr="0031522F" w14:paraId="48355439" w14:textId="77777777" w:rsidTr="00294429">
        <w:tc>
          <w:tcPr>
            <w:tcW w:w="2127" w:type="dxa"/>
          </w:tcPr>
          <w:p w14:paraId="5EFC1468" w14:textId="2CE44632" w:rsidR="00494D5B" w:rsidRPr="0031522F" w:rsidRDefault="00494D5B" w:rsidP="0031522F">
            <w:pPr>
              <w:spacing w:before="40" w:after="40" w:line="240" w:lineRule="atLeast"/>
              <w:rPr>
                <w:rFonts w:cs="Arial"/>
                <w:b/>
                <w:bCs/>
                <w:i/>
                <w:iCs/>
                <w:sz w:val="18"/>
                <w:szCs w:val="18"/>
              </w:rPr>
            </w:pPr>
            <w:r w:rsidRPr="0031522F">
              <w:rPr>
                <w:rFonts w:cs="Arial"/>
                <w:b/>
                <w:bCs/>
                <w:i/>
                <w:iCs/>
                <w:sz w:val="18"/>
                <w:szCs w:val="18"/>
              </w:rPr>
              <w:t>Building Type</w:t>
            </w:r>
          </w:p>
        </w:tc>
        <w:tc>
          <w:tcPr>
            <w:tcW w:w="6889" w:type="dxa"/>
          </w:tcPr>
          <w:p w14:paraId="07A7B772" w14:textId="77777777" w:rsidR="00494D5B" w:rsidRPr="0031522F" w:rsidRDefault="00494D5B" w:rsidP="0031522F">
            <w:pPr>
              <w:spacing w:before="40" w:after="40" w:line="240" w:lineRule="atLeast"/>
              <w:rPr>
                <w:rFonts w:cs="Arial"/>
                <w:i/>
                <w:iCs/>
                <w:sz w:val="18"/>
                <w:szCs w:val="18"/>
              </w:rPr>
            </w:pPr>
          </w:p>
        </w:tc>
      </w:tr>
      <w:tr w:rsidR="00494D5B" w:rsidRPr="0031522F" w14:paraId="65791DAE" w14:textId="77777777" w:rsidTr="00294429">
        <w:tc>
          <w:tcPr>
            <w:tcW w:w="2127" w:type="dxa"/>
          </w:tcPr>
          <w:p w14:paraId="0D94679C" w14:textId="73AF90F8" w:rsidR="00494D5B" w:rsidRPr="0031522F" w:rsidRDefault="00494D5B" w:rsidP="0031522F">
            <w:pPr>
              <w:spacing w:before="40" w:after="40" w:line="240" w:lineRule="atLeast"/>
              <w:ind w:left="316"/>
              <w:rPr>
                <w:rFonts w:cs="Arial"/>
                <w:sz w:val="18"/>
                <w:szCs w:val="18"/>
              </w:rPr>
            </w:pPr>
            <w:r w:rsidRPr="0031522F">
              <w:rPr>
                <w:rFonts w:cs="Arial"/>
                <w:sz w:val="18"/>
                <w:szCs w:val="18"/>
              </w:rPr>
              <w:t>Apartments</w:t>
            </w:r>
          </w:p>
        </w:tc>
        <w:tc>
          <w:tcPr>
            <w:tcW w:w="6889" w:type="dxa"/>
          </w:tcPr>
          <w:p w14:paraId="1157843F" w14:textId="77777777" w:rsidR="00494D5B" w:rsidRPr="0031522F" w:rsidRDefault="00494D5B" w:rsidP="0031522F">
            <w:pPr>
              <w:spacing w:before="40" w:after="40" w:line="240" w:lineRule="atLeast"/>
              <w:rPr>
                <w:rFonts w:cs="Arial"/>
                <w:sz w:val="18"/>
                <w:szCs w:val="18"/>
              </w:rPr>
            </w:pPr>
            <w:r w:rsidRPr="0031522F">
              <w:rPr>
                <w:rFonts w:cs="Arial"/>
                <w:sz w:val="18"/>
                <w:szCs w:val="18"/>
              </w:rPr>
              <w:t>Self-contained units that are part of a larger residential building.</w:t>
            </w:r>
          </w:p>
        </w:tc>
      </w:tr>
      <w:tr w:rsidR="00494D5B" w:rsidRPr="0031522F" w14:paraId="79BA58E5" w14:textId="77777777" w:rsidTr="00294429">
        <w:tc>
          <w:tcPr>
            <w:tcW w:w="2127" w:type="dxa"/>
          </w:tcPr>
          <w:p w14:paraId="7CCFB521" w14:textId="3220EDE1" w:rsidR="00494D5B" w:rsidRPr="0031522F" w:rsidRDefault="00494D5B" w:rsidP="0031522F">
            <w:pPr>
              <w:spacing w:before="40" w:after="40" w:line="240" w:lineRule="atLeast"/>
              <w:ind w:left="316"/>
              <w:rPr>
                <w:rFonts w:cs="Arial"/>
                <w:sz w:val="18"/>
                <w:szCs w:val="18"/>
              </w:rPr>
            </w:pPr>
            <w:r w:rsidRPr="0031522F">
              <w:rPr>
                <w:rFonts w:cs="Arial"/>
                <w:sz w:val="18"/>
                <w:szCs w:val="18"/>
              </w:rPr>
              <w:t>Duplexes, villas, and townhouses</w:t>
            </w:r>
          </w:p>
        </w:tc>
        <w:tc>
          <w:tcPr>
            <w:tcW w:w="6889" w:type="dxa"/>
          </w:tcPr>
          <w:p w14:paraId="47649BD0" w14:textId="77777777" w:rsidR="00494D5B" w:rsidRPr="0031522F" w:rsidRDefault="00494D5B" w:rsidP="0031522F">
            <w:pPr>
              <w:spacing w:before="40" w:after="40" w:line="240" w:lineRule="atLeast"/>
              <w:rPr>
                <w:rFonts w:cs="Arial"/>
                <w:sz w:val="18"/>
                <w:szCs w:val="18"/>
              </w:rPr>
            </w:pPr>
            <w:r w:rsidRPr="0031522F">
              <w:rPr>
                <w:rFonts w:cs="Arial"/>
                <w:sz w:val="18"/>
                <w:szCs w:val="18"/>
              </w:rPr>
              <w:t>Separate but semi-attached properties within a single land title or strata titled area. This also includes stand-alone villas or granny-flats.</w:t>
            </w:r>
          </w:p>
        </w:tc>
      </w:tr>
      <w:tr w:rsidR="00494D5B" w:rsidRPr="0031522F" w14:paraId="738EE597" w14:textId="77777777" w:rsidTr="00294429">
        <w:tc>
          <w:tcPr>
            <w:tcW w:w="2127" w:type="dxa"/>
          </w:tcPr>
          <w:p w14:paraId="7CF13D54" w14:textId="3452A4E2" w:rsidR="00494D5B" w:rsidRPr="0031522F" w:rsidRDefault="00494D5B" w:rsidP="0031522F">
            <w:pPr>
              <w:spacing w:before="40" w:after="40" w:line="240" w:lineRule="atLeast"/>
              <w:ind w:left="316"/>
              <w:rPr>
                <w:rFonts w:cs="Arial"/>
                <w:sz w:val="18"/>
                <w:szCs w:val="18"/>
              </w:rPr>
            </w:pPr>
            <w:r w:rsidRPr="0031522F">
              <w:rPr>
                <w:rFonts w:cs="Arial"/>
                <w:sz w:val="18"/>
                <w:szCs w:val="18"/>
              </w:rPr>
              <w:t>Houses</w:t>
            </w:r>
          </w:p>
        </w:tc>
        <w:tc>
          <w:tcPr>
            <w:tcW w:w="6889" w:type="dxa"/>
          </w:tcPr>
          <w:p w14:paraId="4DCAAE56" w14:textId="3954F117" w:rsidR="00494D5B" w:rsidRPr="0031522F" w:rsidRDefault="00494D5B" w:rsidP="0031522F">
            <w:pPr>
              <w:spacing w:before="40" w:after="40" w:line="240" w:lineRule="atLeast"/>
              <w:rPr>
                <w:rFonts w:cs="Arial"/>
                <w:sz w:val="18"/>
                <w:szCs w:val="18"/>
              </w:rPr>
            </w:pPr>
            <w:r w:rsidRPr="0031522F">
              <w:rPr>
                <w:rFonts w:cs="Arial"/>
                <w:sz w:val="18"/>
                <w:szCs w:val="18"/>
              </w:rPr>
              <w:t>Detached low-rise buildings with garden or courtyard areas with fewer than 4 bedrooms</w:t>
            </w:r>
            <w:r w:rsidR="00C2475C" w:rsidRPr="0031522F">
              <w:rPr>
                <w:rFonts w:cs="Arial"/>
                <w:sz w:val="18"/>
                <w:szCs w:val="18"/>
              </w:rPr>
              <w:t>.</w:t>
            </w:r>
          </w:p>
        </w:tc>
      </w:tr>
      <w:tr w:rsidR="00494D5B" w:rsidRPr="0031522F" w14:paraId="4A8CBE41" w14:textId="77777777" w:rsidTr="00294429">
        <w:tc>
          <w:tcPr>
            <w:tcW w:w="2127" w:type="dxa"/>
          </w:tcPr>
          <w:p w14:paraId="4C0AD594" w14:textId="61130588" w:rsidR="00494D5B" w:rsidRPr="0031522F" w:rsidRDefault="00494D5B" w:rsidP="0031522F">
            <w:pPr>
              <w:spacing w:before="40" w:after="40" w:line="240" w:lineRule="atLeast"/>
              <w:ind w:left="316"/>
              <w:rPr>
                <w:rFonts w:cs="Arial"/>
                <w:sz w:val="18"/>
                <w:szCs w:val="18"/>
              </w:rPr>
            </w:pPr>
            <w:r w:rsidRPr="0031522F">
              <w:rPr>
                <w:rFonts w:cs="Arial"/>
                <w:sz w:val="18"/>
                <w:szCs w:val="18"/>
              </w:rPr>
              <w:t xml:space="preserve">Group </w:t>
            </w:r>
            <w:r w:rsidR="00601689" w:rsidRPr="0031522F">
              <w:rPr>
                <w:rFonts w:cs="Arial"/>
                <w:sz w:val="18"/>
                <w:szCs w:val="18"/>
              </w:rPr>
              <w:t>Homes</w:t>
            </w:r>
          </w:p>
        </w:tc>
        <w:tc>
          <w:tcPr>
            <w:tcW w:w="6889" w:type="dxa"/>
          </w:tcPr>
          <w:p w14:paraId="56B07531" w14:textId="0AB1D05B" w:rsidR="00494D5B" w:rsidRPr="0031522F" w:rsidRDefault="00494D5B" w:rsidP="0031522F">
            <w:pPr>
              <w:spacing w:before="40" w:after="40" w:line="240" w:lineRule="atLeast"/>
              <w:rPr>
                <w:rFonts w:cs="Arial"/>
                <w:sz w:val="18"/>
                <w:szCs w:val="18"/>
              </w:rPr>
            </w:pPr>
            <w:r w:rsidRPr="0031522F">
              <w:rPr>
                <w:rFonts w:cs="Arial"/>
                <w:sz w:val="18"/>
                <w:szCs w:val="18"/>
              </w:rPr>
              <w:t>Houses that have 4 or 5 bedrooms</w:t>
            </w:r>
            <w:r w:rsidR="00C2475C" w:rsidRPr="0031522F">
              <w:rPr>
                <w:rFonts w:cs="Arial"/>
                <w:sz w:val="18"/>
                <w:szCs w:val="18"/>
              </w:rPr>
              <w:t>.</w:t>
            </w:r>
          </w:p>
        </w:tc>
      </w:tr>
      <w:tr w:rsidR="00494D5B" w:rsidRPr="0031522F" w14:paraId="1A332934" w14:textId="77777777" w:rsidTr="00294429">
        <w:tc>
          <w:tcPr>
            <w:tcW w:w="2127" w:type="dxa"/>
          </w:tcPr>
          <w:p w14:paraId="22DD683C" w14:textId="64694A32" w:rsidR="00494D5B" w:rsidRPr="0031522F" w:rsidRDefault="00494D5B" w:rsidP="0031522F">
            <w:pPr>
              <w:spacing w:before="40" w:after="40" w:line="240" w:lineRule="atLeast"/>
              <w:rPr>
                <w:rFonts w:cs="Arial"/>
                <w:b/>
                <w:bCs/>
                <w:i/>
                <w:iCs/>
                <w:sz w:val="18"/>
                <w:szCs w:val="18"/>
              </w:rPr>
            </w:pPr>
            <w:r w:rsidRPr="0031522F">
              <w:rPr>
                <w:rFonts w:cs="Arial"/>
                <w:b/>
                <w:bCs/>
                <w:i/>
                <w:iCs/>
                <w:sz w:val="18"/>
                <w:szCs w:val="18"/>
              </w:rPr>
              <w:t>Design Category</w:t>
            </w:r>
          </w:p>
        </w:tc>
        <w:tc>
          <w:tcPr>
            <w:tcW w:w="6889" w:type="dxa"/>
          </w:tcPr>
          <w:p w14:paraId="22F488DC" w14:textId="77777777" w:rsidR="00494D5B" w:rsidRPr="0031522F" w:rsidRDefault="00494D5B" w:rsidP="0031522F">
            <w:pPr>
              <w:spacing w:before="40" w:after="40" w:line="240" w:lineRule="atLeast"/>
              <w:rPr>
                <w:rFonts w:cs="Arial"/>
                <w:i/>
                <w:iCs/>
                <w:sz w:val="18"/>
                <w:szCs w:val="18"/>
              </w:rPr>
            </w:pPr>
          </w:p>
        </w:tc>
      </w:tr>
      <w:tr w:rsidR="00C329C3" w:rsidRPr="0031522F" w14:paraId="1096A006" w14:textId="77777777" w:rsidTr="00294429">
        <w:tc>
          <w:tcPr>
            <w:tcW w:w="2127" w:type="dxa"/>
          </w:tcPr>
          <w:p w14:paraId="5BDA952F" w14:textId="65C6E827" w:rsidR="00C329C3" w:rsidRPr="0031522F" w:rsidRDefault="00C329C3" w:rsidP="0031522F">
            <w:pPr>
              <w:spacing w:before="40" w:after="40" w:line="240" w:lineRule="atLeast"/>
              <w:ind w:left="316"/>
              <w:rPr>
                <w:rFonts w:cs="Arial"/>
                <w:sz w:val="18"/>
                <w:szCs w:val="18"/>
              </w:rPr>
            </w:pPr>
            <w:r w:rsidRPr="0031522F">
              <w:rPr>
                <w:rFonts w:cs="Arial"/>
                <w:sz w:val="18"/>
                <w:szCs w:val="18"/>
              </w:rPr>
              <w:t xml:space="preserve">Basic </w:t>
            </w:r>
          </w:p>
        </w:tc>
        <w:tc>
          <w:tcPr>
            <w:tcW w:w="6889" w:type="dxa"/>
          </w:tcPr>
          <w:p w14:paraId="6B9A114D" w14:textId="120187BC" w:rsidR="00C329C3" w:rsidRPr="0031522F" w:rsidRDefault="00C329C3" w:rsidP="0031522F">
            <w:pPr>
              <w:spacing w:before="40" w:after="40" w:line="240" w:lineRule="atLeast"/>
              <w:rPr>
                <w:rFonts w:cs="Arial"/>
                <w:sz w:val="18"/>
                <w:szCs w:val="18"/>
              </w:rPr>
            </w:pPr>
            <w:r w:rsidRPr="0031522F">
              <w:rPr>
                <w:rFonts w:cs="Arial"/>
                <w:sz w:val="18"/>
                <w:szCs w:val="18"/>
              </w:rPr>
              <w:t>Housing without specialist design features but with a location or other features that cater for the needs of people with disability and assist with the delivery of support services.</w:t>
            </w:r>
          </w:p>
        </w:tc>
      </w:tr>
      <w:tr w:rsidR="00C329C3" w:rsidRPr="0031522F" w14:paraId="6DD38CE7" w14:textId="77777777" w:rsidTr="00294429">
        <w:tc>
          <w:tcPr>
            <w:tcW w:w="2127" w:type="dxa"/>
          </w:tcPr>
          <w:p w14:paraId="5B5E5618" w14:textId="1AC514FC" w:rsidR="00C329C3" w:rsidRPr="0031522F" w:rsidRDefault="00C329C3" w:rsidP="0031522F">
            <w:pPr>
              <w:spacing w:before="40" w:after="40" w:line="240" w:lineRule="atLeast"/>
              <w:ind w:left="316"/>
              <w:rPr>
                <w:rFonts w:cs="Arial"/>
                <w:sz w:val="18"/>
                <w:szCs w:val="18"/>
              </w:rPr>
            </w:pPr>
            <w:r w:rsidRPr="0031522F">
              <w:rPr>
                <w:rFonts w:cs="Arial"/>
                <w:sz w:val="18"/>
                <w:szCs w:val="18"/>
              </w:rPr>
              <w:t>Improved Liveability</w:t>
            </w:r>
          </w:p>
        </w:tc>
        <w:tc>
          <w:tcPr>
            <w:tcW w:w="6889" w:type="dxa"/>
          </w:tcPr>
          <w:p w14:paraId="4D19B221" w14:textId="68BCFACD" w:rsidR="00C329C3" w:rsidRPr="0031522F" w:rsidRDefault="00C329C3" w:rsidP="0031522F">
            <w:pPr>
              <w:spacing w:before="40" w:after="40" w:line="240" w:lineRule="atLeast"/>
              <w:rPr>
                <w:rFonts w:cs="Arial"/>
                <w:sz w:val="18"/>
                <w:szCs w:val="18"/>
              </w:rPr>
            </w:pPr>
            <w:r w:rsidRPr="0031522F">
              <w:rPr>
                <w:rFonts w:cs="Arial"/>
                <w:sz w:val="18"/>
                <w:szCs w:val="18"/>
              </w:rPr>
              <w:t xml:space="preserve">Housing that has been designed to improve ‘liveability’ by incorporating a reasonable level of physical access and enhanced provision for people with sensory, </w:t>
            </w:r>
            <w:proofErr w:type="gramStart"/>
            <w:r w:rsidRPr="0031522F">
              <w:rPr>
                <w:rFonts w:cs="Arial"/>
                <w:sz w:val="18"/>
                <w:szCs w:val="18"/>
              </w:rPr>
              <w:t>intellectual</w:t>
            </w:r>
            <w:proofErr w:type="gramEnd"/>
            <w:r w:rsidRPr="0031522F">
              <w:rPr>
                <w:rFonts w:cs="Arial"/>
                <w:sz w:val="18"/>
                <w:szCs w:val="18"/>
              </w:rPr>
              <w:t xml:space="preserve"> or cognitive impairment.</w:t>
            </w:r>
          </w:p>
        </w:tc>
      </w:tr>
      <w:tr w:rsidR="00C329C3" w:rsidRPr="0031522F" w14:paraId="5B4DD5ED" w14:textId="77777777" w:rsidTr="00294429">
        <w:tc>
          <w:tcPr>
            <w:tcW w:w="2127" w:type="dxa"/>
          </w:tcPr>
          <w:p w14:paraId="6060D9DC" w14:textId="365039A1" w:rsidR="00C329C3" w:rsidRPr="0031522F" w:rsidRDefault="00C329C3" w:rsidP="0031522F">
            <w:pPr>
              <w:spacing w:before="40" w:after="40" w:line="240" w:lineRule="atLeast"/>
              <w:ind w:left="316"/>
              <w:rPr>
                <w:rFonts w:cs="Arial"/>
                <w:sz w:val="18"/>
                <w:szCs w:val="18"/>
              </w:rPr>
            </w:pPr>
            <w:r w:rsidRPr="0031522F">
              <w:rPr>
                <w:rFonts w:cs="Arial"/>
                <w:sz w:val="18"/>
                <w:szCs w:val="18"/>
              </w:rPr>
              <w:t>Fully Accessible</w:t>
            </w:r>
          </w:p>
        </w:tc>
        <w:tc>
          <w:tcPr>
            <w:tcW w:w="6889" w:type="dxa"/>
          </w:tcPr>
          <w:p w14:paraId="7E92A842" w14:textId="3A07D935" w:rsidR="00C329C3" w:rsidRPr="0031522F" w:rsidRDefault="00C329C3" w:rsidP="0031522F">
            <w:pPr>
              <w:spacing w:before="40" w:after="40" w:line="240" w:lineRule="atLeast"/>
              <w:rPr>
                <w:rFonts w:cs="Arial"/>
                <w:sz w:val="18"/>
                <w:szCs w:val="18"/>
              </w:rPr>
            </w:pPr>
            <w:r w:rsidRPr="0031522F">
              <w:rPr>
                <w:rFonts w:cs="Arial"/>
                <w:sz w:val="18"/>
                <w:szCs w:val="18"/>
              </w:rPr>
              <w:t xml:space="preserve">Housing that has been designed to incorporate a high level of physical access provision for people with significant physical impairment. </w:t>
            </w:r>
          </w:p>
        </w:tc>
      </w:tr>
      <w:tr w:rsidR="00C329C3" w:rsidRPr="0031522F" w14:paraId="3930A154" w14:textId="77777777" w:rsidTr="00294429">
        <w:tc>
          <w:tcPr>
            <w:tcW w:w="2127" w:type="dxa"/>
          </w:tcPr>
          <w:p w14:paraId="61D3731D" w14:textId="3EBFAAAF" w:rsidR="00C329C3" w:rsidRPr="0031522F" w:rsidRDefault="00C329C3" w:rsidP="0031522F">
            <w:pPr>
              <w:spacing w:before="40" w:after="40" w:line="240" w:lineRule="atLeast"/>
              <w:ind w:left="316"/>
              <w:rPr>
                <w:rFonts w:cs="Arial"/>
                <w:sz w:val="18"/>
                <w:szCs w:val="18"/>
              </w:rPr>
            </w:pPr>
            <w:r w:rsidRPr="0031522F">
              <w:rPr>
                <w:rFonts w:cs="Arial"/>
                <w:sz w:val="18"/>
                <w:szCs w:val="18"/>
              </w:rPr>
              <w:t>Robust</w:t>
            </w:r>
          </w:p>
        </w:tc>
        <w:tc>
          <w:tcPr>
            <w:tcW w:w="6889" w:type="dxa"/>
          </w:tcPr>
          <w:p w14:paraId="07F410AE" w14:textId="2499898A" w:rsidR="00C329C3" w:rsidRPr="0031522F" w:rsidRDefault="00C329C3" w:rsidP="0031522F">
            <w:pPr>
              <w:spacing w:before="40" w:after="40" w:line="240" w:lineRule="atLeast"/>
              <w:rPr>
                <w:rFonts w:cs="Arial"/>
                <w:sz w:val="18"/>
                <w:szCs w:val="18"/>
              </w:rPr>
            </w:pPr>
            <w:r w:rsidRPr="0031522F">
              <w:rPr>
                <w:rFonts w:cs="Arial"/>
                <w:sz w:val="18"/>
                <w:szCs w:val="18"/>
              </w:rPr>
              <w:t>Housing that has been designed to incorporate a high level of physical access provision and be very resilient, while reducing the likelihood of reactive maintenance and reducing the risk to the participant and the community.</w:t>
            </w:r>
          </w:p>
        </w:tc>
      </w:tr>
      <w:tr w:rsidR="00C329C3" w:rsidRPr="0031522F" w14:paraId="341EC4ED" w14:textId="77777777" w:rsidTr="00294429">
        <w:tc>
          <w:tcPr>
            <w:tcW w:w="2127" w:type="dxa"/>
          </w:tcPr>
          <w:p w14:paraId="4259D2A8" w14:textId="5A03C334" w:rsidR="00C329C3" w:rsidRPr="0031522F" w:rsidRDefault="00C329C3" w:rsidP="0031522F">
            <w:pPr>
              <w:spacing w:before="40" w:after="40" w:line="240" w:lineRule="atLeast"/>
              <w:ind w:left="316"/>
              <w:rPr>
                <w:rFonts w:cs="Arial"/>
                <w:sz w:val="18"/>
                <w:szCs w:val="18"/>
              </w:rPr>
            </w:pPr>
            <w:r w:rsidRPr="0031522F">
              <w:rPr>
                <w:rFonts w:cs="Arial"/>
                <w:sz w:val="18"/>
                <w:szCs w:val="18"/>
              </w:rPr>
              <w:t>High Physical Support</w:t>
            </w:r>
          </w:p>
        </w:tc>
        <w:tc>
          <w:tcPr>
            <w:tcW w:w="6889" w:type="dxa"/>
          </w:tcPr>
          <w:p w14:paraId="0AF3555F" w14:textId="05CBD420" w:rsidR="00C329C3" w:rsidRPr="0031522F" w:rsidRDefault="00C329C3" w:rsidP="0031522F">
            <w:pPr>
              <w:spacing w:before="40" w:after="40" w:line="240" w:lineRule="atLeast"/>
              <w:rPr>
                <w:rFonts w:cs="Arial"/>
                <w:sz w:val="18"/>
                <w:szCs w:val="18"/>
              </w:rPr>
            </w:pPr>
            <w:r w:rsidRPr="0031522F">
              <w:rPr>
                <w:rFonts w:cs="Arial"/>
                <w:sz w:val="18"/>
                <w:szCs w:val="18"/>
              </w:rPr>
              <w:t>Housing that has been designed to incorporate a high level of physical access provision for people with significant physical impairment and requiring very high levels of support.</w:t>
            </w:r>
          </w:p>
        </w:tc>
      </w:tr>
      <w:tr w:rsidR="00494D5B" w:rsidRPr="0031522F" w14:paraId="1A793935" w14:textId="77777777" w:rsidTr="00294429">
        <w:trPr>
          <w:tblHeader/>
        </w:trPr>
        <w:tc>
          <w:tcPr>
            <w:tcW w:w="2127" w:type="dxa"/>
          </w:tcPr>
          <w:p w14:paraId="72490A8B" w14:textId="3584A011" w:rsidR="00494D5B" w:rsidRPr="0031522F" w:rsidRDefault="00494D5B" w:rsidP="0031522F">
            <w:pPr>
              <w:spacing w:before="40" w:after="40" w:line="240" w:lineRule="atLeast"/>
              <w:rPr>
                <w:rFonts w:cs="Arial"/>
                <w:b/>
                <w:bCs/>
                <w:sz w:val="18"/>
                <w:szCs w:val="18"/>
              </w:rPr>
            </w:pPr>
            <w:r w:rsidRPr="0031522F">
              <w:rPr>
                <w:rFonts w:cs="Arial"/>
                <w:b/>
                <w:bCs/>
                <w:sz w:val="18"/>
                <w:szCs w:val="18"/>
              </w:rPr>
              <w:t>Enrolled Dwelling</w:t>
            </w:r>
          </w:p>
        </w:tc>
        <w:tc>
          <w:tcPr>
            <w:tcW w:w="6889" w:type="dxa"/>
          </w:tcPr>
          <w:p w14:paraId="77267C3D" w14:textId="6292F418" w:rsidR="00494D5B" w:rsidRPr="0031522F" w:rsidRDefault="00494D5B" w:rsidP="0031522F">
            <w:pPr>
              <w:spacing w:before="40" w:after="40" w:line="240" w:lineRule="atLeast"/>
              <w:rPr>
                <w:rFonts w:cs="Arial"/>
                <w:sz w:val="18"/>
                <w:szCs w:val="18"/>
              </w:rPr>
            </w:pPr>
            <w:r w:rsidRPr="0031522F">
              <w:rPr>
                <w:rFonts w:cs="Arial"/>
                <w:sz w:val="18"/>
                <w:szCs w:val="18"/>
              </w:rPr>
              <w:t xml:space="preserve">A dwelling enrolled under section 26 of the </w:t>
            </w:r>
            <w:r w:rsidR="0098027A" w:rsidRPr="0031522F">
              <w:rPr>
                <w:rFonts w:cs="Arial"/>
                <w:i/>
                <w:iCs/>
                <w:sz w:val="18"/>
                <w:szCs w:val="18"/>
              </w:rPr>
              <w:t xml:space="preserve">NDIS </w:t>
            </w:r>
            <w:r w:rsidRPr="0031522F">
              <w:rPr>
                <w:rFonts w:cs="Arial"/>
                <w:i/>
                <w:iCs/>
                <w:sz w:val="18"/>
                <w:szCs w:val="18"/>
              </w:rPr>
              <w:t xml:space="preserve">(Specialist Disability Accommodation) Rules 2020 </w:t>
            </w:r>
            <w:r w:rsidRPr="0031522F">
              <w:rPr>
                <w:rFonts w:cs="Arial"/>
                <w:sz w:val="18"/>
                <w:szCs w:val="18"/>
              </w:rPr>
              <w:t>to provide SDA</w:t>
            </w:r>
            <w:r w:rsidR="00C2475C" w:rsidRPr="0031522F">
              <w:rPr>
                <w:rFonts w:cs="Arial"/>
                <w:sz w:val="18"/>
                <w:szCs w:val="18"/>
              </w:rPr>
              <w:t>.</w:t>
            </w:r>
          </w:p>
        </w:tc>
      </w:tr>
      <w:tr w:rsidR="00C329C3" w:rsidRPr="0031522F" w14:paraId="45679885" w14:textId="77777777" w:rsidTr="00294429">
        <w:trPr>
          <w:tblHeader/>
        </w:trPr>
        <w:tc>
          <w:tcPr>
            <w:tcW w:w="2127" w:type="dxa"/>
          </w:tcPr>
          <w:p w14:paraId="6EF1331F" w14:textId="77777777" w:rsidR="00C329C3" w:rsidRPr="0031522F" w:rsidRDefault="00C329C3" w:rsidP="0031522F">
            <w:pPr>
              <w:spacing w:before="40" w:after="40" w:line="240" w:lineRule="atLeast"/>
              <w:rPr>
                <w:rFonts w:cs="Arial"/>
                <w:b/>
                <w:bCs/>
                <w:sz w:val="18"/>
                <w:szCs w:val="18"/>
              </w:rPr>
            </w:pPr>
            <w:r w:rsidRPr="0031522F">
              <w:rPr>
                <w:rFonts w:cs="Arial"/>
                <w:b/>
                <w:bCs/>
                <w:sz w:val="18"/>
                <w:szCs w:val="18"/>
              </w:rPr>
              <w:t>NDIA</w:t>
            </w:r>
          </w:p>
        </w:tc>
        <w:tc>
          <w:tcPr>
            <w:tcW w:w="6889" w:type="dxa"/>
          </w:tcPr>
          <w:p w14:paraId="36430D72" w14:textId="77777777" w:rsidR="00C329C3" w:rsidRPr="0031522F" w:rsidRDefault="00C329C3" w:rsidP="0031522F">
            <w:pPr>
              <w:spacing w:before="40" w:after="40" w:line="240" w:lineRule="atLeast"/>
              <w:rPr>
                <w:rFonts w:cs="Arial"/>
                <w:sz w:val="18"/>
                <w:szCs w:val="18"/>
              </w:rPr>
            </w:pPr>
            <w:r w:rsidRPr="0031522F">
              <w:rPr>
                <w:rFonts w:cs="Arial"/>
                <w:sz w:val="18"/>
                <w:szCs w:val="18"/>
              </w:rPr>
              <w:t>National Disability Insurance Agency</w:t>
            </w:r>
          </w:p>
        </w:tc>
      </w:tr>
      <w:tr w:rsidR="00C329C3" w:rsidRPr="0031522F" w14:paraId="319F824A" w14:textId="77777777" w:rsidTr="00294429">
        <w:tc>
          <w:tcPr>
            <w:tcW w:w="2127" w:type="dxa"/>
          </w:tcPr>
          <w:p w14:paraId="3252F272" w14:textId="77777777" w:rsidR="00C329C3" w:rsidRPr="0031522F" w:rsidRDefault="00C329C3" w:rsidP="0031522F">
            <w:pPr>
              <w:spacing w:before="40" w:after="40" w:line="240" w:lineRule="atLeast"/>
              <w:rPr>
                <w:rFonts w:cs="Arial"/>
                <w:b/>
                <w:bCs/>
                <w:sz w:val="18"/>
                <w:szCs w:val="18"/>
              </w:rPr>
            </w:pPr>
            <w:r w:rsidRPr="0031522F">
              <w:rPr>
                <w:rFonts w:cs="Arial"/>
                <w:b/>
                <w:bCs/>
                <w:sz w:val="18"/>
                <w:szCs w:val="18"/>
              </w:rPr>
              <w:t>NDIS</w:t>
            </w:r>
          </w:p>
        </w:tc>
        <w:tc>
          <w:tcPr>
            <w:tcW w:w="6889" w:type="dxa"/>
          </w:tcPr>
          <w:p w14:paraId="332BC7DF" w14:textId="77777777" w:rsidR="00C329C3" w:rsidRPr="0031522F" w:rsidRDefault="00C329C3" w:rsidP="0031522F">
            <w:pPr>
              <w:spacing w:before="40" w:after="40" w:line="240" w:lineRule="atLeast"/>
              <w:rPr>
                <w:rFonts w:cs="Arial"/>
                <w:sz w:val="18"/>
                <w:szCs w:val="18"/>
              </w:rPr>
            </w:pPr>
            <w:r w:rsidRPr="0031522F">
              <w:rPr>
                <w:rFonts w:cs="Arial"/>
                <w:sz w:val="18"/>
                <w:szCs w:val="18"/>
              </w:rPr>
              <w:t>National Disability Insurance Scheme</w:t>
            </w:r>
          </w:p>
        </w:tc>
      </w:tr>
      <w:tr w:rsidR="00C329C3" w:rsidRPr="0031522F" w14:paraId="17DF58A8" w14:textId="77777777" w:rsidTr="00294429">
        <w:tc>
          <w:tcPr>
            <w:tcW w:w="2127" w:type="dxa"/>
          </w:tcPr>
          <w:p w14:paraId="7F012FE2" w14:textId="77777777" w:rsidR="00C329C3" w:rsidRPr="0031522F" w:rsidRDefault="00C329C3" w:rsidP="0031522F">
            <w:pPr>
              <w:spacing w:before="40" w:after="40" w:line="240" w:lineRule="atLeast"/>
              <w:rPr>
                <w:rFonts w:cs="Arial"/>
                <w:b/>
                <w:bCs/>
                <w:sz w:val="18"/>
                <w:szCs w:val="18"/>
              </w:rPr>
            </w:pPr>
            <w:r w:rsidRPr="0031522F">
              <w:rPr>
                <w:rFonts w:cs="Arial"/>
                <w:b/>
                <w:bCs/>
                <w:sz w:val="18"/>
                <w:szCs w:val="18"/>
              </w:rPr>
              <w:t>SDA</w:t>
            </w:r>
          </w:p>
        </w:tc>
        <w:tc>
          <w:tcPr>
            <w:tcW w:w="6889" w:type="dxa"/>
          </w:tcPr>
          <w:p w14:paraId="6B96EBC2" w14:textId="77777777" w:rsidR="00C329C3" w:rsidRPr="0031522F" w:rsidRDefault="00C329C3" w:rsidP="0031522F">
            <w:pPr>
              <w:spacing w:before="40" w:after="40" w:line="240" w:lineRule="atLeast"/>
              <w:rPr>
                <w:rFonts w:cs="Arial"/>
                <w:sz w:val="18"/>
                <w:szCs w:val="18"/>
              </w:rPr>
            </w:pPr>
            <w:r w:rsidRPr="0031522F">
              <w:rPr>
                <w:rFonts w:cs="Arial"/>
                <w:sz w:val="18"/>
                <w:szCs w:val="18"/>
              </w:rPr>
              <w:t>Specialist Disability Accommodation</w:t>
            </w:r>
          </w:p>
        </w:tc>
      </w:tr>
      <w:tr w:rsidR="0098027A" w:rsidRPr="0031522F" w14:paraId="4CBDF843" w14:textId="77777777" w:rsidTr="00294429">
        <w:tc>
          <w:tcPr>
            <w:tcW w:w="2127" w:type="dxa"/>
          </w:tcPr>
          <w:p w14:paraId="3B52694C" w14:textId="4A54DB2D" w:rsidR="0098027A" w:rsidRPr="0031522F" w:rsidRDefault="0098027A" w:rsidP="0031522F">
            <w:pPr>
              <w:spacing w:before="40" w:after="40" w:line="240" w:lineRule="atLeast"/>
              <w:rPr>
                <w:rFonts w:cs="Arial"/>
                <w:b/>
                <w:bCs/>
                <w:i/>
                <w:iCs/>
                <w:sz w:val="18"/>
                <w:szCs w:val="18"/>
              </w:rPr>
            </w:pPr>
            <w:r w:rsidRPr="0031522F">
              <w:rPr>
                <w:rFonts w:cs="Arial"/>
                <w:b/>
                <w:bCs/>
                <w:i/>
                <w:iCs/>
                <w:sz w:val="18"/>
                <w:szCs w:val="18"/>
              </w:rPr>
              <w:t>SDA Type</w:t>
            </w:r>
          </w:p>
        </w:tc>
        <w:tc>
          <w:tcPr>
            <w:tcW w:w="6889" w:type="dxa"/>
          </w:tcPr>
          <w:p w14:paraId="639E58B5" w14:textId="77777777" w:rsidR="0098027A" w:rsidRPr="0031522F" w:rsidRDefault="0098027A" w:rsidP="0031522F">
            <w:pPr>
              <w:spacing w:before="40" w:after="40" w:line="240" w:lineRule="atLeast"/>
              <w:rPr>
                <w:rFonts w:cs="Arial"/>
                <w:b/>
                <w:bCs/>
                <w:i/>
                <w:iCs/>
                <w:sz w:val="18"/>
                <w:szCs w:val="18"/>
              </w:rPr>
            </w:pPr>
          </w:p>
        </w:tc>
      </w:tr>
      <w:tr w:rsidR="0098027A" w:rsidRPr="0031522F" w14:paraId="4A168135" w14:textId="77777777" w:rsidTr="00294429">
        <w:tc>
          <w:tcPr>
            <w:tcW w:w="2127" w:type="dxa"/>
          </w:tcPr>
          <w:p w14:paraId="390BD422" w14:textId="138A019B" w:rsidR="0098027A" w:rsidRPr="0031522F" w:rsidRDefault="0098027A" w:rsidP="0031522F">
            <w:pPr>
              <w:spacing w:before="40" w:after="40" w:line="240" w:lineRule="atLeast"/>
              <w:ind w:left="316"/>
              <w:rPr>
                <w:rFonts w:cs="Arial"/>
                <w:sz w:val="18"/>
                <w:szCs w:val="18"/>
              </w:rPr>
            </w:pPr>
            <w:r w:rsidRPr="0031522F">
              <w:rPr>
                <w:rFonts w:cs="Arial"/>
                <w:sz w:val="18"/>
                <w:szCs w:val="18"/>
              </w:rPr>
              <w:t>New Build</w:t>
            </w:r>
          </w:p>
        </w:tc>
        <w:tc>
          <w:tcPr>
            <w:tcW w:w="6889" w:type="dxa"/>
          </w:tcPr>
          <w:p w14:paraId="15D5E748" w14:textId="77788CF8" w:rsidR="0098027A" w:rsidRPr="0031522F" w:rsidRDefault="00A65225" w:rsidP="0031522F">
            <w:pPr>
              <w:spacing w:before="40" w:after="40" w:line="240" w:lineRule="atLeast"/>
              <w:rPr>
                <w:rFonts w:cs="Arial"/>
                <w:sz w:val="18"/>
                <w:szCs w:val="18"/>
              </w:rPr>
            </w:pPr>
            <w:r w:rsidRPr="0031522F">
              <w:rPr>
                <w:rFonts w:cs="Arial"/>
                <w:sz w:val="18"/>
                <w:szCs w:val="18"/>
              </w:rPr>
              <w:t>A dwelling that is enrolled to house five or fewer long-term residents and that was issued its first certificate of occupancy</w:t>
            </w:r>
            <w:r w:rsidR="005113BA">
              <w:rPr>
                <w:rFonts w:cs="Arial"/>
                <w:sz w:val="18"/>
                <w:szCs w:val="18"/>
              </w:rPr>
              <w:t>,</w:t>
            </w:r>
            <w:r w:rsidRPr="0031522F">
              <w:rPr>
                <w:rFonts w:cs="Arial"/>
                <w:sz w:val="18"/>
                <w:szCs w:val="18"/>
              </w:rPr>
              <w:t xml:space="preserve"> or equivalent</w:t>
            </w:r>
            <w:r w:rsidR="005113BA">
              <w:rPr>
                <w:rFonts w:cs="Arial"/>
                <w:sz w:val="18"/>
                <w:szCs w:val="18"/>
              </w:rPr>
              <w:t>,</w:t>
            </w:r>
            <w:r w:rsidRPr="0031522F">
              <w:rPr>
                <w:rFonts w:cs="Arial"/>
                <w:sz w:val="18"/>
                <w:szCs w:val="18"/>
              </w:rPr>
              <w:t xml:space="preserve"> on or after 1 April 2016. All its shared areas, and any bedrooms for use by SDA-eligible participants must comply with the Minimum Requirements for a Design Category other than Basic.</w:t>
            </w:r>
          </w:p>
        </w:tc>
      </w:tr>
      <w:tr w:rsidR="0098027A" w:rsidRPr="0031522F" w14:paraId="0728A581" w14:textId="77777777" w:rsidTr="00294429">
        <w:tc>
          <w:tcPr>
            <w:tcW w:w="2127" w:type="dxa"/>
          </w:tcPr>
          <w:p w14:paraId="55FA5314" w14:textId="19175D52" w:rsidR="0098027A" w:rsidRPr="0031522F" w:rsidRDefault="0098027A" w:rsidP="0031522F">
            <w:pPr>
              <w:spacing w:before="40" w:after="40" w:line="240" w:lineRule="atLeast"/>
              <w:ind w:left="316"/>
              <w:rPr>
                <w:rFonts w:cs="Arial"/>
                <w:sz w:val="18"/>
                <w:szCs w:val="18"/>
              </w:rPr>
            </w:pPr>
            <w:r w:rsidRPr="0031522F">
              <w:rPr>
                <w:rFonts w:cs="Arial"/>
                <w:sz w:val="18"/>
                <w:szCs w:val="18"/>
              </w:rPr>
              <w:t>Existing Stock</w:t>
            </w:r>
          </w:p>
        </w:tc>
        <w:tc>
          <w:tcPr>
            <w:tcW w:w="6889" w:type="dxa"/>
          </w:tcPr>
          <w:p w14:paraId="7F51FB75" w14:textId="5737A556" w:rsidR="0098027A" w:rsidRPr="0031522F" w:rsidRDefault="00E84C21" w:rsidP="0031522F">
            <w:pPr>
              <w:spacing w:before="40" w:after="40" w:line="240" w:lineRule="atLeast"/>
              <w:rPr>
                <w:rFonts w:cs="Arial"/>
                <w:sz w:val="18"/>
                <w:szCs w:val="18"/>
              </w:rPr>
            </w:pPr>
            <w:r w:rsidRPr="0031522F">
              <w:rPr>
                <w:rFonts w:cs="Arial"/>
                <w:sz w:val="18"/>
                <w:szCs w:val="18"/>
              </w:rPr>
              <w:t xml:space="preserve">A dwelling that is enrolled to house five or fewer long-term residents and that was built before 1 April 2016 and that was used as disability related supported accommodation under a previous state, territory, or </w:t>
            </w:r>
            <w:r w:rsidR="006165BA">
              <w:rPr>
                <w:rFonts w:cs="Arial"/>
                <w:sz w:val="18"/>
                <w:szCs w:val="18"/>
              </w:rPr>
              <w:t>C</w:t>
            </w:r>
            <w:r w:rsidRPr="0031522F">
              <w:rPr>
                <w:rFonts w:cs="Arial"/>
                <w:sz w:val="18"/>
                <w:szCs w:val="18"/>
              </w:rPr>
              <w:t xml:space="preserve">ommonwealth scheme. Existing dwellings must comply with the requirements of a </w:t>
            </w:r>
            <w:r w:rsidR="005F132E">
              <w:rPr>
                <w:rFonts w:cs="Arial"/>
                <w:sz w:val="18"/>
                <w:szCs w:val="18"/>
              </w:rPr>
              <w:t>N</w:t>
            </w:r>
            <w:r w:rsidRPr="0031522F">
              <w:rPr>
                <w:rFonts w:cs="Arial"/>
                <w:sz w:val="18"/>
                <w:szCs w:val="18"/>
              </w:rPr>
              <w:t xml:space="preserve">ew </w:t>
            </w:r>
            <w:r w:rsidR="005F132E">
              <w:rPr>
                <w:rFonts w:cs="Arial"/>
                <w:sz w:val="18"/>
                <w:szCs w:val="18"/>
              </w:rPr>
              <w:t>B</w:t>
            </w:r>
            <w:r w:rsidRPr="0031522F">
              <w:rPr>
                <w:rFonts w:cs="Arial"/>
                <w:sz w:val="18"/>
                <w:szCs w:val="18"/>
              </w:rPr>
              <w:t>uild.</w:t>
            </w:r>
          </w:p>
        </w:tc>
      </w:tr>
      <w:tr w:rsidR="0098027A" w:rsidRPr="0031522F" w14:paraId="5B994883" w14:textId="77777777" w:rsidTr="00294429">
        <w:tc>
          <w:tcPr>
            <w:tcW w:w="2127" w:type="dxa"/>
          </w:tcPr>
          <w:p w14:paraId="643C7C1C" w14:textId="50F0FCBA" w:rsidR="0098027A" w:rsidRPr="0031522F" w:rsidRDefault="0098027A" w:rsidP="0031522F">
            <w:pPr>
              <w:spacing w:before="40" w:after="40" w:line="240" w:lineRule="atLeast"/>
              <w:ind w:left="316"/>
              <w:rPr>
                <w:rFonts w:cs="Arial"/>
                <w:sz w:val="18"/>
                <w:szCs w:val="18"/>
              </w:rPr>
            </w:pPr>
            <w:r w:rsidRPr="0031522F">
              <w:rPr>
                <w:rFonts w:cs="Arial"/>
                <w:sz w:val="18"/>
                <w:szCs w:val="18"/>
              </w:rPr>
              <w:t>Legacy Stock</w:t>
            </w:r>
          </w:p>
        </w:tc>
        <w:tc>
          <w:tcPr>
            <w:tcW w:w="6889" w:type="dxa"/>
          </w:tcPr>
          <w:p w14:paraId="7F723647" w14:textId="5B871696" w:rsidR="0098027A" w:rsidRPr="0031522F" w:rsidRDefault="00E84C21" w:rsidP="0031522F">
            <w:pPr>
              <w:spacing w:before="40" w:after="40" w:line="240" w:lineRule="atLeast"/>
              <w:rPr>
                <w:rFonts w:cs="Arial"/>
                <w:sz w:val="18"/>
                <w:szCs w:val="18"/>
              </w:rPr>
            </w:pPr>
            <w:r w:rsidRPr="0031522F">
              <w:rPr>
                <w:rFonts w:cs="Arial"/>
                <w:sz w:val="18"/>
                <w:szCs w:val="18"/>
              </w:rPr>
              <w:t>A dwelling that meets the Existing St</w:t>
            </w:r>
            <w:r w:rsidR="00C2475C" w:rsidRPr="0031522F">
              <w:rPr>
                <w:rFonts w:cs="Arial"/>
                <w:sz w:val="18"/>
                <w:szCs w:val="18"/>
              </w:rPr>
              <w:t>o</w:t>
            </w:r>
            <w:r w:rsidRPr="0031522F">
              <w:rPr>
                <w:rFonts w:cs="Arial"/>
                <w:sz w:val="18"/>
                <w:szCs w:val="18"/>
              </w:rPr>
              <w:t xml:space="preserve">ck </w:t>
            </w:r>
            <w:r w:rsidR="00C2475C" w:rsidRPr="0031522F">
              <w:rPr>
                <w:rFonts w:cs="Arial"/>
                <w:sz w:val="18"/>
                <w:szCs w:val="18"/>
              </w:rPr>
              <w:t xml:space="preserve">requirements </w:t>
            </w:r>
            <w:r w:rsidRPr="0031522F">
              <w:rPr>
                <w:rFonts w:cs="Arial"/>
                <w:sz w:val="18"/>
                <w:szCs w:val="18"/>
              </w:rPr>
              <w:t>except that it houses more than 5 residents.</w:t>
            </w:r>
          </w:p>
        </w:tc>
      </w:tr>
      <w:tr w:rsidR="00294429" w:rsidRPr="0098027A" w14:paraId="29861D2A" w14:textId="77777777" w:rsidTr="00294429">
        <w:tc>
          <w:tcPr>
            <w:tcW w:w="2127" w:type="dxa"/>
          </w:tcPr>
          <w:p w14:paraId="12F51204" w14:textId="3A89DC7A" w:rsidR="00294429" w:rsidRPr="0031522F" w:rsidRDefault="00294429" w:rsidP="0031522F">
            <w:pPr>
              <w:spacing w:before="40" w:after="40" w:line="240" w:lineRule="atLeast"/>
              <w:ind w:left="316"/>
              <w:rPr>
                <w:rFonts w:cs="Arial"/>
                <w:sz w:val="18"/>
                <w:szCs w:val="18"/>
              </w:rPr>
            </w:pPr>
            <w:r w:rsidRPr="0031522F">
              <w:rPr>
                <w:rFonts w:cs="Arial"/>
                <w:sz w:val="18"/>
                <w:szCs w:val="18"/>
              </w:rPr>
              <w:t>New Build (Refurbished)</w:t>
            </w:r>
          </w:p>
        </w:tc>
        <w:tc>
          <w:tcPr>
            <w:tcW w:w="6889" w:type="dxa"/>
          </w:tcPr>
          <w:p w14:paraId="5EC0E7B6" w14:textId="15958D2B" w:rsidR="00294429" w:rsidRPr="0031522F" w:rsidRDefault="00294429" w:rsidP="0031522F">
            <w:pPr>
              <w:spacing w:before="40" w:after="40" w:line="240" w:lineRule="atLeast"/>
              <w:rPr>
                <w:rFonts w:cs="Arial"/>
                <w:sz w:val="18"/>
                <w:szCs w:val="18"/>
              </w:rPr>
            </w:pPr>
            <w:r w:rsidRPr="0031522F">
              <w:rPr>
                <w:rFonts w:cs="Arial"/>
                <w:sz w:val="18"/>
                <w:szCs w:val="18"/>
              </w:rPr>
              <w:t xml:space="preserve">A dwelling that was built before 1 April 2016 but </w:t>
            </w:r>
            <w:r w:rsidR="00C2475C" w:rsidRPr="0031522F">
              <w:rPr>
                <w:rFonts w:cs="Arial"/>
                <w:sz w:val="18"/>
                <w:szCs w:val="18"/>
              </w:rPr>
              <w:t xml:space="preserve">that </w:t>
            </w:r>
            <w:r w:rsidRPr="0031522F">
              <w:rPr>
                <w:rFonts w:cs="Arial"/>
                <w:sz w:val="18"/>
                <w:szCs w:val="18"/>
              </w:rPr>
              <w:t xml:space="preserve">has been significantly refurbished since </w:t>
            </w:r>
            <w:r w:rsidR="00C2475C" w:rsidRPr="0031522F">
              <w:rPr>
                <w:rFonts w:cs="Arial"/>
                <w:sz w:val="18"/>
                <w:szCs w:val="18"/>
              </w:rPr>
              <w:t xml:space="preserve">1 April 2016 </w:t>
            </w:r>
            <w:r w:rsidRPr="0031522F">
              <w:rPr>
                <w:rFonts w:cs="Arial"/>
                <w:sz w:val="18"/>
                <w:szCs w:val="18"/>
              </w:rPr>
              <w:t xml:space="preserve">and now meets </w:t>
            </w:r>
            <w:proofErr w:type="gramStart"/>
            <w:r w:rsidRPr="0031522F">
              <w:rPr>
                <w:rFonts w:cs="Arial"/>
                <w:sz w:val="18"/>
                <w:szCs w:val="18"/>
              </w:rPr>
              <w:t>all of</w:t>
            </w:r>
            <w:proofErr w:type="gramEnd"/>
            <w:r w:rsidRPr="0031522F">
              <w:rPr>
                <w:rFonts w:cs="Arial"/>
                <w:sz w:val="18"/>
                <w:szCs w:val="18"/>
              </w:rPr>
              <w:t xml:space="preserve"> the requirements for a </w:t>
            </w:r>
            <w:r w:rsidR="00C2475C" w:rsidRPr="0031522F">
              <w:rPr>
                <w:rFonts w:cs="Arial"/>
                <w:sz w:val="18"/>
                <w:szCs w:val="18"/>
              </w:rPr>
              <w:t>N</w:t>
            </w:r>
            <w:r w:rsidRPr="0031522F">
              <w:rPr>
                <w:rFonts w:cs="Arial"/>
                <w:sz w:val="18"/>
                <w:szCs w:val="18"/>
              </w:rPr>
              <w:t xml:space="preserve">ew </w:t>
            </w:r>
            <w:r w:rsidR="00C2475C" w:rsidRPr="0031522F">
              <w:rPr>
                <w:rFonts w:cs="Arial"/>
                <w:sz w:val="18"/>
                <w:szCs w:val="18"/>
              </w:rPr>
              <w:t>B</w:t>
            </w:r>
            <w:r w:rsidRPr="0031522F">
              <w:rPr>
                <w:rFonts w:cs="Arial"/>
                <w:sz w:val="18"/>
                <w:szCs w:val="18"/>
              </w:rPr>
              <w:t>uild.</w:t>
            </w:r>
          </w:p>
        </w:tc>
      </w:tr>
    </w:tbl>
    <w:p w14:paraId="745B6D35" w14:textId="0C6BEB8A" w:rsidR="00C329C3" w:rsidRPr="00ED5709" w:rsidRDefault="00C329C3" w:rsidP="00ED5709">
      <w:pPr>
        <w:sectPr w:rsidR="00C329C3" w:rsidRPr="00ED5709" w:rsidSect="00872AF9">
          <w:pgSz w:w="11907" w:h="16839" w:code="9"/>
          <w:pgMar w:top="1440" w:right="1440" w:bottom="1440" w:left="1440" w:header="709" w:footer="709" w:gutter="0"/>
          <w:cols w:space="708"/>
          <w:titlePg/>
          <w:docGrid w:linePitch="360"/>
        </w:sectPr>
      </w:pPr>
    </w:p>
    <w:p w14:paraId="5383F01E" w14:textId="77777777" w:rsidR="007667AF" w:rsidRPr="005F20F5" w:rsidRDefault="006A27AE" w:rsidP="009679B3">
      <w:pPr>
        <w:pStyle w:val="Heading1"/>
      </w:pPr>
      <w:bookmarkStart w:id="1" w:name="_Toc116293066"/>
      <w:r>
        <w:lastRenderedPageBreak/>
        <w:t>I</w:t>
      </w:r>
      <w:r w:rsidR="00DB5FA9">
        <w:t>ntroduction</w:t>
      </w:r>
      <w:bookmarkEnd w:id="1"/>
    </w:p>
    <w:p w14:paraId="1BE49B6D" w14:textId="77777777" w:rsidR="004348C1" w:rsidRDefault="00BE647B" w:rsidP="00BE647B">
      <w:pPr>
        <w:rPr>
          <w:szCs w:val="22"/>
        </w:rPr>
      </w:pPr>
      <w:r w:rsidRPr="00BE647B">
        <w:rPr>
          <w:szCs w:val="22"/>
        </w:rPr>
        <w:t>The National Disability Insurance Scheme (NDIS) was established in 2013 to support people with disability to pursue their goals</w:t>
      </w:r>
      <w:r w:rsidR="00BB394C">
        <w:rPr>
          <w:szCs w:val="22"/>
        </w:rPr>
        <w:t>,</w:t>
      </w:r>
      <w:r w:rsidRPr="00BE647B">
        <w:rPr>
          <w:szCs w:val="22"/>
        </w:rPr>
        <w:t xml:space="preserve"> to realise their full potential, to assist them to participate in and contribute to society, and to empower them to exercise choice and control over their lives and futures. The NDIS provides funding to eligible individuals (“participants”) so that they can purchase, in the open market, the disability related goods and services (“supports”) that they need. </w:t>
      </w:r>
    </w:p>
    <w:p w14:paraId="2B74FDFF" w14:textId="28A0DCEA" w:rsidR="00BE647B" w:rsidRDefault="00BE647B" w:rsidP="00BE647B">
      <w:pPr>
        <w:rPr>
          <w:szCs w:val="22"/>
        </w:rPr>
      </w:pPr>
      <w:r w:rsidRPr="00BE647B">
        <w:rPr>
          <w:szCs w:val="22"/>
        </w:rPr>
        <w:t>The NDIS is administered by the National Disability Insurance Agency (NDIA). The NDIA has a role, as market steward, to create an efficient</w:t>
      </w:r>
      <w:r w:rsidR="00BB394C">
        <w:rPr>
          <w:szCs w:val="22"/>
        </w:rPr>
        <w:t xml:space="preserve">, </w:t>
      </w:r>
      <w:r w:rsidRPr="00BE647B">
        <w:rPr>
          <w:szCs w:val="22"/>
        </w:rPr>
        <w:t>sustainable</w:t>
      </w:r>
      <w:r w:rsidR="00BB394C">
        <w:rPr>
          <w:szCs w:val="22"/>
        </w:rPr>
        <w:t>,</w:t>
      </w:r>
      <w:r w:rsidRPr="00BE647B">
        <w:rPr>
          <w:szCs w:val="22"/>
        </w:rPr>
        <w:t xml:space="preserve"> consumer driven </w:t>
      </w:r>
      <w:r w:rsidR="00BB394C">
        <w:rPr>
          <w:szCs w:val="22"/>
        </w:rPr>
        <w:t xml:space="preserve">market </w:t>
      </w:r>
      <w:r w:rsidRPr="00BE647B">
        <w:rPr>
          <w:szCs w:val="22"/>
        </w:rPr>
        <w:t xml:space="preserve">for the supply of disability </w:t>
      </w:r>
      <w:r w:rsidRPr="00775995">
        <w:rPr>
          <w:szCs w:val="22"/>
        </w:rPr>
        <w:t xml:space="preserve">supports. It </w:t>
      </w:r>
      <w:r w:rsidR="00775995" w:rsidRPr="00775995">
        <w:rPr>
          <w:szCs w:val="22"/>
        </w:rPr>
        <w:t xml:space="preserve">also has a role in </w:t>
      </w:r>
      <w:r w:rsidRPr="00775995">
        <w:rPr>
          <w:szCs w:val="22"/>
        </w:rPr>
        <w:t>regulat</w:t>
      </w:r>
      <w:r w:rsidR="00775995" w:rsidRPr="00775995">
        <w:rPr>
          <w:szCs w:val="22"/>
        </w:rPr>
        <w:t>ing</w:t>
      </w:r>
      <w:r w:rsidRPr="00775995">
        <w:rPr>
          <w:szCs w:val="22"/>
        </w:rPr>
        <w:t xml:space="preserve"> the commercial relationships between providers and participants, including through price regulation. The pricing</w:t>
      </w:r>
      <w:r w:rsidRPr="00BE647B">
        <w:rPr>
          <w:szCs w:val="22"/>
        </w:rPr>
        <w:t xml:space="preserve"> arrangements </w:t>
      </w:r>
      <w:r w:rsidR="00775995" w:rsidRPr="00775995">
        <w:rPr>
          <w:szCs w:val="22"/>
        </w:rPr>
        <w:t>seek to support a sustainable SDA market that fosters choice and control, encourages innovation, provides options for participants, continuity of supply and financial sustainability for governments, participants</w:t>
      </w:r>
      <w:r w:rsidR="00775995">
        <w:rPr>
          <w:szCs w:val="22"/>
        </w:rPr>
        <w:t>,</w:t>
      </w:r>
      <w:r w:rsidR="00775995" w:rsidRPr="00775995">
        <w:rPr>
          <w:szCs w:val="22"/>
        </w:rPr>
        <w:t xml:space="preserve"> and providers</w:t>
      </w:r>
      <w:r w:rsidR="00BB394C">
        <w:rPr>
          <w:szCs w:val="22"/>
        </w:rPr>
        <w:t xml:space="preserve">. </w:t>
      </w:r>
    </w:p>
    <w:p w14:paraId="079F8824" w14:textId="395C43DD" w:rsidR="0087236F" w:rsidRDefault="0087236F" w:rsidP="00BE647B">
      <w:pPr>
        <w:rPr>
          <w:szCs w:val="22"/>
        </w:rPr>
      </w:pPr>
      <w:r w:rsidRPr="0087236F">
        <w:rPr>
          <w:szCs w:val="22"/>
        </w:rPr>
        <w:t xml:space="preserve">Specialist Disability Accommodation </w:t>
      </w:r>
      <w:r>
        <w:rPr>
          <w:szCs w:val="22"/>
        </w:rPr>
        <w:t>(</w:t>
      </w:r>
      <w:r w:rsidRPr="0087236F">
        <w:rPr>
          <w:szCs w:val="22"/>
        </w:rPr>
        <w:t>SDA</w:t>
      </w:r>
      <w:r>
        <w:rPr>
          <w:szCs w:val="22"/>
        </w:rPr>
        <w:t>)</w:t>
      </w:r>
      <w:r w:rsidRPr="0087236F">
        <w:rPr>
          <w:szCs w:val="22"/>
        </w:rPr>
        <w:t xml:space="preserve"> is one of the supports that may be funded under the </w:t>
      </w:r>
      <w:r w:rsidR="00BE647B">
        <w:rPr>
          <w:szCs w:val="22"/>
        </w:rPr>
        <w:t>NDIS</w:t>
      </w:r>
      <w:r w:rsidRPr="0087236F">
        <w:rPr>
          <w:szCs w:val="22"/>
        </w:rPr>
        <w:t xml:space="preserve"> for some participants. SDA funding is provided to participants who require a specialist dwelling that reduces their need for person-to-person supports, or</w:t>
      </w:r>
      <w:r w:rsidR="0085145D">
        <w:rPr>
          <w:szCs w:val="22"/>
        </w:rPr>
        <w:t xml:space="preserve"> that</w:t>
      </w:r>
      <w:r w:rsidRPr="0087236F">
        <w:rPr>
          <w:szCs w:val="22"/>
        </w:rPr>
        <w:t xml:space="preserve"> improves the efficiency of the delivery of </w:t>
      </w:r>
      <w:r w:rsidR="0085145D">
        <w:rPr>
          <w:szCs w:val="22"/>
        </w:rPr>
        <w:t xml:space="preserve">the </w:t>
      </w:r>
      <w:r w:rsidRPr="0087236F">
        <w:rPr>
          <w:szCs w:val="22"/>
        </w:rPr>
        <w:t>person-to-person supports</w:t>
      </w:r>
      <w:r w:rsidR="0085145D">
        <w:rPr>
          <w:szCs w:val="22"/>
        </w:rPr>
        <w:t xml:space="preserve"> that they receive</w:t>
      </w:r>
      <w:r w:rsidRPr="0087236F">
        <w:rPr>
          <w:szCs w:val="22"/>
        </w:rPr>
        <w:t xml:space="preserve">. SDA funding is only provided for participants who meet </w:t>
      </w:r>
      <w:r w:rsidR="00AA37C7">
        <w:rPr>
          <w:szCs w:val="22"/>
        </w:rPr>
        <w:t>strict</w:t>
      </w:r>
      <w:r w:rsidRPr="0087236F">
        <w:rPr>
          <w:szCs w:val="22"/>
        </w:rPr>
        <w:t xml:space="preserve"> eligibility criteria. Participants who meet the </w:t>
      </w:r>
      <w:r w:rsidRPr="00775995">
        <w:rPr>
          <w:i/>
          <w:iCs/>
          <w:szCs w:val="22"/>
        </w:rPr>
        <w:t>eligibility</w:t>
      </w:r>
      <w:r w:rsidRPr="0085145D">
        <w:rPr>
          <w:szCs w:val="22"/>
        </w:rPr>
        <w:t xml:space="preserve"> criteria will have an extreme functional impairment and/or very high support needs.</w:t>
      </w:r>
    </w:p>
    <w:p w14:paraId="42FF6FAE" w14:textId="37DFA979" w:rsidR="00FF1058" w:rsidRPr="00CB0CBC" w:rsidRDefault="00F829BA" w:rsidP="00FF1058">
      <w:pPr>
        <w:rPr>
          <w:szCs w:val="22"/>
        </w:rPr>
      </w:pPr>
      <w:r>
        <w:rPr>
          <w:szCs w:val="22"/>
        </w:rPr>
        <w:t xml:space="preserve">As </w:t>
      </w:r>
      <w:proofErr w:type="gramStart"/>
      <w:r>
        <w:rPr>
          <w:szCs w:val="22"/>
        </w:rPr>
        <w:t>at</w:t>
      </w:r>
      <w:proofErr w:type="gramEnd"/>
      <w:r w:rsidRPr="00CB0CBC">
        <w:rPr>
          <w:szCs w:val="22"/>
        </w:rPr>
        <w:t xml:space="preserve"> </w:t>
      </w:r>
      <w:r w:rsidR="00FF1058" w:rsidRPr="00CB0CBC">
        <w:rPr>
          <w:szCs w:val="22"/>
        </w:rPr>
        <w:t>30 June 2022</w:t>
      </w:r>
      <w:r w:rsidR="00FF1058">
        <w:rPr>
          <w:szCs w:val="22"/>
        </w:rPr>
        <w:t>, s</w:t>
      </w:r>
      <w:r w:rsidR="00FF1058" w:rsidRPr="00CB0CBC">
        <w:rPr>
          <w:szCs w:val="22"/>
        </w:rPr>
        <w:t xml:space="preserve">ome 21,085 participants had identified needs for SDA (3.9% of all participants). Of these participants, 91.8% (19,358) were </w:t>
      </w:r>
      <w:r w:rsidR="00FF1058" w:rsidRPr="00CB0CBC">
        <w:t xml:space="preserve">active SDA participants with SDA supports in their NDIS plans. </w:t>
      </w:r>
      <w:r w:rsidR="00FF1058" w:rsidRPr="00CB0CBC">
        <w:rPr>
          <w:szCs w:val="22"/>
        </w:rPr>
        <w:t>The average SDA funding amount included in the plans of participants receiving SDA on 30 June 2022 was $14,024 per annum.</w:t>
      </w:r>
      <w:r w:rsidR="00FD243F">
        <w:rPr>
          <w:rStyle w:val="FootnoteReference"/>
          <w:szCs w:val="22"/>
        </w:rPr>
        <w:footnoteReference w:id="2"/>
      </w:r>
    </w:p>
    <w:p w14:paraId="5C6C4033" w14:textId="38E87756" w:rsidR="00FF1058" w:rsidRPr="007D3BE2" w:rsidRDefault="00FF1058" w:rsidP="00FF1058">
      <w:pPr>
        <w:rPr>
          <w:szCs w:val="22"/>
        </w:rPr>
      </w:pPr>
      <w:r w:rsidRPr="007D3BE2">
        <w:rPr>
          <w:szCs w:val="22"/>
        </w:rPr>
        <w:t>Some 7,086 dwellings were enrolled for SDA</w:t>
      </w:r>
      <w:r>
        <w:rPr>
          <w:szCs w:val="22"/>
        </w:rPr>
        <w:t xml:space="preserve"> </w:t>
      </w:r>
      <w:r w:rsidR="00F829BA">
        <w:rPr>
          <w:szCs w:val="22"/>
        </w:rPr>
        <w:t xml:space="preserve">as </w:t>
      </w:r>
      <w:proofErr w:type="gramStart"/>
      <w:r w:rsidR="00F829BA">
        <w:rPr>
          <w:szCs w:val="22"/>
        </w:rPr>
        <w:t>at</w:t>
      </w:r>
      <w:proofErr w:type="gramEnd"/>
      <w:r>
        <w:rPr>
          <w:szCs w:val="22"/>
        </w:rPr>
        <w:t xml:space="preserve"> 30 June 2022. The</w:t>
      </w:r>
      <w:r w:rsidR="006F0E04">
        <w:rPr>
          <w:szCs w:val="22"/>
        </w:rPr>
        <w:t>se</w:t>
      </w:r>
      <w:r>
        <w:rPr>
          <w:szCs w:val="22"/>
        </w:rPr>
        <w:t xml:space="preserve"> dwelling</w:t>
      </w:r>
      <w:r w:rsidR="006F0E04">
        <w:rPr>
          <w:szCs w:val="22"/>
        </w:rPr>
        <w:t>s</w:t>
      </w:r>
      <w:r>
        <w:rPr>
          <w:szCs w:val="22"/>
        </w:rPr>
        <w:t xml:space="preserve"> ha</w:t>
      </w:r>
      <w:r w:rsidR="006F0E04">
        <w:rPr>
          <w:szCs w:val="22"/>
        </w:rPr>
        <w:t>ve</w:t>
      </w:r>
      <w:r>
        <w:rPr>
          <w:szCs w:val="22"/>
        </w:rPr>
        <w:t xml:space="preserve"> the </w:t>
      </w:r>
      <w:r w:rsidRPr="007D3BE2">
        <w:rPr>
          <w:szCs w:val="22"/>
        </w:rPr>
        <w:t xml:space="preserve">capacity to support 19,630 participants. </w:t>
      </w:r>
      <w:r w:rsidR="00775995" w:rsidRPr="00775995">
        <w:rPr>
          <w:szCs w:val="22"/>
        </w:rPr>
        <w:t xml:space="preserve">A further 3,085 dwellings, with capacity to support 5,464 participants, were </w:t>
      </w:r>
      <w:r w:rsidR="00CD229F">
        <w:rPr>
          <w:szCs w:val="22"/>
        </w:rPr>
        <w:t xml:space="preserve">SDA </w:t>
      </w:r>
      <w:r w:rsidR="00775995" w:rsidRPr="00775995">
        <w:rPr>
          <w:szCs w:val="22"/>
        </w:rPr>
        <w:t>Design Certified</w:t>
      </w:r>
      <w:r w:rsidR="00775995">
        <w:rPr>
          <w:szCs w:val="22"/>
        </w:rPr>
        <w:t xml:space="preserve">. The dwellings in this development </w:t>
      </w:r>
      <w:r w:rsidR="00775995" w:rsidRPr="00775995">
        <w:rPr>
          <w:szCs w:val="22"/>
        </w:rPr>
        <w:t>pipeline were either built but not yet enrolled, or under construction or designed but not yet contracted for development</w:t>
      </w:r>
      <w:r w:rsidR="00775995">
        <w:rPr>
          <w:szCs w:val="22"/>
        </w:rPr>
        <w:t>.</w:t>
      </w:r>
    </w:p>
    <w:p w14:paraId="0986ADA7" w14:textId="77777777" w:rsidR="00722B6B" w:rsidRDefault="00FF1058" w:rsidP="00722B6B">
      <w:pPr>
        <w:rPr>
          <w:szCs w:val="22"/>
        </w:rPr>
      </w:pPr>
      <w:r>
        <w:rPr>
          <w:szCs w:val="22"/>
        </w:rPr>
        <w:t xml:space="preserve">Some </w:t>
      </w:r>
      <w:r w:rsidRPr="007D3BE2">
        <w:rPr>
          <w:szCs w:val="22"/>
        </w:rPr>
        <w:t xml:space="preserve">319 </w:t>
      </w:r>
      <w:r>
        <w:rPr>
          <w:szCs w:val="22"/>
        </w:rPr>
        <w:t xml:space="preserve">providers </w:t>
      </w:r>
      <w:r w:rsidRPr="007D3BE2">
        <w:rPr>
          <w:szCs w:val="22"/>
        </w:rPr>
        <w:t xml:space="preserve">received SDA payments in respect of one or more participants in the last quarter of 2021-22. </w:t>
      </w:r>
      <w:r w:rsidR="00EA2E11">
        <w:rPr>
          <w:szCs w:val="22"/>
        </w:rPr>
        <w:t xml:space="preserve">Total </w:t>
      </w:r>
      <w:r w:rsidRPr="007D3BE2">
        <w:rPr>
          <w:szCs w:val="22"/>
        </w:rPr>
        <w:t xml:space="preserve">SDA </w:t>
      </w:r>
      <w:r w:rsidR="00EA2E11">
        <w:rPr>
          <w:szCs w:val="22"/>
        </w:rPr>
        <w:t>payments in 2021-22 were</w:t>
      </w:r>
      <w:r w:rsidRPr="007D3BE2">
        <w:rPr>
          <w:szCs w:val="22"/>
        </w:rPr>
        <w:t xml:space="preserve"> $186 million</w:t>
      </w:r>
      <w:r w:rsidR="00C810D8">
        <w:rPr>
          <w:szCs w:val="22"/>
        </w:rPr>
        <w:t xml:space="preserve"> </w:t>
      </w:r>
      <w:r w:rsidR="00C810D8" w:rsidRPr="00C810D8">
        <w:rPr>
          <w:szCs w:val="22"/>
        </w:rPr>
        <w:t>(including via in-</w:t>
      </w:r>
      <w:r w:rsidR="00C810D8" w:rsidRPr="00C810D8">
        <w:rPr>
          <w:szCs w:val="22"/>
        </w:rPr>
        <w:lastRenderedPageBreak/>
        <w:t>kind arrangements)</w:t>
      </w:r>
      <w:r w:rsidRPr="007D3BE2">
        <w:rPr>
          <w:szCs w:val="22"/>
        </w:rPr>
        <w:t>. SDA</w:t>
      </w:r>
      <w:r>
        <w:rPr>
          <w:szCs w:val="22"/>
        </w:rPr>
        <w:t xml:space="preserve"> payments </w:t>
      </w:r>
      <w:r w:rsidRPr="007D3BE2">
        <w:rPr>
          <w:szCs w:val="22"/>
        </w:rPr>
        <w:t>accounted for 0.6% of all payments</w:t>
      </w:r>
      <w:r w:rsidR="00EA2E11">
        <w:rPr>
          <w:szCs w:val="22"/>
        </w:rPr>
        <w:t xml:space="preserve"> made through</w:t>
      </w:r>
      <w:r w:rsidRPr="007D3BE2">
        <w:rPr>
          <w:szCs w:val="22"/>
        </w:rPr>
        <w:t xml:space="preserve"> the NDIS in 2021-22</w:t>
      </w:r>
      <w:r w:rsidR="00286CC6">
        <w:rPr>
          <w:rStyle w:val="FootnoteReference"/>
          <w:szCs w:val="22"/>
        </w:rPr>
        <w:footnoteReference w:id="3"/>
      </w:r>
      <w:r w:rsidRPr="007D3BE2">
        <w:rPr>
          <w:szCs w:val="22"/>
        </w:rPr>
        <w:t>.</w:t>
      </w:r>
    </w:p>
    <w:p w14:paraId="1A0194AF" w14:textId="2D73504D" w:rsidR="00FF1058" w:rsidRPr="00FF1058" w:rsidRDefault="00FF1058" w:rsidP="00FA12C8">
      <w:pPr>
        <w:pStyle w:val="Heading2"/>
      </w:pPr>
      <w:bookmarkStart w:id="2" w:name="_Toc116293067"/>
      <w:r>
        <w:t>Legislative and Policy Framework</w:t>
      </w:r>
      <w:bookmarkEnd w:id="2"/>
    </w:p>
    <w:p w14:paraId="77E2B22C" w14:textId="77777777" w:rsidR="0028732F" w:rsidRPr="00BC56B1" w:rsidRDefault="0028732F" w:rsidP="0028732F">
      <w:r w:rsidRPr="00BC56B1">
        <w:t xml:space="preserve">The long-term pricing and payments framework for the funding of the land and built elements of SDA under the NDIS is set out in the </w:t>
      </w:r>
      <w:hyperlink r:id="rId23" w:history="1">
        <w:r w:rsidRPr="00BC56B1">
          <w:rPr>
            <w:rStyle w:val="Hyperlink"/>
          </w:rPr>
          <w:t>Specialist Disability Accommodation Pricing and Payments Framework</w:t>
        </w:r>
      </w:hyperlink>
      <w:r w:rsidRPr="00BC56B1">
        <w:t xml:space="preserve"> (“the Framework”), which was approved by the Commonwealth and all state and territory ministers in 2020. Under the Framework, the NDIA is responsible for setting the pricing </w:t>
      </w:r>
      <w:r w:rsidRPr="00BC56B1">
        <w:rPr>
          <w:szCs w:val="22"/>
        </w:rPr>
        <w:t>arrangements</w:t>
      </w:r>
      <w:r w:rsidRPr="00BC56B1">
        <w:t xml:space="preserve"> for SDA. </w:t>
      </w:r>
    </w:p>
    <w:p w14:paraId="4EDA2903" w14:textId="649550CF" w:rsidR="0028732F" w:rsidRPr="00BC56B1" w:rsidRDefault="0028732F" w:rsidP="0028732F">
      <w:pPr>
        <w:rPr>
          <w:rFonts w:cs="Arial"/>
          <w:color w:val="222222"/>
          <w:shd w:val="clear" w:color="auto" w:fill="FFFFFF"/>
        </w:rPr>
      </w:pPr>
      <w:r w:rsidRPr="00BC56B1">
        <w:t xml:space="preserve">The NDIA is required by the Framework to undertake a review every five years of the specific underlying assumptions that underpin the pricing methodology for SDA. The NDIA is now undertaking the first five-year review and is releasing this Consultation Paper as part of </w:t>
      </w:r>
      <w:r w:rsidR="00385A79" w:rsidRPr="00BC56B1">
        <w:t>that</w:t>
      </w:r>
      <w:r w:rsidRPr="00BC56B1">
        <w:t xml:space="preserve"> review. This is the </w:t>
      </w:r>
      <w:r w:rsidRPr="00BC56B1">
        <w:rPr>
          <w:rFonts w:cs="Arial"/>
          <w:color w:val="222222"/>
          <w:shd w:val="clear" w:color="auto" w:fill="FFFFFF"/>
        </w:rPr>
        <w:t>first comprehensive review of the underlying assumptions and methodology that are used to calculate the price limits that apply in SDA</w:t>
      </w:r>
      <w:r w:rsidR="00385A79" w:rsidRPr="00BC56B1">
        <w:rPr>
          <w:rFonts w:cs="Arial"/>
          <w:color w:val="222222"/>
          <w:shd w:val="clear" w:color="auto" w:fill="FFFFFF"/>
        </w:rPr>
        <w:t xml:space="preserve"> and timing for this review has been brought forward </w:t>
      </w:r>
      <w:proofErr w:type="gramStart"/>
      <w:r w:rsidR="00385A79" w:rsidRPr="00BC56B1">
        <w:rPr>
          <w:rFonts w:cs="Arial"/>
          <w:color w:val="222222"/>
          <w:shd w:val="clear" w:color="auto" w:fill="FFFFFF"/>
        </w:rPr>
        <w:t>in order to</w:t>
      </w:r>
      <w:proofErr w:type="gramEnd"/>
      <w:r w:rsidR="00385A79" w:rsidRPr="00BC56B1">
        <w:rPr>
          <w:rFonts w:cs="Arial"/>
          <w:color w:val="222222"/>
          <w:shd w:val="clear" w:color="auto" w:fill="FFFFFF"/>
        </w:rPr>
        <w:t xml:space="preserve"> properly consider recent changes in housing market conditions and affordability</w:t>
      </w:r>
      <w:r w:rsidRPr="00BC56B1">
        <w:rPr>
          <w:rFonts w:cs="Arial"/>
          <w:color w:val="222222"/>
          <w:shd w:val="clear" w:color="auto" w:fill="FFFFFF"/>
        </w:rPr>
        <w:t>.</w:t>
      </w:r>
    </w:p>
    <w:p w14:paraId="226428A4" w14:textId="0B486E53" w:rsidR="0028732F" w:rsidRPr="00BC56B1" w:rsidRDefault="00385A79" w:rsidP="0028732F">
      <w:pPr>
        <w:rPr>
          <w:iCs/>
        </w:rPr>
      </w:pPr>
      <w:r w:rsidRPr="00BC56B1">
        <w:rPr>
          <w:iCs/>
        </w:rPr>
        <w:t>However, i</w:t>
      </w:r>
      <w:r w:rsidR="0028732F" w:rsidRPr="00BC56B1">
        <w:rPr>
          <w:iCs/>
        </w:rPr>
        <w:t xml:space="preserve">t is important to note that the Australian Government has also established a broader NDIS Review that will look at the design, </w:t>
      </w:r>
      <w:proofErr w:type="gramStart"/>
      <w:r w:rsidR="0028732F" w:rsidRPr="00BC56B1">
        <w:rPr>
          <w:iCs/>
        </w:rPr>
        <w:t>operations</w:t>
      </w:r>
      <w:proofErr w:type="gramEnd"/>
      <w:r w:rsidR="0028732F" w:rsidRPr="00BC56B1">
        <w:rPr>
          <w:iCs/>
        </w:rPr>
        <w:t xml:space="preserve"> and sustainability of the NDIS. It will also look at ways to make the market and workforce more responsive, </w:t>
      </w:r>
      <w:proofErr w:type="gramStart"/>
      <w:r w:rsidR="0028732F" w:rsidRPr="00BC56B1">
        <w:rPr>
          <w:iCs/>
        </w:rPr>
        <w:t>supportive</w:t>
      </w:r>
      <w:proofErr w:type="gramEnd"/>
      <w:r w:rsidR="0028732F" w:rsidRPr="00BC56B1">
        <w:rPr>
          <w:iCs/>
        </w:rPr>
        <w:t xml:space="preserve"> and sustainable. Among other things, the broader review will make recommendations to Disability Reform Ministers on reforms to ensure adequate supply of appropriate and cost-effective accommodation and supports, including </w:t>
      </w:r>
      <w:r w:rsidR="00891F13">
        <w:rPr>
          <w:iCs/>
        </w:rPr>
        <w:t>SDA</w:t>
      </w:r>
      <w:r w:rsidR="0028732F" w:rsidRPr="00BC56B1">
        <w:rPr>
          <w:iCs/>
        </w:rPr>
        <w:t xml:space="preserve">. </w:t>
      </w:r>
    </w:p>
    <w:p w14:paraId="7777D92B" w14:textId="77777777" w:rsidR="0028732F" w:rsidRPr="00BC56B1" w:rsidRDefault="0028732F" w:rsidP="0028732F">
      <w:pPr>
        <w:rPr>
          <w:iCs/>
        </w:rPr>
      </w:pPr>
      <w:r w:rsidRPr="00BC56B1">
        <w:rPr>
          <w:iCs/>
        </w:rPr>
        <w:t xml:space="preserve">A final report of the NDIS Review is to be provided by the Independent Review Panel to Disability Reform Ministers by October 2023. Where specific opportunities for reform are identified prior to the final report, the Independent Review Panel may bring forward recommendations and a supporting paper on these to Disability Reform Ministers ahead of the final report. The outcomes of the SDA Pricing Review will </w:t>
      </w:r>
      <w:proofErr w:type="gramStart"/>
      <w:r w:rsidRPr="00BC56B1">
        <w:rPr>
          <w:iCs/>
        </w:rPr>
        <w:t>take into account</w:t>
      </w:r>
      <w:proofErr w:type="gramEnd"/>
      <w:r w:rsidRPr="00BC56B1">
        <w:rPr>
          <w:iCs/>
        </w:rPr>
        <w:t xml:space="preserve"> any early findings of the NDIS Review. </w:t>
      </w:r>
    </w:p>
    <w:p w14:paraId="4BD32C4C" w14:textId="77777777" w:rsidR="0028732F" w:rsidRDefault="0028732F" w:rsidP="0028732F">
      <w:r w:rsidRPr="00BC56B1">
        <w:t xml:space="preserve">Further information on the broader NDIS Review can be found at </w:t>
      </w:r>
      <w:hyperlink r:id="rId24" w:history="1">
        <w:r w:rsidRPr="00BC56B1">
          <w:rPr>
            <w:rStyle w:val="Hyperlink"/>
          </w:rPr>
          <w:t>ndisreview.gov.au</w:t>
        </w:r>
      </w:hyperlink>
      <w:r w:rsidRPr="00BC56B1">
        <w:rPr>
          <w:rStyle w:val="Hyperlink"/>
        </w:rPr>
        <w:t xml:space="preserve"> </w:t>
      </w:r>
      <w:r w:rsidRPr="00BC56B1">
        <w:t>and readers of this document are encouraged to participate in that process.</w:t>
      </w:r>
    </w:p>
    <w:p w14:paraId="14062964" w14:textId="098198CD" w:rsidR="005C441C" w:rsidRDefault="0087236F" w:rsidP="000D3743">
      <w:pPr>
        <w:rPr>
          <w:szCs w:val="22"/>
        </w:rPr>
      </w:pPr>
      <w:r w:rsidRPr="00CB0CBC">
        <w:rPr>
          <w:szCs w:val="22"/>
        </w:rPr>
        <w:t>The legislative framework for providing SDA to participants under the NDIS, including the criteria for</w:t>
      </w:r>
      <w:r w:rsidRPr="0087236F">
        <w:rPr>
          <w:szCs w:val="22"/>
        </w:rPr>
        <w:t xml:space="preserve"> when a participant will have SDA included in their NDIS plan, the dwellings that can be used for SDA and the payments that will be paid to providers of SDA are set out in the </w:t>
      </w:r>
      <w:hyperlink r:id="rId25" w:history="1">
        <w:r w:rsidRPr="001D746E">
          <w:rPr>
            <w:rStyle w:val="Hyperlink"/>
            <w:i/>
            <w:iCs/>
            <w:szCs w:val="22"/>
          </w:rPr>
          <w:t>National Disability Insurance Scheme Act 2013</w:t>
        </w:r>
      </w:hyperlink>
      <w:r w:rsidRPr="0087236F">
        <w:rPr>
          <w:szCs w:val="22"/>
        </w:rPr>
        <w:t xml:space="preserve"> </w:t>
      </w:r>
      <w:r w:rsidR="00775995">
        <w:rPr>
          <w:szCs w:val="22"/>
        </w:rPr>
        <w:t xml:space="preserve">(NDIS Act) </w:t>
      </w:r>
      <w:r w:rsidRPr="0087236F">
        <w:rPr>
          <w:szCs w:val="22"/>
        </w:rPr>
        <w:t xml:space="preserve">and the NDIS Rules under the Act, including the </w:t>
      </w:r>
      <w:hyperlink r:id="rId26" w:history="1">
        <w:r w:rsidRPr="001D746E">
          <w:rPr>
            <w:rStyle w:val="Hyperlink"/>
            <w:i/>
            <w:iCs/>
            <w:szCs w:val="22"/>
          </w:rPr>
          <w:t>NDIS (Specialist Disability Accommodation) Rules 2020</w:t>
        </w:r>
      </w:hyperlink>
      <w:r w:rsidRPr="0087236F">
        <w:rPr>
          <w:szCs w:val="22"/>
        </w:rPr>
        <w:t xml:space="preserve"> and the </w:t>
      </w:r>
      <w:hyperlink r:id="rId27" w:history="1">
        <w:r w:rsidRPr="001D746E">
          <w:rPr>
            <w:rStyle w:val="Hyperlink"/>
            <w:i/>
            <w:iCs/>
            <w:szCs w:val="22"/>
          </w:rPr>
          <w:t>NDIS (Specialist Disability Accommodation Conditions) Rule 2018</w:t>
        </w:r>
      </w:hyperlink>
      <w:r w:rsidR="001D746E">
        <w:rPr>
          <w:szCs w:val="22"/>
        </w:rPr>
        <w:t>.</w:t>
      </w:r>
      <w:r w:rsidR="00BB394C">
        <w:rPr>
          <w:szCs w:val="22"/>
        </w:rPr>
        <w:t xml:space="preserve"> </w:t>
      </w:r>
    </w:p>
    <w:p w14:paraId="64ABC6DC" w14:textId="39DEFEA3" w:rsidR="00B46572" w:rsidRPr="00B46572" w:rsidRDefault="00B46572" w:rsidP="00B46572">
      <w:pPr>
        <w:rPr>
          <w:szCs w:val="22"/>
        </w:rPr>
      </w:pPr>
      <w:r w:rsidRPr="00B46572">
        <w:rPr>
          <w:szCs w:val="22"/>
        </w:rPr>
        <w:t xml:space="preserve">Some people living with disability have very high support needs. This could mean they need to live in a specially designed </w:t>
      </w:r>
      <w:r>
        <w:rPr>
          <w:szCs w:val="22"/>
        </w:rPr>
        <w:t xml:space="preserve">dwelling. </w:t>
      </w:r>
      <w:r w:rsidRPr="00B46572">
        <w:rPr>
          <w:szCs w:val="22"/>
        </w:rPr>
        <w:t>Most participants don’t need to live in specialist disability accommodation, and there may be other home and living supports that are more suitable.</w:t>
      </w:r>
      <w:r>
        <w:rPr>
          <w:szCs w:val="22"/>
        </w:rPr>
        <w:t xml:space="preserve"> To be eligible for SDA, a participant must have </w:t>
      </w:r>
      <w:r w:rsidRPr="00DF237B">
        <w:t xml:space="preserve">an extreme functional impairment or </w:t>
      </w:r>
      <w:r w:rsidRPr="00DF237B">
        <w:lastRenderedPageBreak/>
        <w:t>very high support needs</w:t>
      </w:r>
      <w:r>
        <w:t>. In addition, the NDIA needs to be satisfied that the combination of SDA</w:t>
      </w:r>
      <w:r w:rsidRPr="00A431A8">
        <w:t xml:space="preserve"> with </w:t>
      </w:r>
      <w:r>
        <w:t>the participant’s</w:t>
      </w:r>
      <w:r w:rsidRPr="00A431A8">
        <w:t xml:space="preserve"> other supports will</w:t>
      </w:r>
      <w:r>
        <w:t xml:space="preserve"> </w:t>
      </w:r>
      <w:r w:rsidRPr="00B46572">
        <w:rPr>
          <w:szCs w:val="22"/>
        </w:rPr>
        <w:t>lead to better outcomes</w:t>
      </w:r>
      <w:r>
        <w:rPr>
          <w:szCs w:val="22"/>
        </w:rPr>
        <w:t xml:space="preserve"> by, for example:</w:t>
      </w:r>
    </w:p>
    <w:p w14:paraId="47549395" w14:textId="5556BFBC" w:rsidR="00B46572" w:rsidRPr="00B46572" w:rsidRDefault="00FA12C8" w:rsidP="00B46572">
      <w:pPr>
        <w:pStyle w:val="ListParagraph"/>
        <w:numPr>
          <w:ilvl w:val="0"/>
          <w:numId w:val="9"/>
        </w:numPr>
      </w:pPr>
      <w:r w:rsidRPr="00B46572">
        <w:rPr>
          <w:szCs w:val="22"/>
        </w:rPr>
        <w:t>I</w:t>
      </w:r>
      <w:r w:rsidR="00B46572" w:rsidRPr="00B46572">
        <w:rPr>
          <w:szCs w:val="22"/>
        </w:rPr>
        <w:t>mprov</w:t>
      </w:r>
      <w:r w:rsidR="00B46572">
        <w:rPr>
          <w:szCs w:val="22"/>
        </w:rPr>
        <w:t>ing</w:t>
      </w:r>
      <w:r>
        <w:rPr>
          <w:szCs w:val="22"/>
        </w:rPr>
        <w:t xml:space="preserve"> or</w:t>
      </w:r>
      <w:r w:rsidR="00B46572" w:rsidRPr="00B46572">
        <w:rPr>
          <w:szCs w:val="22"/>
        </w:rPr>
        <w:t xml:space="preserve"> </w:t>
      </w:r>
      <w:r w:rsidR="00B46572" w:rsidRPr="00B46572">
        <w:t>maintain</w:t>
      </w:r>
      <w:r w:rsidR="00B46572">
        <w:t>ing</w:t>
      </w:r>
      <w:r w:rsidR="00B46572" w:rsidRPr="00B46572">
        <w:t xml:space="preserve"> </w:t>
      </w:r>
      <w:r>
        <w:t>the participant’s</w:t>
      </w:r>
      <w:r w:rsidRPr="00B46572">
        <w:t xml:space="preserve"> functional capacity</w:t>
      </w:r>
      <w:r>
        <w:t xml:space="preserve">, </w:t>
      </w:r>
      <w:r w:rsidR="00B46572" w:rsidRPr="00B46572">
        <w:t>or prevent</w:t>
      </w:r>
      <w:r w:rsidR="00B46572">
        <w:t>ing</w:t>
      </w:r>
      <w:r w:rsidR="00B46572" w:rsidRPr="00B46572">
        <w:t xml:space="preserve"> </w:t>
      </w:r>
      <w:r w:rsidR="00B46572">
        <w:t>the participant’s</w:t>
      </w:r>
      <w:r w:rsidR="00B46572" w:rsidRPr="00B46572">
        <w:t xml:space="preserve"> functional capacity from getting worse</w:t>
      </w:r>
      <w:r w:rsidR="00B46572">
        <w:t>; or</w:t>
      </w:r>
    </w:p>
    <w:p w14:paraId="12AE9BDD" w14:textId="4566DC3E" w:rsidR="00B46572" w:rsidRPr="00B46572" w:rsidRDefault="00B46572" w:rsidP="00B46572">
      <w:pPr>
        <w:pStyle w:val="ListParagraph"/>
        <w:numPr>
          <w:ilvl w:val="0"/>
          <w:numId w:val="9"/>
        </w:numPr>
      </w:pPr>
      <w:r w:rsidRPr="00B46572">
        <w:t>reduc</w:t>
      </w:r>
      <w:r>
        <w:t xml:space="preserve">ing the participant’s </w:t>
      </w:r>
      <w:r w:rsidRPr="00B46572">
        <w:t>future support needs</w:t>
      </w:r>
      <w:r>
        <w:t>; or</w:t>
      </w:r>
    </w:p>
    <w:p w14:paraId="4F9E33DE" w14:textId="4997D291" w:rsidR="00B46572" w:rsidRPr="00B46572" w:rsidRDefault="00B46572" w:rsidP="00B46572">
      <w:pPr>
        <w:pStyle w:val="ListParagraph"/>
        <w:numPr>
          <w:ilvl w:val="0"/>
          <w:numId w:val="9"/>
        </w:numPr>
        <w:rPr>
          <w:szCs w:val="22"/>
        </w:rPr>
      </w:pPr>
      <w:r w:rsidRPr="00B46572">
        <w:t>creat</w:t>
      </w:r>
      <w:r>
        <w:t>ing</w:t>
      </w:r>
      <w:r w:rsidRPr="00B46572">
        <w:t xml:space="preserve"> better</w:t>
      </w:r>
      <w:r w:rsidRPr="00B46572">
        <w:rPr>
          <w:szCs w:val="22"/>
        </w:rPr>
        <w:t xml:space="preserve"> connections with </w:t>
      </w:r>
      <w:r>
        <w:rPr>
          <w:szCs w:val="22"/>
        </w:rPr>
        <w:t>the participant’s</w:t>
      </w:r>
      <w:r w:rsidRPr="00B46572">
        <w:rPr>
          <w:szCs w:val="22"/>
        </w:rPr>
        <w:t xml:space="preserve"> family, community, health services, education, and employment.</w:t>
      </w:r>
    </w:p>
    <w:p w14:paraId="56015240" w14:textId="29E8D7CE" w:rsidR="00B46572" w:rsidRDefault="00B46572" w:rsidP="00B46572">
      <w:pPr>
        <w:rPr>
          <w:szCs w:val="22"/>
        </w:rPr>
      </w:pPr>
      <w:r w:rsidRPr="00990B34">
        <w:rPr>
          <w:rFonts w:cs="Arial"/>
        </w:rPr>
        <w:t>Further</w:t>
      </w:r>
      <w:r>
        <w:rPr>
          <w:szCs w:val="22"/>
        </w:rPr>
        <w:t xml:space="preserve"> information on eligibility for SDA can be found in the </w:t>
      </w:r>
      <w:hyperlink r:id="rId28" w:history="1">
        <w:r w:rsidRPr="00990B34">
          <w:rPr>
            <w:rStyle w:val="Hyperlink"/>
            <w:szCs w:val="22"/>
          </w:rPr>
          <w:t>SDA Operational Guideline</w:t>
        </w:r>
      </w:hyperlink>
      <w:r>
        <w:rPr>
          <w:szCs w:val="22"/>
        </w:rPr>
        <w:t>.</w:t>
      </w:r>
    </w:p>
    <w:p w14:paraId="39B7FCAC" w14:textId="313CC9CB" w:rsidR="00B46572" w:rsidRDefault="00B46572" w:rsidP="00B46572">
      <w:pPr>
        <w:rPr>
          <w:rStyle w:val="Hyperlink"/>
        </w:rPr>
      </w:pPr>
      <w:r>
        <w:rPr>
          <w:szCs w:val="22"/>
        </w:rPr>
        <w:t xml:space="preserve">When a participant has been determined to be eligible for SDA then funding is included in their plan for this </w:t>
      </w:r>
      <w:proofErr w:type="gramStart"/>
      <w:r>
        <w:rPr>
          <w:szCs w:val="22"/>
        </w:rPr>
        <w:t>support</w:t>
      </w:r>
      <w:proofErr w:type="gramEnd"/>
      <w:r>
        <w:rPr>
          <w:szCs w:val="22"/>
        </w:rPr>
        <w:t xml:space="preserve"> and they can use this funding to purchase SDA supports from </w:t>
      </w:r>
      <w:r w:rsidR="005D4001">
        <w:rPr>
          <w:szCs w:val="22"/>
        </w:rPr>
        <w:t xml:space="preserve">an eligible provider. That is, the participant can move into a dwelling operated by the provider. </w:t>
      </w:r>
      <w:r w:rsidR="005D4001" w:rsidRPr="00DE28CF">
        <w:rPr>
          <w:szCs w:val="22"/>
        </w:rPr>
        <w:t xml:space="preserve">The provider can also ask the participant to pay rent from their own funds up to maximums specified in the </w:t>
      </w:r>
      <w:hyperlink r:id="rId29" w:history="1">
        <w:r w:rsidR="00DE28CF" w:rsidRPr="00DE28CF">
          <w:rPr>
            <w:rStyle w:val="Hyperlink"/>
            <w:i/>
            <w:iCs/>
            <w:szCs w:val="22"/>
          </w:rPr>
          <w:t>NDIS Pricing Arrangements for Specialist Disability Accommodation 2023-23</w:t>
        </w:r>
      </w:hyperlink>
      <w:r w:rsidR="00DE28CF">
        <w:rPr>
          <w:rStyle w:val="Hyperlink"/>
          <w:i/>
          <w:iCs/>
        </w:rPr>
        <w:t xml:space="preserve"> </w:t>
      </w:r>
    </w:p>
    <w:p w14:paraId="270BE04E" w14:textId="5B56FA88" w:rsidR="000D3743" w:rsidRPr="000D3743" w:rsidRDefault="000D3743" w:rsidP="00B46572">
      <w:pPr>
        <w:rPr>
          <w:szCs w:val="22"/>
        </w:rPr>
      </w:pPr>
      <w:r w:rsidRPr="000D3743">
        <w:rPr>
          <w:szCs w:val="22"/>
        </w:rPr>
        <w:t xml:space="preserve">In brief, </w:t>
      </w:r>
      <w:r w:rsidR="00CC63F0">
        <w:rPr>
          <w:szCs w:val="22"/>
        </w:rPr>
        <w:t>an SDA provider can</w:t>
      </w:r>
      <w:r w:rsidRPr="000D3743">
        <w:rPr>
          <w:szCs w:val="22"/>
        </w:rPr>
        <w:t xml:space="preserve"> receive SDA payments </w:t>
      </w:r>
      <w:r w:rsidR="005D549E">
        <w:rPr>
          <w:szCs w:val="22"/>
        </w:rPr>
        <w:t xml:space="preserve">from the NDIS </w:t>
      </w:r>
      <w:r w:rsidRPr="000D3743">
        <w:rPr>
          <w:szCs w:val="22"/>
        </w:rPr>
        <w:t>in respect of a participant living in a dwelling</w:t>
      </w:r>
      <w:r w:rsidR="00CC63F0">
        <w:rPr>
          <w:szCs w:val="22"/>
        </w:rPr>
        <w:t xml:space="preserve"> </w:t>
      </w:r>
      <w:r w:rsidR="00D14E34">
        <w:rPr>
          <w:szCs w:val="22"/>
        </w:rPr>
        <w:t xml:space="preserve">only </w:t>
      </w:r>
      <w:r w:rsidR="00CC63F0">
        <w:rPr>
          <w:szCs w:val="22"/>
        </w:rPr>
        <w:t>if all the following criteria are met</w:t>
      </w:r>
      <w:r w:rsidRPr="000D3743">
        <w:rPr>
          <w:szCs w:val="22"/>
        </w:rPr>
        <w:t>:</w:t>
      </w:r>
    </w:p>
    <w:p w14:paraId="1EC0650D" w14:textId="0415FCDC" w:rsidR="007F692F" w:rsidRDefault="007F692F" w:rsidP="007F692F">
      <w:pPr>
        <w:pStyle w:val="ListParagraph"/>
        <w:numPr>
          <w:ilvl w:val="0"/>
          <w:numId w:val="9"/>
        </w:numPr>
        <w:rPr>
          <w:szCs w:val="22"/>
        </w:rPr>
      </w:pPr>
      <w:r>
        <w:rPr>
          <w:szCs w:val="22"/>
        </w:rPr>
        <w:t>The</w:t>
      </w:r>
      <w:r w:rsidRPr="000D3743">
        <w:rPr>
          <w:szCs w:val="22"/>
        </w:rPr>
        <w:t xml:space="preserve"> </w:t>
      </w:r>
      <w:r>
        <w:t>NDIA has</w:t>
      </w:r>
      <w:r w:rsidRPr="000D3743">
        <w:rPr>
          <w:szCs w:val="22"/>
        </w:rPr>
        <w:t xml:space="preserve"> determined that</w:t>
      </w:r>
      <w:r>
        <w:rPr>
          <w:szCs w:val="22"/>
        </w:rPr>
        <w:t xml:space="preserve"> SDA </w:t>
      </w:r>
      <w:r w:rsidRPr="000D3743">
        <w:rPr>
          <w:szCs w:val="22"/>
        </w:rPr>
        <w:t>is a reasonable and necessary support for the participant.</w:t>
      </w:r>
      <w:r>
        <w:rPr>
          <w:szCs w:val="22"/>
        </w:rPr>
        <w:t xml:space="preserve"> </w:t>
      </w:r>
    </w:p>
    <w:p w14:paraId="6BC58EEC" w14:textId="77777777" w:rsidR="001A2815" w:rsidRDefault="001A2815" w:rsidP="001A2815">
      <w:pPr>
        <w:pStyle w:val="ListParagraph"/>
        <w:numPr>
          <w:ilvl w:val="0"/>
          <w:numId w:val="9"/>
        </w:numPr>
        <w:rPr>
          <w:szCs w:val="22"/>
        </w:rPr>
      </w:pPr>
      <w:r>
        <w:rPr>
          <w:szCs w:val="22"/>
        </w:rPr>
        <w:t>The participant is living in the dwelling and</w:t>
      </w:r>
      <w:r w:rsidRPr="0085364C">
        <w:rPr>
          <w:szCs w:val="22"/>
        </w:rPr>
        <w:t xml:space="preserve"> has agreed to purchase their SDA supports </w:t>
      </w:r>
      <w:r>
        <w:rPr>
          <w:szCs w:val="22"/>
        </w:rPr>
        <w:t>from the provider.</w:t>
      </w:r>
    </w:p>
    <w:p w14:paraId="0DA8C83C" w14:textId="3EBCC09E" w:rsidR="000D3743" w:rsidRPr="0085364C" w:rsidRDefault="00CC63F0" w:rsidP="0085364C">
      <w:pPr>
        <w:pStyle w:val="ListParagraph"/>
        <w:numPr>
          <w:ilvl w:val="0"/>
          <w:numId w:val="9"/>
        </w:numPr>
        <w:rPr>
          <w:szCs w:val="22"/>
        </w:rPr>
      </w:pPr>
      <w:r w:rsidRPr="0085364C">
        <w:rPr>
          <w:szCs w:val="22"/>
        </w:rPr>
        <w:t>The</w:t>
      </w:r>
      <w:r w:rsidR="000D3743" w:rsidRPr="0085364C">
        <w:rPr>
          <w:szCs w:val="22"/>
        </w:rPr>
        <w:t xml:space="preserve"> provider </w:t>
      </w:r>
      <w:r w:rsidR="005D549E" w:rsidRPr="0085364C">
        <w:rPr>
          <w:szCs w:val="22"/>
        </w:rPr>
        <w:t>is</w:t>
      </w:r>
      <w:r w:rsidR="000D3743" w:rsidRPr="0085364C">
        <w:rPr>
          <w:szCs w:val="22"/>
        </w:rPr>
        <w:t xml:space="preserve"> a registered NDIS provider with the </w:t>
      </w:r>
      <w:r w:rsidR="00BB394C" w:rsidRPr="0085364C">
        <w:rPr>
          <w:szCs w:val="22"/>
        </w:rPr>
        <w:t xml:space="preserve">NDIS </w:t>
      </w:r>
      <w:r w:rsidR="005C441C" w:rsidRPr="0085364C">
        <w:rPr>
          <w:szCs w:val="22"/>
        </w:rPr>
        <w:t xml:space="preserve">Quality and Safeguards </w:t>
      </w:r>
      <w:r w:rsidR="000D3743" w:rsidRPr="0085364C">
        <w:rPr>
          <w:szCs w:val="22"/>
        </w:rPr>
        <w:t>Commission</w:t>
      </w:r>
      <w:r w:rsidR="008F6FA8" w:rsidRPr="0085364C">
        <w:rPr>
          <w:szCs w:val="22"/>
        </w:rPr>
        <w:t>.</w:t>
      </w:r>
    </w:p>
    <w:p w14:paraId="1F166C9B" w14:textId="5320C52E" w:rsidR="000D3743" w:rsidRPr="000D3743" w:rsidRDefault="00CC63F0">
      <w:pPr>
        <w:pStyle w:val="ListParagraph"/>
        <w:numPr>
          <w:ilvl w:val="0"/>
          <w:numId w:val="9"/>
        </w:numPr>
        <w:rPr>
          <w:szCs w:val="22"/>
        </w:rPr>
      </w:pPr>
      <w:r>
        <w:rPr>
          <w:szCs w:val="22"/>
        </w:rPr>
        <w:t xml:space="preserve">The </w:t>
      </w:r>
      <w:r w:rsidR="000D3743" w:rsidRPr="000D3743">
        <w:rPr>
          <w:szCs w:val="22"/>
        </w:rPr>
        <w:t xml:space="preserve">provider </w:t>
      </w:r>
      <w:r w:rsidR="005D549E">
        <w:rPr>
          <w:szCs w:val="22"/>
        </w:rPr>
        <w:t>is</w:t>
      </w:r>
      <w:r w:rsidR="000D3743" w:rsidRPr="000D3743">
        <w:rPr>
          <w:szCs w:val="22"/>
        </w:rPr>
        <w:t xml:space="preserve"> approved for the SDA Registration Group by the NDIS </w:t>
      </w:r>
      <w:r w:rsidR="001A2815" w:rsidRPr="0085364C">
        <w:rPr>
          <w:szCs w:val="22"/>
        </w:rPr>
        <w:t xml:space="preserve">Quality and Safeguards </w:t>
      </w:r>
      <w:r w:rsidR="005C441C">
        <w:rPr>
          <w:szCs w:val="22"/>
        </w:rPr>
        <w:t>Commission</w:t>
      </w:r>
      <w:r w:rsidR="008F6FA8">
        <w:rPr>
          <w:szCs w:val="22"/>
        </w:rPr>
        <w:t>.</w:t>
      </w:r>
    </w:p>
    <w:p w14:paraId="3A5142BC" w14:textId="2A8033FF" w:rsidR="000D3743" w:rsidRPr="000D3743" w:rsidRDefault="00CC63F0">
      <w:pPr>
        <w:pStyle w:val="ListParagraph"/>
        <w:numPr>
          <w:ilvl w:val="0"/>
          <w:numId w:val="9"/>
        </w:numPr>
        <w:rPr>
          <w:szCs w:val="22"/>
        </w:rPr>
      </w:pPr>
      <w:r>
        <w:rPr>
          <w:szCs w:val="22"/>
        </w:rPr>
        <w:t xml:space="preserve">The </w:t>
      </w:r>
      <w:r w:rsidR="000D3743" w:rsidRPr="000D3743">
        <w:rPr>
          <w:szCs w:val="22"/>
        </w:rPr>
        <w:t xml:space="preserve">provider </w:t>
      </w:r>
      <w:r w:rsidR="005D549E">
        <w:rPr>
          <w:szCs w:val="22"/>
        </w:rPr>
        <w:t>has</w:t>
      </w:r>
      <w:r w:rsidR="000D3743" w:rsidRPr="000D3743">
        <w:rPr>
          <w:szCs w:val="22"/>
        </w:rPr>
        <w:t xml:space="preserve"> enrolled the dwelling </w:t>
      </w:r>
      <w:r w:rsidR="00D14E34">
        <w:rPr>
          <w:szCs w:val="22"/>
        </w:rPr>
        <w:t>with</w:t>
      </w:r>
      <w:r w:rsidR="000D3743" w:rsidRPr="000D3743">
        <w:rPr>
          <w:szCs w:val="22"/>
        </w:rPr>
        <w:t xml:space="preserve"> the NDIA</w:t>
      </w:r>
      <w:r w:rsidR="008F6FA8">
        <w:rPr>
          <w:szCs w:val="22"/>
        </w:rPr>
        <w:t>.</w:t>
      </w:r>
      <w:r w:rsidR="00A06E48">
        <w:rPr>
          <w:szCs w:val="22"/>
        </w:rPr>
        <w:t xml:space="preserve"> Note, </w:t>
      </w:r>
      <w:r w:rsidR="001A2815">
        <w:rPr>
          <w:szCs w:val="22"/>
        </w:rPr>
        <w:t xml:space="preserve">apart from limited transitional provisions that can no longer be applied for, </w:t>
      </w:r>
      <w:r w:rsidR="00D14E34">
        <w:rPr>
          <w:szCs w:val="22"/>
        </w:rPr>
        <w:t xml:space="preserve">a </w:t>
      </w:r>
      <w:r w:rsidR="00A06E48">
        <w:rPr>
          <w:szCs w:val="22"/>
        </w:rPr>
        <w:t xml:space="preserve">dwelling can only be enrolled with the NDIA if </w:t>
      </w:r>
      <w:r w:rsidR="00D14E34">
        <w:rPr>
          <w:szCs w:val="22"/>
        </w:rPr>
        <w:t xml:space="preserve">an </w:t>
      </w:r>
      <w:r w:rsidR="00D14E34" w:rsidRPr="00D14E34">
        <w:rPr>
          <w:szCs w:val="22"/>
        </w:rPr>
        <w:t xml:space="preserve">accredited third party SDA assessor </w:t>
      </w:r>
      <w:r w:rsidR="00D14E34">
        <w:rPr>
          <w:szCs w:val="22"/>
        </w:rPr>
        <w:t>has certified that it</w:t>
      </w:r>
      <w:r w:rsidR="00A06E48">
        <w:rPr>
          <w:szCs w:val="22"/>
        </w:rPr>
        <w:t xml:space="preserve"> meet</w:t>
      </w:r>
      <w:r w:rsidR="00D14E34">
        <w:rPr>
          <w:szCs w:val="22"/>
        </w:rPr>
        <w:t>s</w:t>
      </w:r>
      <w:r w:rsidR="00A06E48">
        <w:rPr>
          <w:szCs w:val="22"/>
        </w:rPr>
        <w:t xml:space="preserve"> the minimum design requirements specified in the </w:t>
      </w:r>
      <w:hyperlink r:id="rId30" w:history="1">
        <w:r w:rsidR="00EE1371" w:rsidRPr="00DE28CF">
          <w:rPr>
            <w:rStyle w:val="Hyperlink"/>
            <w:i/>
            <w:iCs/>
            <w:szCs w:val="22"/>
          </w:rPr>
          <w:t>NDIS Pricing Arrangements for Specialist Disability Accommodation 2023-23</w:t>
        </w:r>
      </w:hyperlink>
      <w:r w:rsidR="00EE1371">
        <w:rPr>
          <w:rStyle w:val="Hyperlink"/>
          <w:i/>
          <w:iCs/>
        </w:rPr>
        <w:t xml:space="preserve"> </w:t>
      </w:r>
      <w:r w:rsidR="00A06E48">
        <w:t xml:space="preserve">and </w:t>
      </w:r>
      <w:r w:rsidR="00D14E34">
        <w:t xml:space="preserve">in </w:t>
      </w:r>
      <w:r w:rsidR="00A06E48">
        <w:t xml:space="preserve">the </w:t>
      </w:r>
      <w:hyperlink r:id="rId31" w:history="1">
        <w:r w:rsidR="00A06E48" w:rsidRPr="00D14E34">
          <w:rPr>
            <w:rStyle w:val="Hyperlink"/>
          </w:rPr>
          <w:t>SDA Design Standard</w:t>
        </w:r>
      </w:hyperlink>
      <w:r w:rsidR="00A06E48">
        <w:t>.</w:t>
      </w:r>
    </w:p>
    <w:p w14:paraId="07CE7B72" w14:textId="1E215005" w:rsidR="005C441C" w:rsidRDefault="00CC63F0" w:rsidP="00D14E34">
      <w:r>
        <w:rPr>
          <w:szCs w:val="22"/>
        </w:rPr>
        <w:t>The</w:t>
      </w:r>
      <w:r w:rsidR="000D3743" w:rsidRPr="000D3743">
        <w:rPr>
          <w:szCs w:val="22"/>
        </w:rPr>
        <w:t xml:space="preserve"> </w:t>
      </w:r>
      <w:r w:rsidR="00D14E34">
        <w:rPr>
          <w:szCs w:val="22"/>
        </w:rPr>
        <w:t xml:space="preserve">maximum </w:t>
      </w:r>
      <w:r w:rsidR="001A2815">
        <w:rPr>
          <w:szCs w:val="22"/>
        </w:rPr>
        <w:t xml:space="preserve">(per </w:t>
      </w:r>
      <w:r w:rsidR="00BB6E62">
        <w:rPr>
          <w:szCs w:val="22"/>
        </w:rPr>
        <w:t>SDA-eligible</w:t>
      </w:r>
      <w:r w:rsidR="001A2815">
        <w:rPr>
          <w:szCs w:val="22"/>
        </w:rPr>
        <w:t xml:space="preserve"> participant) </w:t>
      </w:r>
      <w:r w:rsidR="00D14E34">
        <w:rPr>
          <w:szCs w:val="22"/>
        </w:rPr>
        <w:t xml:space="preserve">amount of the SDA </w:t>
      </w:r>
      <w:r w:rsidR="000D3743" w:rsidRPr="00D14E34">
        <w:t>payment</w:t>
      </w:r>
      <w:r w:rsidR="00D14E34">
        <w:t xml:space="preserve"> for</w:t>
      </w:r>
      <w:r w:rsidR="001A2815">
        <w:t xml:space="preserve"> a participant living in an enrolled</w:t>
      </w:r>
      <w:r w:rsidR="00D14E34">
        <w:t xml:space="preserve"> dwelling</w:t>
      </w:r>
      <w:r w:rsidR="000D3743" w:rsidRPr="000D3743">
        <w:rPr>
          <w:szCs w:val="22"/>
        </w:rPr>
        <w:t xml:space="preserve"> </w:t>
      </w:r>
      <w:r w:rsidR="005D549E">
        <w:rPr>
          <w:szCs w:val="22"/>
        </w:rPr>
        <w:t>is</w:t>
      </w:r>
      <w:r w:rsidR="000D3743" w:rsidRPr="000D3743">
        <w:rPr>
          <w:szCs w:val="22"/>
        </w:rPr>
        <w:t xml:space="preserve"> </w:t>
      </w:r>
      <w:r w:rsidR="00D14E34">
        <w:rPr>
          <w:szCs w:val="22"/>
        </w:rPr>
        <w:t xml:space="preserve">determined by </w:t>
      </w:r>
      <w:r w:rsidR="000D3743" w:rsidRPr="000D3743">
        <w:rPr>
          <w:szCs w:val="22"/>
        </w:rPr>
        <w:t xml:space="preserve">the NDIA based on the age, </w:t>
      </w:r>
      <w:proofErr w:type="gramStart"/>
      <w:r w:rsidR="000D3743" w:rsidRPr="000D3743">
        <w:rPr>
          <w:szCs w:val="22"/>
        </w:rPr>
        <w:t>location</w:t>
      </w:r>
      <w:proofErr w:type="gramEnd"/>
      <w:r w:rsidR="000D3743" w:rsidRPr="000D3743">
        <w:rPr>
          <w:szCs w:val="22"/>
        </w:rPr>
        <w:t xml:space="preserve"> and features of the dwelling</w:t>
      </w:r>
      <w:r w:rsidR="008F6FA8">
        <w:rPr>
          <w:szCs w:val="22"/>
        </w:rPr>
        <w:t>.</w:t>
      </w:r>
      <w:r w:rsidR="005C441C">
        <w:rPr>
          <w:szCs w:val="22"/>
        </w:rPr>
        <w:t xml:space="preserve"> </w:t>
      </w:r>
      <w:r w:rsidR="005C441C">
        <w:t xml:space="preserve">The </w:t>
      </w:r>
      <w:r w:rsidR="005C441C">
        <w:rPr>
          <w:rFonts w:cs="Arial"/>
        </w:rPr>
        <w:t>price limits for</w:t>
      </w:r>
      <w:r w:rsidR="005C441C">
        <w:t xml:space="preserve"> SDA are set out in the</w:t>
      </w:r>
      <w:r w:rsidR="00EE1371">
        <w:t xml:space="preserve"> </w:t>
      </w:r>
      <w:hyperlink r:id="rId32" w:history="1">
        <w:r w:rsidR="00EE1371" w:rsidRPr="00DE28CF">
          <w:rPr>
            <w:rStyle w:val="Hyperlink"/>
            <w:i/>
            <w:iCs/>
            <w:szCs w:val="22"/>
          </w:rPr>
          <w:t>NDIS Pricing Arrangements for Specialist Disability Accommodation 2023-23</w:t>
        </w:r>
      </w:hyperlink>
      <w:r w:rsidR="00EE1371">
        <w:rPr>
          <w:i/>
          <w:iCs/>
          <w:szCs w:val="22"/>
        </w:rPr>
        <w:t>.</w:t>
      </w:r>
      <w:r w:rsidR="00D14E34">
        <w:rPr>
          <w:rStyle w:val="FootnoteReference"/>
        </w:rPr>
        <w:footnoteReference w:id="4"/>
      </w:r>
    </w:p>
    <w:p w14:paraId="3DFABA7C" w14:textId="17F79E0E" w:rsidR="005D4001" w:rsidRPr="00657A6B" w:rsidRDefault="005D4001" w:rsidP="005D4001">
      <w:pPr>
        <w:rPr>
          <w:rFonts w:cs="Arial"/>
        </w:rPr>
      </w:pPr>
      <w:r>
        <w:t xml:space="preserve">Note, </w:t>
      </w:r>
      <w:r>
        <w:rPr>
          <w:rFonts w:cs="Arial"/>
        </w:rPr>
        <w:t>w</w:t>
      </w:r>
      <w:r w:rsidRPr="00657A6B">
        <w:rPr>
          <w:rFonts w:cs="Arial"/>
        </w:rPr>
        <w:t>hen claiming payment for SDA from an individual participant’s plan, a provider is only able to claim the lesser of:</w:t>
      </w:r>
    </w:p>
    <w:p w14:paraId="56D10947" w14:textId="77777777" w:rsidR="005D4001" w:rsidRPr="005D4001" w:rsidRDefault="005D4001" w:rsidP="005D4001">
      <w:pPr>
        <w:pStyle w:val="ListParagraph"/>
        <w:numPr>
          <w:ilvl w:val="0"/>
          <w:numId w:val="9"/>
        </w:numPr>
        <w:rPr>
          <w:szCs w:val="22"/>
        </w:rPr>
      </w:pPr>
      <w:r w:rsidRPr="00657A6B">
        <w:rPr>
          <w:rFonts w:cs="Arial"/>
        </w:rPr>
        <w:t xml:space="preserve">The maximum </w:t>
      </w:r>
      <w:r w:rsidRPr="005D4001">
        <w:rPr>
          <w:szCs w:val="22"/>
        </w:rPr>
        <w:t xml:space="preserve">per participant price for which the dwelling is enrolled; and </w:t>
      </w:r>
    </w:p>
    <w:p w14:paraId="2C5DC7A7" w14:textId="5560C7A8" w:rsidR="005D4001" w:rsidRPr="00657A6B" w:rsidRDefault="005D4001" w:rsidP="005D4001">
      <w:pPr>
        <w:pStyle w:val="ListParagraph"/>
        <w:numPr>
          <w:ilvl w:val="0"/>
          <w:numId w:val="9"/>
        </w:numPr>
        <w:rPr>
          <w:rFonts w:cs="Arial"/>
        </w:rPr>
      </w:pPr>
      <w:r w:rsidRPr="005D4001">
        <w:rPr>
          <w:szCs w:val="22"/>
        </w:rPr>
        <w:lastRenderedPageBreak/>
        <w:t>The amount of SDA funding for which a participant has been assessed</w:t>
      </w:r>
      <w:r>
        <w:rPr>
          <w:szCs w:val="22"/>
        </w:rPr>
        <w:t xml:space="preserve"> – that is,</w:t>
      </w:r>
      <w:r w:rsidRPr="005D4001">
        <w:rPr>
          <w:szCs w:val="22"/>
        </w:rPr>
        <w:t xml:space="preserve"> the amount of SDA in</w:t>
      </w:r>
      <w:r w:rsidRPr="00657A6B">
        <w:rPr>
          <w:rFonts w:cs="Arial"/>
        </w:rPr>
        <w:t xml:space="preserve"> the</w:t>
      </w:r>
      <w:r>
        <w:rPr>
          <w:rFonts w:cs="Arial"/>
        </w:rPr>
        <w:t xml:space="preserve"> participant’s</w:t>
      </w:r>
      <w:r w:rsidRPr="00657A6B">
        <w:rPr>
          <w:rFonts w:cs="Arial"/>
        </w:rPr>
        <w:t xml:space="preserve"> plan.</w:t>
      </w:r>
      <w:r w:rsidR="002B0609">
        <w:rPr>
          <w:rFonts w:cs="Arial"/>
        </w:rPr>
        <w:t xml:space="preserve"> For example, if a participant has been assessed as needing</w:t>
      </w:r>
      <w:r w:rsidR="002B0609" w:rsidRPr="002B0609">
        <w:rPr>
          <w:rFonts w:cs="Arial"/>
        </w:rPr>
        <w:t xml:space="preserve"> </w:t>
      </w:r>
      <w:r w:rsidR="002B0609">
        <w:rPr>
          <w:rFonts w:cs="Arial"/>
        </w:rPr>
        <w:t xml:space="preserve">a dwelling that is </w:t>
      </w:r>
      <w:r w:rsidR="002B0609" w:rsidRPr="002B0609">
        <w:rPr>
          <w:rFonts w:cs="Arial"/>
        </w:rPr>
        <w:t xml:space="preserve">Fully Accessible </w:t>
      </w:r>
      <w:r w:rsidR="002B0609">
        <w:rPr>
          <w:rFonts w:cs="Arial"/>
        </w:rPr>
        <w:t xml:space="preserve">but is living in a dwelling that is enrolled </w:t>
      </w:r>
      <w:r w:rsidR="002B0609" w:rsidRPr="002B0609">
        <w:rPr>
          <w:rFonts w:cs="Arial"/>
        </w:rPr>
        <w:t>a</w:t>
      </w:r>
      <w:r w:rsidR="002B0609">
        <w:rPr>
          <w:rFonts w:cs="Arial"/>
        </w:rPr>
        <w:t>s</w:t>
      </w:r>
      <w:r w:rsidR="002B0609" w:rsidRPr="002B0609">
        <w:rPr>
          <w:rFonts w:cs="Arial"/>
        </w:rPr>
        <w:t xml:space="preserve"> High Physical Support</w:t>
      </w:r>
      <w:r w:rsidR="002B0609">
        <w:rPr>
          <w:rFonts w:cs="Arial"/>
        </w:rPr>
        <w:t xml:space="preserve"> the amount of funding in the participant’s plan and the maximum amount that the provider can claim will be set at the amount for an equivalent </w:t>
      </w:r>
      <w:r w:rsidR="002B0609" w:rsidRPr="002B0609">
        <w:rPr>
          <w:rFonts w:cs="Arial"/>
        </w:rPr>
        <w:t>Fully Accessible</w:t>
      </w:r>
      <w:r w:rsidR="002B0609">
        <w:rPr>
          <w:rFonts w:cs="Arial"/>
        </w:rPr>
        <w:t xml:space="preserve"> dwelling.</w:t>
      </w:r>
    </w:p>
    <w:p w14:paraId="34470B8C" w14:textId="7400B251" w:rsidR="0028732F" w:rsidRPr="00385A79" w:rsidRDefault="00385A79" w:rsidP="0028732F">
      <w:r w:rsidRPr="00385A79">
        <w:t>The</w:t>
      </w:r>
      <w:r w:rsidR="0028732F" w:rsidRPr="00385A79">
        <w:t xml:space="preserve"> Framework requires that the level of SDA funding, when combined with resident contributions and land price inflation, is sufficient to cover the efficient cost of providing accommodation over its full lifecycle (that is, establishing, </w:t>
      </w:r>
      <w:proofErr w:type="gramStart"/>
      <w:r w:rsidR="0028732F" w:rsidRPr="00385A79">
        <w:t>operating</w:t>
      </w:r>
      <w:proofErr w:type="gramEnd"/>
      <w:r w:rsidR="0028732F" w:rsidRPr="00385A79">
        <w:t xml:space="preserve"> and replacing the accommodation), and therefore should allow providers to attain finance (debt and equity) in the private market to meet these lifecycle costs.</w:t>
      </w:r>
    </w:p>
    <w:p w14:paraId="79704D99" w14:textId="7A1C5BC7" w:rsidR="0087236F" w:rsidRDefault="002F2B24" w:rsidP="00FA12C8">
      <w:pPr>
        <w:pStyle w:val="Heading2"/>
      </w:pPr>
      <w:bookmarkStart w:id="3" w:name="_Toc116293068"/>
      <w:r>
        <w:t xml:space="preserve">Scope of the </w:t>
      </w:r>
      <w:r w:rsidR="00F02B6B">
        <w:t xml:space="preserve">SDA Pricing </w:t>
      </w:r>
      <w:r>
        <w:t>Review</w:t>
      </w:r>
      <w:bookmarkEnd w:id="3"/>
    </w:p>
    <w:p w14:paraId="54A3E09E" w14:textId="06F7CFFE" w:rsidR="008C1E38" w:rsidRDefault="00703556" w:rsidP="008C1E38">
      <w:bookmarkStart w:id="4" w:name="_Hlk114052730"/>
      <w:r>
        <w:t>As part of the</w:t>
      </w:r>
      <w:r w:rsidR="008C1E38" w:rsidRPr="008C1E38">
        <w:t xml:space="preserve"> SDA Pric</w:t>
      </w:r>
      <w:r w:rsidR="008F6FA8">
        <w:t>ing</w:t>
      </w:r>
      <w:r w:rsidR="008C1E38" w:rsidRPr="008C1E38">
        <w:t xml:space="preserve"> Review</w:t>
      </w:r>
      <w:r>
        <w:t>, the NDIA</w:t>
      </w:r>
      <w:r w:rsidR="008C1E38" w:rsidRPr="008C1E38">
        <w:t xml:space="preserve"> will examine, through submissions, consultations, research</w:t>
      </w:r>
      <w:r w:rsidR="007F692F">
        <w:t>, a</w:t>
      </w:r>
      <w:r w:rsidR="008C1E38" w:rsidRPr="008C1E38">
        <w:t xml:space="preserve">nd analysis, whether the existing assumptions that underpin SDA prices will support a sustainable SDA market that fosters choice and control, encourages innovation, provides options for participants, continuity of supply and financial sustainability for governments, participants, </w:t>
      </w:r>
      <w:proofErr w:type="gramStart"/>
      <w:r w:rsidR="008C1E38" w:rsidRPr="008C1E38">
        <w:t>investors</w:t>
      </w:r>
      <w:proofErr w:type="gramEnd"/>
      <w:r w:rsidR="008C1E38" w:rsidRPr="008C1E38">
        <w:t xml:space="preserve"> and providers.</w:t>
      </w:r>
    </w:p>
    <w:p w14:paraId="452A95EA" w14:textId="4A96026A" w:rsidR="00BE647B" w:rsidRDefault="00BE647B" w:rsidP="00BE647B">
      <w:r>
        <w:t xml:space="preserve">In developing the new SDA Benchmark Prices, the </w:t>
      </w:r>
      <w:r w:rsidR="00703556">
        <w:t>NDIA</w:t>
      </w:r>
      <w:r>
        <w:t xml:space="preserve"> will be cognisant of the need to both attract investment to meet current demand and support investment to meet changing demand on a regional basis. It will also develop supply and demand projections for SDA and examine the extent to which the demand mix will change in the medium to long term.</w:t>
      </w:r>
    </w:p>
    <w:p w14:paraId="029F831B" w14:textId="72FA6CF3" w:rsidR="008C1E38" w:rsidRDefault="00703556" w:rsidP="008C1E38">
      <w:r>
        <w:t>In undertaking the Review</w:t>
      </w:r>
      <w:r w:rsidR="008F6FA8">
        <w:t>,</w:t>
      </w:r>
      <w:r>
        <w:t xml:space="preserve"> the NDIA wil</w:t>
      </w:r>
      <w:r w:rsidR="008C1E38">
        <w:t>l</w:t>
      </w:r>
      <w:proofErr w:type="gramStart"/>
      <w:r w:rsidR="00BE647B">
        <w:t>, in particular</w:t>
      </w:r>
      <w:r w:rsidR="00AE3336">
        <w:t>,</w:t>
      </w:r>
      <w:r w:rsidR="00AA37C7">
        <w:t xml:space="preserve"> (</w:t>
      </w:r>
      <w:proofErr w:type="gramEnd"/>
      <w:r w:rsidR="00AA37C7">
        <w:t>base</w:t>
      </w:r>
      <w:r w:rsidR="00AE3336">
        <w:t xml:space="preserve">d </w:t>
      </w:r>
      <w:r w:rsidR="00AA37C7">
        <w:t>o</w:t>
      </w:r>
      <w:r w:rsidR="00AE3336">
        <w:t>n</w:t>
      </w:r>
      <w:r w:rsidR="00AA37C7">
        <w:t xml:space="preserve"> the advice of technical experts and information received from stakeholders)</w:t>
      </w:r>
      <w:r w:rsidR="00BE647B">
        <w:t>:</w:t>
      </w:r>
    </w:p>
    <w:p w14:paraId="3C7564D2" w14:textId="1F5C4390" w:rsidR="008C1E38" w:rsidRDefault="008C1E38">
      <w:pPr>
        <w:pStyle w:val="ListParagraph"/>
        <w:numPr>
          <w:ilvl w:val="0"/>
          <w:numId w:val="10"/>
        </w:numPr>
      </w:pPr>
      <w:r>
        <w:t xml:space="preserve">Develop benchmark estimates of the efficient construction cost in a benchmark Region (excluding the cost of land) for each of the </w:t>
      </w:r>
      <w:r w:rsidR="005C441C">
        <w:t>8</w:t>
      </w:r>
      <w:r>
        <w:t>6 allowable combinations of Building Type and Design Category that are funded as SDA by the NDIS.</w:t>
      </w:r>
    </w:p>
    <w:p w14:paraId="7EA9A71A" w14:textId="6EF117FB" w:rsidR="008C1E38" w:rsidRDefault="008C1E38" w:rsidP="00023B0E">
      <w:pPr>
        <w:pStyle w:val="ListParagraph"/>
        <w:numPr>
          <w:ilvl w:val="0"/>
          <w:numId w:val="10"/>
        </w:numPr>
      </w:pPr>
      <w:r>
        <w:t>Develop statistical estimates of the cost per square met</w:t>
      </w:r>
      <w:r w:rsidR="00A860D5">
        <w:t>re</w:t>
      </w:r>
      <w:r>
        <w:t xml:space="preserve"> of undeveloped and vacant land in each of the </w:t>
      </w:r>
      <w:r w:rsidR="0097113C">
        <w:t xml:space="preserve">87 </w:t>
      </w:r>
      <w:r w:rsidR="00023B0E" w:rsidRPr="00023B0E">
        <w:t>Statistical Local Area Level 4 (SA4</w:t>
      </w:r>
      <w:r w:rsidR="00023B0E">
        <w:t>)</w:t>
      </w:r>
      <w:r>
        <w:t xml:space="preserve"> regions, where the land is valued based on its highest and best permitted use.</w:t>
      </w:r>
    </w:p>
    <w:p w14:paraId="4D7C86FB" w14:textId="41F8E0F3" w:rsidR="008C1E38" w:rsidRDefault="008C1E38">
      <w:pPr>
        <w:pStyle w:val="ListParagraph"/>
        <w:numPr>
          <w:ilvl w:val="0"/>
          <w:numId w:val="10"/>
        </w:numPr>
      </w:pPr>
      <w:r>
        <w:t>Estimate the future rate of growth in the cost per square metr</w:t>
      </w:r>
      <w:r w:rsidR="00A860D5">
        <w:t>e</w:t>
      </w:r>
      <w:r>
        <w:t xml:space="preserve"> of undeveloped and vacant land, including the extent to which different future growth rates are likely to apply to different SA4 regions.</w:t>
      </w:r>
    </w:p>
    <w:p w14:paraId="3D5332CF" w14:textId="50BBD889" w:rsidR="008C1E38" w:rsidRDefault="008C1E38">
      <w:pPr>
        <w:pStyle w:val="ListParagraph"/>
        <w:numPr>
          <w:ilvl w:val="0"/>
          <w:numId w:val="10"/>
        </w:numPr>
      </w:pPr>
      <w:r>
        <w:t xml:space="preserve">Review the current methodology by which the NDIA accounts for the differences in construction costs between geographic locations and the assumptions in that methodology, including whether it is appropriate to use the same relative construction cost multiplier for all Building Types and Design Categories </w:t>
      </w:r>
      <w:proofErr w:type="gramStart"/>
      <w:r>
        <w:t>in a given</w:t>
      </w:r>
      <w:proofErr w:type="gramEnd"/>
      <w:r>
        <w:t xml:space="preserve"> region.</w:t>
      </w:r>
    </w:p>
    <w:p w14:paraId="3BD1110E" w14:textId="21B18620" w:rsidR="008C1E38" w:rsidRDefault="008C1E38">
      <w:pPr>
        <w:pStyle w:val="ListParagraph"/>
        <w:numPr>
          <w:ilvl w:val="0"/>
          <w:numId w:val="10"/>
        </w:numPr>
      </w:pPr>
      <w:r>
        <w:t xml:space="preserve">Review the current methodology by which the NDIA accounts for the presence of sprinklers in estimating the construction cost of a New Build, including whether it is appropriate to use the same adjustment for all Building Types, Design Categories and Regions. The NDIA will also examine whether the pricing arrangements provide an appropriate incentive for the installation of </w:t>
      </w:r>
      <w:r w:rsidR="00023B0E">
        <w:t xml:space="preserve">fire </w:t>
      </w:r>
      <w:r>
        <w:t>sprinklers</w:t>
      </w:r>
      <w:r w:rsidR="00023B0E">
        <w:t xml:space="preserve"> (sprinklers)</w:t>
      </w:r>
      <w:r>
        <w:t xml:space="preserve"> given the mobility </w:t>
      </w:r>
      <w:r>
        <w:lastRenderedPageBreak/>
        <w:t>needs of some participants and test if it might not be more appropriate to require the installation of sprinklers in all New Builds.</w:t>
      </w:r>
    </w:p>
    <w:p w14:paraId="5E882877" w14:textId="7732BB22" w:rsidR="008C1E38" w:rsidRDefault="008C1E38">
      <w:pPr>
        <w:pStyle w:val="ListParagraph"/>
        <w:numPr>
          <w:ilvl w:val="0"/>
          <w:numId w:val="10"/>
        </w:numPr>
      </w:pPr>
      <w:r>
        <w:t>Estimate the loss in value that can be expected to occur on the conversion of SDA property to general property at the end of an investment, including the extent to which this varies by Building Type and Size, Design Category and Region.</w:t>
      </w:r>
    </w:p>
    <w:p w14:paraId="28854A07" w14:textId="4DDC9F73" w:rsidR="008C1E38" w:rsidRDefault="008C1E38">
      <w:pPr>
        <w:pStyle w:val="ListParagraph"/>
        <w:numPr>
          <w:ilvl w:val="0"/>
          <w:numId w:val="10"/>
        </w:numPr>
      </w:pPr>
      <w:r>
        <w:t>Estimate the fees that are incurred on the sale of SDA properties, including the extent to which these fees vary by Building Type and Size, Design Category and Region.</w:t>
      </w:r>
    </w:p>
    <w:p w14:paraId="1C75BE7E" w14:textId="769417C7" w:rsidR="008C1E38" w:rsidRDefault="008C1E38">
      <w:pPr>
        <w:pStyle w:val="ListParagraph"/>
        <w:numPr>
          <w:ilvl w:val="0"/>
          <w:numId w:val="10"/>
        </w:numPr>
      </w:pPr>
      <w:r>
        <w:t>Estimate the vacancy rates that efficient SDA providers can expect to encounter, including the extent to which these rates vary by Building Type and Size, Design Category and Region.</w:t>
      </w:r>
    </w:p>
    <w:p w14:paraId="6C19BA58" w14:textId="167A4595" w:rsidR="008C1E38" w:rsidRDefault="008C1E38">
      <w:pPr>
        <w:pStyle w:val="ListParagraph"/>
        <w:numPr>
          <w:ilvl w:val="0"/>
          <w:numId w:val="10"/>
        </w:numPr>
      </w:pPr>
      <w:r>
        <w:t>Estimate the efficient costs of ownership, including maintenance, property management and vacancy management, and examine whether these costs significantly vary by Design Category, Building Type and Size, and Region.</w:t>
      </w:r>
    </w:p>
    <w:p w14:paraId="320EA241" w14:textId="154CA61C" w:rsidR="008C1E38" w:rsidRDefault="008C1E38">
      <w:pPr>
        <w:pStyle w:val="ListParagraph"/>
        <w:numPr>
          <w:ilvl w:val="0"/>
          <w:numId w:val="10"/>
        </w:numPr>
      </w:pPr>
      <w:r>
        <w:t>Estimate the key parameters of a Capital Assets Pricing Model for SDA investments, including:</w:t>
      </w:r>
      <w:r>
        <w:tab/>
      </w:r>
    </w:p>
    <w:p w14:paraId="76735AD2" w14:textId="3C9BA4B3" w:rsidR="008C1E38" w:rsidRDefault="008C1E38">
      <w:pPr>
        <w:pStyle w:val="ListParagraph"/>
        <w:numPr>
          <w:ilvl w:val="1"/>
          <w:numId w:val="11"/>
        </w:numPr>
      </w:pPr>
      <w:r>
        <w:t xml:space="preserve">The Equity Beta for SDA </w:t>
      </w:r>
      <w:proofErr w:type="gramStart"/>
      <w:r>
        <w:t>investments;</w:t>
      </w:r>
      <w:proofErr w:type="gramEnd"/>
    </w:p>
    <w:p w14:paraId="427027DE" w14:textId="77F2F6EB" w:rsidR="008C1E38" w:rsidRDefault="008C1E38">
      <w:pPr>
        <w:pStyle w:val="ListParagraph"/>
        <w:numPr>
          <w:ilvl w:val="1"/>
          <w:numId w:val="11"/>
        </w:numPr>
      </w:pPr>
      <w:r>
        <w:t>The efficient Gearing Ratio for SDA investments; and</w:t>
      </w:r>
    </w:p>
    <w:p w14:paraId="63B659F8" w14:textId="4D34CEBD" w:rsidR="008C1E38" w:rsidRDefault="008C1E38">
      <w:pPr>
        <w:pStyle w:val="ListParagraph"/>
        <w:numPr>
          <w:ilvl w:val="1"/>
          <w:numId w:val="11"/>
        </w:numPr>
      </w:pPr>
      <w:r>
        <w:t>The extent to which the typical equity investor in SDA can use the franking credits attached to its dividends because of the payment of company tax.</w:t>
      </w:r>
    </w:p>
    <w:p w14:paraId="65A675A1" w14:textId="39D49C01" w:rsidR="008C1E38" w:rsidRDefault="00D30D33">
      <w:pPr>
        <w:pStyle w:val="ListParagraph"/>
        <w:numPr>
          <w:ilvl w:val="0"/>
          <w:numId w:val="10"/>
        </w:numPr>
      </w:pPr>
      <w:r>
        <w:t>For Existing SDA, e</w:t>
      </w:r>
      <w:r w:rsidR="008C1E38">
        <w:t>stimate the typical gross rental yields that can be expected from SDA type properties in the Australian economy, including the extent to which gross rental yields significantly vary by Design Category, Building Type and Size, and Region.</w:t>
      </w:r>
    </w:p>
    <w:p w14:paraId="3DFB88F7" w14:textId="04266504" w:rsidR="008C1E38" w:rsidRDefault="008C1E38">
      <w:pPr>
        <w:pStyle w:val="ListParagraph"/>
        <w:numPr>
          <w:ilvl w:val="0"/>
          <w:numId w:val="10"/>
        </w:numPr>
      </w:pPr>
      <w:r>
        <w:t>Examine any other factors that have the potential to impact on the ability of the Scheme to attract the required level of investment over the next twenty years across the range of SDA to meet the reasonable and necessary support needs of participants.</w:t>
      </w:r>
    </w:p>
    <w:p w14:paraId="72ED4937" w14:textId="26DFC0A2" w:rsidR="008C1E38" w:rsidRDefault="00703556" w:rsidP="008C1E38">
      <w:r>
        <w:t>As part of the</w:t>
      </w:r>
      <w:r w:rsidR="008C1E38">
        <w:t xml:space="preserve"> </w:t>
      </w:r>
      <w:r w:rsidR="008F6FA8">
        <w:t>SDA Pricing Review</w:t>
      </w:r>
      <w:r>
        <w:t>, the NDIA</w:t>
      </w:r>
      <w:r w:rsidR="008C1E38">
        <w:t xml:space="preserve"> will also examine the implications for SDA pricing of the decision on 30 April 2022 by </w:t>
      </w:r>
      <w:r w:rsidR="00B549A3">
        <w:t>B</w:t>
      </w:r>
      <w:r w:rsidR="008C1E38">
        <w:t xml:space="preserve">uilding </w:t>
      </w:r>
      <w:r w:rsidR="00B549A3">
        <w:t>M</w:t>
      </w:r>
      <w:r w:rsidR="008C1E38">
        <w:t xml:space="preserve">inisters to include minimum accessibility standards in the 2022 National Construction Code (NCC). </w:t>
      </w:r>
      <w:r w:rsidR="00B549A3" w:rsidRPr="00B549A3">
        <w:t>NCC 2022 will commence on 1 May 2023, with a transition period to 1 October 2023</w:t>
      </w:r>
      <w:r w:rsidR="00B549A3">
        <w:t>.</w:t>
      </w:r>
    </w:p>
    <w:p w14:paraId="141EC74F" w14:textId="2A5244FB" w:rsidR="008C1E38" w:rsidRDefault="00703556" w:rsidP="008C1E38">
      <w:r>
        <w:t xml:space="preserve">In undertaking the </w:t>
      </w:r>
      <w:r w:rsidR="008F6FA8">
        <w:t>SDA Pricing Review</w:t>
      </w:r>
      <w:r>
        <w:t xml:space="preserve">, the NDIA </w:t>
      </w:r>
      <w:r w:rsidR="008C1E38">
        <w:t xml:space="preserve">will be cognisant of the provisions in paragraphs 99-101 of the Framework, which provide that the NDIA can make other payments in respect of housing or accommodation arrangements that are consistent with the NDIS Act, including funding arrangements to facilitate the supply of SDA where the market is not responding appropriately to the demand for places, and/or where innovative built forms or financing arrangements are needed. </w:t>
      </w:r>
    </w:p>
    <w:p w14:paraId="7BD0CCC8" w14:textId="16C807AE" w:rsidR="008C1E38" w:rsidRDefault="00703556" w:rsidP="008C1E38">
      <w:r>
        <w:t>The NDIA</w:t>
      </w:r>
      <w:r w:rsidR="008C1E38">
        <w:t xml:space="preserve"> will also be cognisant of the objectives and principles of the NDIS, as set out in the NDIS Act, including that the NDIS should:</w:t>
      </w:r>
    </w:p>
    <w:p w14:paraId="144CFF82" w14:textId="440D8C3E" w:rsidR="008C1E38" w:rsidRDefault="008C1E38">
      <w:pPr>
        <w:pStyle w:val="ListParagraph"/>
        <w:numPr>
          <w:ilvl w:val="0"/>
          <w:numId w:val="10"/>
        </w:numPr>
      </w:pPr>
      <w:r>
        <w:t>Support the independence and social and economic participation of people with disability.</w:t>
      </w:r>
    </w:p>
    <w:p w14:paraId="68F2D299" w14:textId="0BDE26D4" w:rsidR="008C1E38" w:rsidRDefault="008C1E38">
      <w:pPr>
        <w:pStyle w:val="ListParagraph"/>
        <w:numPr>
          <w:ilvl w:val="0"/>
          <w:numId w:val="10"/>
        </w:numPr>
      </w:pPr>
      <w:r>
        <w:lastRenderedPageBreak/>
        <w:t>Enable people with disability to exercise choice and control in the pursuit of their goals and the planning and delivery of their supports.</w:t>
      </w:r>
    </w:p>
    <w:p w14:paraId="46863683" w14:textId="0F2656A2" w:rsidR="008C1E38" w:rsidRDefault="008C1E38">
      <w:pPr>
        <w:pStyle w:val="ListParagraph"/>
        <w:numPr>
          <w:ilvl w:val="0"/>
          <w:numId w:val="10"/>
        </w:numPr>
      </w:pPr>
      <w:r>
        <w:t>Facilitate the development of a nationally consistent approach to the access to, and the planning and funding of, supports for people with disability.</w:t>
      </w:r>
    </w:p>
    <w:p w14:paraId="25E60DE4" w14:textId="0F48B623" w:rsidR="008C1E38" w:rsidRDefault="008C1E38">
      <w:pPr>
        <w:pStyle w:val="ListParagraph"/>
        <w:numPr>
          <w:ilvl w:val="0"/>
          <w:numId w:val="10"/>
        </w:numPr>
      </w:pPr>
      <w:r>
        <w:t>Promote the provision of high quality and innovative supports that enable people with disability to maximise independent lifestyles and full inclusion in the community.</w:t>
      </w:r>
    </w:p>
    <w:p w14:paraId="05AFB68E" w14:textId="3948EF2D" w:rsidR="008C1E38" w:rsidRDefault="008C1E38">
      <w:pPr>
        <w:pStyle w:val="ListParagraph"/>
        <w:numPr>
          <w:ilvl w:val="0"/>
          <w:numId w:val="10"/>
        </w:numPr>
      </w:pPr>
      <w:r>
        <w:t xml:space="preserve">Adopt an </w:t>
      </w:r>
      <w:r w:rsidR="00AB2640">
        <w:t>insurance-based</w:t>
      </w:r>
      <w:r>
        <w:t xml:space="preserve"> approach, informed by actuarial analysis, to the provision and funding of supports for people with disability.</w:t>
      </w:r>
    </w:p>
    <w:p w14:paraId="15046BD7" w14:textId="27726991" w:rsidR="008C1E38" w:rsidRPr="008C1E38" w:rsidRDefault="008C1E38">
      <w:pPr>
        <w:pStyle w:val="ListParagraph"/>
        <w:numPr>
          <w:ilvl w:val="0"/>
          <w:numId w:val="10"/>
        </w:numPr>
      </w:pPr>
      <w:r>
        <w:t>Be financially sustainable.</w:t>
      </w:r>
    </w:p>
    <w:p w14:paraId="0C560CC4" w14:textId="4B200FC8" w:rsidR="008F6FA8" w:rsidRDefault="008F6FA8" w:rsidP="00FA12C8">
      <w:pPr>
        <w:pStyle w:val="Heading2"/>
      </w:pPr>
      <w:bookmarkStart w:id="5" w:name="_Toc116293069"/>
      <w:bookmarkEnd w:id="4"/>
      <w:r>
        <w:t>Process and Timing</w:t>
      </w:r>
      <w:bookmarkEnd w:id="5"/>
    </w:p>
    <w:p w14:paraId="2041A49C" w14:textId="1666A893" w:rsidR="00217257" w:rsidRDefault="008F6FA8" w:rsidP="00217257">
      <w:r>
        <w:t>In accordance with the Framework, the SDA Pricing Review, including any consultations, will be undertaken by the NDIA. The NDIA will invite submissions from the public and consult with stakeholders, including governments, participants, investors</w:t>
      </w:r>
      <w:r w:rsidR="00BF1A38">
        <w:t xml:space="preserve">, </w:t>
      </w:r>
      <w:proofErr w:type="gramStart"/>
      <w:r>
        <w:t>providers</w:t>
      </w:r>
      <w:proofErr w:type="gramEnd"/>
      <w:r w:rsidR="00BF1A38">
        <w:t xml:space="preserve"> and their representative bodies</w:t>
      </w:r>
      <w:r>
        <w:t>.</w:t>
      </w:r>
      <w:r w:rsidR="00217257" w:rsidRPr="00217257">
        <w:t xml:space="preserve"> </w:t>
      </w:r>
      <w:r w:rsidR="00217257">
        <w:t xml:space="preserve">The NDIA will also test changes in the specific assumptions underpinning the SDA methodology with stakeholders, including governments, participants, </w:t>
      </w:r>
      <w:proofErr w:type="gramStart"/>
      <w:r w:rsidR="00217257">
        <w:t>investors</w:t>
      </w:r>
      <w:proofErr w:type="gramEnd"/>
      <w:r w:rsidR="00217257">
        <w:t xml:space="preserve"> and providers.</w:t>
      </w:r>
    </w:p>
    <w:p w14:paraId="03E459F8" w14:textId="619DC4AE" w:rsidR="00217257" w:rsidRDefault="00217257" w:rsidP="00217257">
      <w:r>
        <w:t xml:space="preserve">A panel of independent experts with relevant skills and expertise in pricing (“the Expert Panel”) will work with the NDIA to oversee the work of the </w:t>
      </w:r>
      <w:r w:rsidR="00B21A88">
        <w:t>SDA Pricing Review</w:t>
      </w:r>
      <w:r>
        <w:t>. The role of the Expert Panel will be to:</w:t>
      </w:r>
    </w:p>
    <w:p w14:paraId="6A5C4107" w14:textId="1DC5156D" w:rsidR="00217257" w:rsidRDefault="00217257" w:rsidP="00217257">
      <w:pPr>
        <w:pStyle w:val="ListParagraph"/>
        <w:numPr>
          <w:ilvl w:val="0"/>
          <w:numId w:val="10"/>
        </w:numPr>
      </w:pPr>
      <w:r>
        <w:t xml:space="preserve">Provide advice to the NDIA on the conduct of the </w:t>
      </w:r>
      <w:r w:rsidR="00B21A88">
        <w:t>SDA Pricing Review</w:t>
      </w:r>
      <w:r>
        <w:t>; and</w:t>
      </w:r>
    </w:p>
    <w:p w14:paraId="7037A3C0" w14:textId="51E24D89" w:rsidR="00217257" w:rsidRDefault="00217257" w:rsidP="00217257">
      <w:pPr>
        <w:pStyle w:val="ListParagraph"/>
        <w:numPr>
          <w:ilvl w:val="0"/>
          <w:numId w:val="10"/>
        </w:numPr>
      </w:pPr>
      <w:r>
        <w:t xml:space="preserve">Provide advice to the Board of the NDIA, through the CEO, on options and recommendations developed by NDIA as part of the </w:t>
      </w:r>
      <w:r w:rsidR="00B21A88">
        <w:t>SDA Pricing Review</w:t>
      </w:r>
      <w:r>
        <w:t>.</w:t>
      </w:r>
    </w:p>
    <w:p w14:paraId="1F403B79" w14:textId="0355401F" w:rsidR="008F6FA8" w:rsidRDefault="008F6FA8" w:rsidP="008F6FA8">
      <w:r>
        <w:t xml:space="preserve">Final prices for 2023-24, following </w:t>
      </w:r>
      <w:r w:rsidR="009A5FB6">
        <w:t xml:space="preserve">Consumer Price Index </w:t>
      </w:r>
      <w:r w:rsidR="00A67FF1">
        <w:t>(“</w:t>
      </w:r>
      <w:r>
        <w:t>CPI</w:t>
      </w:r>
      <w:r w:rsidR="00A67FF1">
        <w:t>”)</w:t>
      </w:r>
      <w:r>
        <w:t xml:space="preserve"> indexation of the </w:t>
      </w:r>
      <w:r w:rsidR="00B21A88">
        <w:t>SDA Pricing Review</w:t>
      </w:r>
      <w:r>
        <w:t xml:space="preserve">’s outcomes, </w:t>
      </w:r>
      <w:r w:rsidR="00072931">
        <w:t>are expected to</w:t>
      </w:r>
      <w:r>
        <w:t xml:space="preserve"> be released in May 2023. Any new pricing arrangements will come into effect on 1 July 2023.</w:t>
      </w:r>
    </w:p>
    <w:p w14:paraId="5C5335A4" w14:textId="425685C1" w:rsidR="002F2B24" w:rsidRDefault="002F2B24" w:rsidP="00FA12C8">
      <w:pPr>
        <w:pStyle w:val="Heading2"/>
      </w:pPr>
      <w:bookmarkStart w:id="6" w:name="_Toc116293070"/>
      <w:r>
        <w:t>How You Can Contribute to the Review</w:t>
      </w:r>
      <w:bookmarkEnd w:id="6"/>
    </w:p>
    <w:p w14:paraId="5B8951DE" w14:textId="5BAC93B4" w:rsidR="00F02B6B" w:rsidRDefault="002F2B24" w:rsidP="00F02B6B">
      <w:r>
        <w:t xml:space="preserve">This Consultation Paper is intended to assist you to prepare a submission to the </w:t>
      </w:r>
      <w:r w:rsidR="008F6FA8">
        <w:t>SDA Pricing Review</w:t>
      </w:r>
      <w:r>
        <w:t>. You do not need to comment on every issue raised in this paper and you are free to raise any other issues or ideas that are relevant to the terms of reference.</w:t>
      </w:r>
      <w:r w:rsidR="00217257">
        <w:t xml:space="preserve"> </w:t>
      </w:r>
      <w:r w:rsidR="00F02B6B">
        <w:t>The NDIA anticipates submissions regarding the Consultation paper from a wide range of individuals and organisations including NDIS participants, SDA providers and investors.</w:t>
      </w:r>
    </w:p>
    <w:p w14:paraId="734BCA37" w14:textId="6C59F2FE" w:rsidR="002F2B24" w:rsidRDefault="002F2B24" w:rsidP="002F2B24">
      <w:r>
        <w:t xml:space="preserve">Submissions may range from a short note outlining your views on a particular topic to a much more substantial document covering a range of issues. Where possible, you should provide evidence, such as relevant data and documentation, to support your views. If you are a provider, then a brief overview of the nature of your organisation, the number of employees and participants, and the types of </w:t>
      </w:r>
      <w:r w:rsidR="00703556">
        <w:t>SDA that</w:t>
      </w:r>
      <w:r>
        <w:t xml:space="preserve"> you offer, and the locations in which you operate would be helpful.</w:t>
      </w:r>
    </w:p>
    <w:p w14:paraId="3D998BF4" w14:textId="77777777" w:rsidR="002F2B24" w:rsidRDefault="002F2B24" w:rsidP="002F2B24">
      <w:r>
        <w:t xml:space="preserve">Any information that you consider to be of a confidential nature should be clearly marked or identified as confidential. The NDIA will not disclose such confidential information to third </w:t>
      </w:r>
      <w:r>
        <w:lastRenderedPageBreak/>
        <w:t xml:space="preserve">parties, without first providing you with notice of its intention to do so, such as where it is compelled to do so by law. </w:t>
      </w:r>
    </w:p>
    <w:p w14:paraId="469ADFBD" w14:textId="64EB2346" w:rsidR="002F2B24" w:rsidRDefault="002F2B24" w:rsidP="002F2B24">
      <w:pPr>
        <w:rPr>
          <w:b/>
        </w:rPr>
      </w:pPr>
      <w:r>
        <w:rPr>
          <w:b/>
        </w:rPr>
        <w:t xml:space="preserve">Submissions on this Consultation Paper can be lodged via email to </w:t>
      </w:r>
      <w:hyperlink r:id="rId33" w:history="1">
        <w:r w:rsidR="00703556" w:rsidRPr="00DD11AA">
          <w:rPr>
            <w:rStyle w:val="Hyperlink"/>
            <w:b/>
          </w:rPr>
          <w:t>SDAPR@ndis.gov.au</w:t>
        </w:r>
      </w:hyperlink>
      <w:r>
        <w:rPr>
          <w:b/>
        </w:rPr>
        <w:t xml:space="preserve">. </w:t>
      </w:r>
    </w:p>
    <w:p w14:paraId="3E86362B" w14:textId="4ABCFA02" w:rsidR="002F2B24" w:rsidRDefault="002F2B24" w:rsidP="002F2B24">
      <w:pPr>
        <w:rPr>
          <w:b/>
        </w:rPr>
      </w:pPr>
      <w:r>
        <w:rPr>
          <w:b/>
        </w:rPr>
        <w:t xml:space="preserve">Submissions must be lodged by midnight AWST </w:t>
      </w:r>
      <w:r w:rsidR="00A4558A" w:rsidRPr="00A4558A">
        <w:rPr>
          <w:b/>
        </w:rPr>
        <w:t>Friday,</w:t>
      </w:r>
      <w:r w:rsidRPr="00A4558A">
        <w:rPr>
          <w:b/>
        </w:rPr>
        <w:t xml:space="preserve"> </w:t>
      </w:r>
      <w:r w:rsidR="00BA407A">
        <w:rPr>
          <w:b/>
        </w:rPr>
        <w:t>9</w:t>
      </w:r>
      <w:r w:rsidRPr="00A4558A">
        <w:rPr>
          <w:b/>
        </w:rPr>
        <w:t xml:space="preserve"> </w:t>
      </w:r>
      <w:r w:rsidR="00A4558A" w:rsidRPr="00A4558A">
        <w:rPr>
          <w:b/>
        </w:rPr>
        <w:t>Dec</w:t>
      </w:r>
      <w:r w:rsidRPr="00A4558A">
        <w:rPr>
          <w:b/>
        </w:rPr>
        <w:t>ember 2022.</w:t>
      </w:r>
    </w:p>
    <w:p w14:paraId="36C1CCA4" w14:textId="58AF94C3" w:rsidR="002F2B24" w:rsidRDefault="002F2B24" w:rsidP="00FA12C8">
      <w:pPr>
        <w:pStyle w:val="Heading2"/>
      </w:pPr>
      <w:bookmarkStart w:id="7" w:name="_Toc116293071"/>
      <w:r>
        <w:t>Further Information</w:t>
      </w:r>
      <w:bookmarkEnd w:id="7"/>
    </w:p>
    <w:p w14:paraId="3EFF1A2A" w14:textId="273A7756" w:rsidR="004752A6" w:rsidRDefault="002F2B24" w:rsidP="004752A6">
      <w:r>
        <w:t xml:space="preserve">Further information on the </w:t>
      </w:r>
      <w:r w:rsidR="00A010BA">
        <w:t>SDA Pricing</w:t>
      </w:r>
      <w:r>
        <w:t xml:space="preserve"> Review can be found at the NDIS </w:t>
      </w:r>
      <w:hyperlink r:id="rId34" w:history="1">
        <w:r>
          <w:rPr>
            <w:rStyle w:val="Hyperlink"/>
          </w:rPr>
          <w:t>website</w:t>
        </w:r>
      </w:hyperlink>
      <w:r>
        <w:t>.</w:t>
      </w:r>
    </w:p>
    <w:p w14:paraId="3EBC40BA" w14:textId="18225DAC" w:rsidR="004752A6" w:rsidRPr="004752A6" w:rsidRDefault="004752A6" w:rsidP="004752A6">
      <w:pPr>
        <w:sectPr w:rsidR="004752A6" w:rsidRPr="004752A6" w:rsidSect="00872AF9">
          <w:pgSz w:w="11907" w:h="16839" w:code="9"/>
          <w:pgMar w:top="1440" w:right="1440" w:bottom="1440" w:left="1440" w:header="709" w:footer="709" w:gutter="0"/>
          <w:cols w:space="708"/>
          <w:titlePg/>
          <w:docGrid w:linePitch="360"/>
        </w:sectPr>
      </w:pPr>
    </w:p>
    <w:p w14:paraId="359EAAFC" w14:textId="6163EE0C" w:rsidR="0016121F" w:rsidRDefault="0016121F" w:rsidP="009344CC">
      <w:pPr>
        <w:pStyle w:val="Heading1"/>
      </w:pPr>
      <w:bookmarkStart w:id="8" w:name="_Toc116293072"/>
      <w:r>
        <w:lastRenderedPageBreak/>
        <w:t>Current Pricing Arrangements</w:t>
      </w:r>
      <w:bookmarkEnd w:id="8"/>
    </w:p>
    <w:p w14:paraId="66D4CDA3" w14:textId="6BB40D12" w:rsidR="0016121F" w:rsidRDefault="0016121F" w:rsidP="0016121F">
      <w:r>
        <w:t>The amount of SDA that is payable in respect of a</w:t>
      </w:r>
      <w:r w:rsidR="00BB6E62">
        <w:t>n SDA-eligible</w:t>
      </w:r>
      <w:r>
        <w:t xml:space="preserve"> participant in an SDA </w:t>
      </w:r>
      <w:r w:rsidR="00BB6E62">
        <w:t>enrolled</w:t>
      </w:r>
      <w:r>
        <w:t xml:space="preserve"> dwelling varies according to:</w:t>
      </w:r>
    </w:p>
    <w:p w14:paraId="1543B79D" w14:textId="1EBEBFD8" w:rsidR="009E2E29" w:rsidRPr="009E2E29" w:rsidRDefault="0016121F" w:rsidP="009E2E29">
      <w:pPr>
        <w:pStyle w:val="DotPoint"/>
        <w:rPr>
          <w:rFonts w:cs="Arial"/>
        </w:rPr>
      </w:pPr>
      <w:r>
        <w:t xml:space="preserve">Whether the </w:t>
      </w:r>
      <w:r w:rsidR="002055AE">
        <w:t>d</w:t>
      </w:r>
      <w:r>
        <w:t>welling is a New Build or Existing Stock or Legacy Stock.</w:t>
      </w:r>
      <w:r w:rsidR="009E2E29">
        <w:t xml:space="preserve"> </w:t>
      </w:r>
    </w:p>
    <w:p w14:paraId="54EB7D97" w14:textId="168AD6DF" w:rsidR="009E2E29" w:rsidRPr="004471A1" w:rsidRDefault="00E40C82" w:rsidP="009E2E29">
      <w:pPr>
        <w:pStyle w:val="DotPoint"/>
        <w:numPr>
          <w:ilvl w:val="1"/>
          <w:numId w:val="5"/>
        </w:numPr>
        <w:rPr>
          <w:rFonts w:cs="Arial"/>
        </w:rPr>
      </w:pPr>
      <w:r w:rsidRPr="00E40C82">
        <w:rPr>
          <w:rFonts w:cs="Arial"/>
        </w:rPr>
        <w:t>The definitions for Existing Stock, Legacy Stock and New Build are set out in sections 6, 7 and 8 of the SDA Rules.</w:t>
      </w:r>
    </w:p>
    <w:p w14:paraId="4DB5293B" w14:textId="5FF5FDE8" w:rsidR="00BC5F13" w:rsidRPr="0087236F" w:rsidRDefault="0016121F" w:rsidP="00DE28CF">
      <w:pPr>
        <w:pStyle w:val="DotPoint"/>
        <w:numPr>
          <w:ilvl w:val="1"/>
          <w:numId w:val="5"/>
        </w:numPr>
      </w:pPr>
      <w:r>
        <w:t xml:space="preserve">The </w:t>
      </w:r>
      <w:r w:rsidR="0016555B">
        <w:t>Bu</w:t>
      </w:r>
      <w:r w:rsidR="005F132E">
        <w:t>ilding Type</w:t>
      </w:r>
      <w:r w:rsidR="00DE28CF">
        <w:t xml:space="preserve"> of the dwelling</w:t>
      </w:r>
      <w:r w:rsidRPr="0087236F">
        <w:t xml:space="preserve"> (Apartment, Villa/Duplex/Townhouse, </w:t>
      </w:r>
      <w:proofErr w:type="gramStart"/>
      <w:r w:rsidRPr="0087236F">
        <w:t>House</w:t>
      </w:r>
      <w:proofErr w:type="gramEnd"/>
      <w:r w:rsidRPr="0087236F">
        <w:t xml:space="preserve"> and </w:t>
      </w:r>
      <w:r w:rsidR="00601689">
        <w:t>Group Home</w:t>
      </w:r>
      <w:r w:rsidRPr="0087236F">
        <w:t>)</w:t>
      </w:r>
      <w:r>
        <w:t>.</w:t>
      </w:r>
      <w:r w:rsidR="00DE28CF">
        <w:t xml:space="preserve"> </w:t>
      </w:r>
      <w:r w:rsidR="00BC5F13" w:rsidRPr="00DE28CF">
        <w:rPr>
          <w:rFonts w:cs="Arial"/>
        </w:rPr>
        <w:t xml:space="preserve">The features and Building Code of Australia </w:t>
      </w:r>
      <w:r w:rsidR="002055AE" w:rsidRPr="00DE28CF">
        <w:rPr>
          <w:rFonts w:cs="Arial"/>
        </w:rPr>
        <w:t xml:space="preserve">classification of each </w:t>
      </w:r>
      <w:r w:rsidR="005F132E" w:rsidRPr="00DE28CF">
        <w:rPr>
          <w:rFonts w:cs="Arial"/>
        </w:rPr>
        <w:t>Building Type</w:t>
      </w:r>
      <w:r w:rsidR="00BC5F13" w:rsidRPr="00DE28CF">
        <w:rPr>
          <w:rFonts w:cs="Arial"/>
        </w:rPr>
        <w:t xml:space="preserve"> are set out in Schedule 1 of the SDA Rules.</w:t>
      </w:r>
    </w:p>
    <w:p w14:paraId="4B356225" w14:textId="77777777" w:rsidR="0016121F" w:rsidRPr="00BC5F13" w:rsidRDefault="0016121F" w:rsidP="0016121F">
      <w:pPr>
        <w:pStyle w:val="DotPoint"/>
      </w:pPr>
      <w:r>
        <w:t xml:space="preserve">The </w:t>
      </w:r>
      <w:r w:rsidRPr="00BC5F13">
        <w:t>Number of Bedrooms in the dwelling.</w:t>
      </w:r>
    </w:p>
    <w:p w14:paraId="174E11BB" w14:textId="081C27C4" w:rsidR="009E2E29" w:rsidRPr="00DE28CF" w:rsidRDefault="0016121F" w:rsidP="00DE28CF">
      <w:pPr>
        <w:pStyle w:val="DotPoint"/>
        <w:numPr>
          <w:ilvl w:val="1"/>
          <w:numId w:val="5"/>
        </w:numPr>
        <w:rPr>
          <w:rFonts w:cs="Arial"/>
        </w:rPr>
      </w:pPr>
      <w:r w:rsidRPr="00BC5F13">
        <w:t xml:space="preserve">The Design Category of the </w:t>
      </w:r>
      <w:r w:rsidR="002055AE">
        <w:t>d</w:t>
      </w:r>
      <w:r w:rsidRPr="00BC5F13">
        <w:t>welling (Basic, Improved Liveability, Fully Accessible, Robust and High Physical Support).</w:t>
      </w:r>
      <w:r w:rsidR="00DE28CF">
        <w:t xml:space="preserve"> </w:t>
      </w:r>
      <w:r w:rsidR="00BC5F13" w:rsidRPr="00DE28CF">
        <w:rPr>
          <w:rFonts w:cs="Arial"/>
        </w:rPr>
        <w:t>The features of the different</w:t>
      </w:r>
      <w:r w:rsidR="00E40C82" w:rsidRPr="00DE28CF">
        <w:rPr>
          <w:rFonts w:cs="Arial"/>
        </w:rPr>
        <w:t xml:space="preserve"> Design Categor</w:t>
      </w:r>
      <w:r w:rsidR="00D30617" w:rsidRPr="00DE28CF">
        <w:rPr>
          <w:rFonts w:cs="Arial"/>
        </w:rPr>
        <w:t xml:space="preserve">ies are set out in </w:t>
      </w:r>
      <w:r w:rsidR="00BC5F13" w:rsidRPr="00DE28CF">
        <w:rPr>
          <w:rFonts w:cs="Arial"/>
        </w:rPr>
        <w:t xml:space="preserve">Schedule 2 of the SDA Rules and </w:t>
      </w:r>
      <w:r w:rsidR="00E40C82" w:rsidRPr="00DE28CF">
        <w:rPr>
          <w:rFonts w:cs="Arial"/>
        </w:rPr>
        <w:t xml:space="preserve">the </w:t>
      </w:r>
      <w:hyperlink r:id="rId35" w:history="1">
        <w:r w:rsidR="00BC5F13" w:rsidRPr="00DE28CF">
          <w:rPr>
            <w:rStyle w:val="Hyperlink"/>
            <w:rFonts w:cs="Arial"/>
            <w:i/>
            <w:iCs/>
          </w:rPr>
          <w:t xml:space="preserve">SDA </w:t>
        </w:r>
        <w:r w:rsidR="00E40C82" w:rsidRPr="00DE28CF">
          <w:rPr>
            <w:rStyle w:val="Hyperlink"/>
            <w:rFonts w:cs="Arial"/>
            <w:i/>
            <w:iCs/>
          </w:rPr>
          <w:t>Design Standard</w:t>
        </w:r>
        <w:r w:rsidR="00BC5F13" w:rsidRPr="00DE28CF">
          <w:rPr>
            <w:rStyle w:val="Hyperlink"/>
            <w:rFonts w:cs="Arial"/>
          </w:rPr>
          <w:t>.</w:t>
        </w:r>
      </w:hyperlink>
    </w:p>
    <w:p w14:paraId="12DEB8AE" w14:textId="778EB40C" w:rsidR="002A51B1" w:rsidRDefault="0016121F" w:rsidP="0016121F">
      <w:pPr>
        <w:pStyle w:val="DotPoint"/>
      </w:pPr>
      <w:r w:rsidRPr="00BC5F13">
        <w:t xml:space="preserve">Whether or not the </w:t>
      </w:r>
      <w:r w:rsidR="002055AE">
        <w:t>d</w:t>
      </w:r>
      <w:r w:rsidRPr="00BC5F13">
        <w:t>welling includes Onsite Overnight Accommodation (OOA).</w:t>
      </w:r>
    </w:p>
    <w:p w14:paraId="4069FA6E" w14:textId="590DF6C6" w:rsidR="0016121F" w:rsidRDefault="0079435D" w:rsidP="0016121F">
      <w:pPr>
        <w:pStyle w:val="DotPoint"/>
      </w:pPr>
      <w:r>
        <w:t>F</w:t>
      </w:r>
      <w:r w:rsidR="0016121F" w:rsidRPr="00BC5F13">
        <w:t>or Robust buildings</w:t>
      </w:r>
      <w:r w:rsidR="0016121F">
        <w:t xml:space="preserve">, </w:t>
      </w:r>
      <w:r w:rsidR="0016121F" w:rsidRPr="0087236F">
        <w:t xml:space="preserve">the </w:t>
      </w:r>
      <w:r w:rsidR="0016121F">
        <w:t xml:space="preserve">amount of SDA that is payable </w:t>
      </w:r>
      <w:r w:rsidR="0016121F" w:rsidRPr="0087236F">
        <w:t xml:space="preserve">also varies according to whether the </w:t>
      </w:r>
      <w:r>
        <w:t>d</w:t>
      </w:r>
      <w:r w:rsidR="0016121F" w:rsidRPr="0087236F">
        <w:t>welling includes an additional breakout room.</w:t>
      </w:r>
    </w:p>
    <w:p w14:paraId="3CB934B0" w14:textId="15A0E90F" w:rsidR="0016121F" w:rsidRDefault="0016121F" w:rsidP="0016121F">
      <w:pPr>
        <w:pStyle w:val="DotPoint"/>
      </w:pPr>
      <w:r w:rsidRPr="0087236F">
        <w:t>Whether</w:t>
      </w:r>
      <w:r>
        <w:t xml:space="preserve"> the </w:t>
      </w:r>
      <w:r w:rsidR="002055AE">
        <w:t>d</w:t>
      </w:r>
      <w:r>
        <w:t>welling has sprinklers.</w:t>
      </w:r>
    </w:p>
    <w:p w14:paraId="0CFB464D" w14:textId="77777777" w:rsidR="00FD3C5D" w:rsidRDefault="00FD3C5D" w:rsidP="00FA12C8">
      <w:pPr>
        <w:pStyle w:val="Heading2"/>
      </w:pPr>
      <w:bookmarkStart w:id="9" w:name="_Toc116293073"/>
      <w:r>
        <w:t>New Builds</w:t>
      </w:r>
      <w:bookmarkEnd w:id="9"/>
    </w:p>
    <w:p w14:paraId="28271EE7" w14:textId="0732ECBE" w:rsidR="0016121F" w:rsidRPr="0087236F" w:rsidRDefault="0016121F" w:rsidP="0016121F">
      <w:r>
        <w:t xml:space="preserve">For New Builds there are 172 different combinations of these factors for which price limits have been determined (see </w:t>
      </w:r>
      <w:r w:rsidR="002055AE" w:rsidRPr="003C73BE">
        <w:fldChar w:fldCharType="begin"/>
      </w:r>
      <w:r w:rsidR="002055AE" w:rsidRPr="003C73BE">
        <w:instrText xml:space="preserve"> REF _Ref113971209 \h </w:instrText>
      </w:r>
      <w:r w:rsidR="00023B0E">
        <w:rPr>
          <w:b/>
        </w:rPr>
        <w:instrText xml:space="preserve"> \* MERGEFORMAT </w:instrText>
      </w:r>
      <w:r w:rsidR="002055AE" w:rsidRPr="003C73BE">
        <w:fldChar w:fldCharType="separate"/>
      </w:r>
      <w:r w:rsidR="00765987" w:rsidRPr="00392B76">
        <w:t xml:space="preserve">Table </w:t>
      </w:r>
      <w:r w:rsidR="00765987">
        <w:rPr>
          <w:noProof/>
        </w:rPr>
        <w:t>1</w:t>
      </w:r>
      <w:r w:rsidR="002055AE" w:rsidRPr="003C73BE">
        <w:fldChar w:fldCharType="end"/>
      </w:r>
      <w:r w:rsidR="002055AE">
        <w:t xml:space="preserve"> </w:t>
      </w:r>
      <w:r>
        <w:t>below)</w:t>
      </w:r>
    </w:p>
    <w:p w14:paraId="7FD94B05" w14:textId="6E62952E" w:rsidR="0016121F" w:rsidRDefault="0016121F" w:rsidP="0016121F">
      <w:pPr>
        <w:pStyle w:val="Caption"/>
        <w:spacing w:before="120"/>
      </w:pPr>
      <w:bookmarkStart w:id="10" w:name="_Ref113971209"/>
      <w:r w:rsidRPr="00392B76">
        <w:t xml:space="preserve">Table </w:t>
      </w:r>
      <w:r w:rsidR="0095150D">
        <w:fldChar w:fldCharType="begin"/>
      </w:r>
      <w:r w:rsidR="0095150D">
        <w:instrText xml:space="preserve"> SEQ Table \* ARABIC </w:instrText>
      </w:r>
      <w:r w:rsidR="0095150D">
        <w:fldChar w:fldCharType="separate"/>
      </w:r>
      <w:r w:rsidR="00765987">
        <w:rPr>
          <w:noProof/>
        </w:rPr>
        <w:t>1</w:t>
      </w:r>
      <w:r w:rsidR="0095150D">
        <w:rPr>
          <w:noProof/>
        </w:rPr>
        <w:fldChar w:fldCharType="end"/>
      </w:r>
      <w:bookmarkEnd w:id="10"/>
      <w:r w:rsidRPr="00392B76">
        <w:t xml:space="preserve">: </w:t>
      </w:r>
      <w:r>
        <w:t>Types of New Build Dwellings (with or without sprinklers)</w:t>
      </w:r>
    </w:p>
    <w:tbl>
      <w:tblPr>
        <w:tblStyle w:val="GridTable4"/>
        <w:tblW w:w="5000" w:type="pct"/>
        <w:tblLayout w:type="fixed"/>
        <w:tblLook w:val="0420" w:firstRow="1" w:lastRow="0" w:firstColumn="0" w:lastColumn="0" w:noHBand="0" w:noVBand="1"/>
      </w:tblPr>
      <w:tblGrid>
        <w:gridCol w:w="2529"/>
        <w:gridCol w:w="722"/>
        <w:gridCol w:w="735"/>
        <w:gridCol w:w="721"/>
        <w:gridCol w:w="721"/>
        <w:gridCol w:w="721"/>
        <w:gridCol w:w="721"/>
        <w:gridCol w:w="721"/>
        <w:gridCol w:w="721"/>
        <w:gridCol w:w="705"/>
      </w:tblGrid>
      <w:tr w:rsidR="0016121F" w:rsidRPr="004A30E1" w14:paraId="5FC12993" w14:textId="77777777" w:rsidTr="008D4E0B">
        <w:trPr>
          <w:cnfStyle w:val="100000000000" w:firstRow="1" w:lastRow="0" w:firstColumn="0" w:lastColumn="0" w:oddVBand="0" w:evenVBand="0" w:oddHBand="0" w:evenHBand="0" w:firstRowFirstColumn="0" w:firstRowLastColumn="0" w:lastRowFirstColumn="0" w:lastRowLastColumn="0"/>
          <w:trHeight w:val="334"/>
          <w:tblHeader/>
        </w:trPr>
        <w:tc>
          <w:tcPr>
            <w:tcW w:w="1402" w:type="pct"/>
            <w:noWrap/>
          </w:tcPr>
          <w:p w14:paraId="4E200D7B" w14:textId="77777777" w:rsidR="0016121F" w:rsidRPr="004A30E1" w:rsidRDefault="0016121F" w:rsidP="00F829BA">
            <w:pPr>
              <w:spacing w:line="180" w:lineRule="atLeast"/>
              <w:rPr>
                <w:rFonts w:asciiTheme="minorHAnsi" w:eastAsia="Times New Roman" w:hAnsiTheme="minorHAnsi" w:cstheme="minorHAnsi"/>
                <w:sz w:val="14"/>
                <w:szCs w:val="14"/>
                <w:lang w:eastAsia="en-AU"/>
              </w:rPr>
            </w:pPr>
          </w:p>
        </w:tc>
        <w:tc>
          <w:tcPr>
            <w:tcW w:w="807" w:type="pct"/>
            <w:gridSpan w:val="2"/>
            <w:noWrap/>
            <w:vAlign w:val="center"/>
          </w:tcPr>
          <w:p w14:paraId="3EB1FB87" w14:textId="77777777" w:rsidR="0016121F" w:rsidRPr="004A30E1" w:rsidRDefault="0016121F"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Improved Liveability</w:t>
            </w:r>
          </w:p>
        </w:tc>
        <w:tc>
          <w:tcPr>
            <w:tcW w:w="800" w:type="pct"/>
            <w:gridSpan w:val="2"/>
            <w:noWrap/>
            <w:vAlign w:val="center"/>
          </w:tcPr>
          <w:p w14:paraId="4D0B4DB2" w14:textId="77777777" w:rsidR="0016121F" w:rsidRPr="004A30E1" w:rsidRDefault="0016121F"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Fully Accessible</w:t>
            </w:r>
          </w:p>
        </w:tc>
        <w:tc>
          <w:tcPr>
            <w:tcW w:w="1199" w:type="pct"/>
            <w:gridSpan w:val="3"/>
            <w:noWrap/>
            <w:vAlign w:val="center"/>
          </w:tcPr>
          <w:p w14:paraId="45B095D5" w14:textId="77777777" w:rsidR="0016121F" w:rsidRPr="004A30E1" w:rsidRDefault="0016121F" w:rsidP="008D4E0B">
            <w:pPr>
              <w:spacing w:line="180" w:lineRule="atLeast"/>
              <w:jc w:val="center"/>
              <w:rPr>
                <w:rFonts w:asciiTheme="minorHAnsi" w:eastAsia="Times New Roman" w:hAnsiTheme="minorHAnsi" w:cstheme="minorHAnsi"/>
                <w:sz w:val="14"/>
                <w:szCs w:val="14"/>
                <w:lang w:eastAsia="en-AU"/>
              </w:rPr>
            </w:pPr>
            <w:r>
              <w:rPr>
                <w:rFonts w:asciiTheme="minorHAnsi" w:eastAsia="Times New Roman" w:hAnsiTheme="minorHAnsi" w:cstheme="minorHAnsi"/>
                <w:sz w:val="14"/>
                <w:szCs w:val="14"/>
                <w:lang w:eastAsia="en-AU"/>
              </w:rPr>
              <w:t>Robust</w:t>
            </w:r>
          </w:p>
        </w:tc>
        <w:tc>
          <w:tcPr>
            <w:tcW w:w="792" w:type="pct"/>
            <w:gridSpan w:val="2"/>
            <w:noWrap/>
            <w:vAlign w:val="center"/>
          </w:tcPr>
          <w:p w14:paraId="2270E300" w14:textId="77777777" w:rsidR="0016121F" w:rsidRPr="004A30E1" w:rsidRDefault="0016121F"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High Physical Support</w:t>
            </w:r>
          </w:p>
        </w:tc>
      </w:tr>
      <w:tr w:rsidR="0016121F" w:rsidRPr="004A30E1" w14:paraId="6456952D" w14:textId="77777777" w:rsidTr="00F829BA">
        <w:trPr>
          <w:cnfStyle w:val="100000000000" w:firstRow="1" w:lastRow="0" w:firstColumn="0" w:lastColumn="0" w:oddVBand="0" w:evenVBand="0" w:oddHBand="0" w:evenHBand="0" w:firstRowFirstColumn="0" w:firstRowLastColumn="0" w:lastRowFirstColumn="0" w:lastRowLastColumn="0"/>
          <w:trHeight w:val="334"/>
          <w:tblHeader/>
        </w:trPr>
        <w:tc>
          <w:tcPr>
            <w:tcW w:w="1402" w:type="pct"/>
            <w:noWrap/>
            <w:hideMark/>
          </w:tcPr>
          <w:p w14:paraId="1064DD8C"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sz w:val="14"/>
                <w:szCs w:val="14"/>
                <w:lang w:eastAsia="en-AU"/>
              </w:rPr>
              <w:t>Building Type / Design Category</w:t>
            </w:r>
          </w:p>
        </w:tc>
        <w:tc>
          <w:tcPr>
            <w:tcW w:w="400" w:type="pct"/>
            <w:noWrap/>
            <w:hideMark/>
          </w:tcPr>
          <w:p w14:paraId="089401FB" w14:textId="77777777" w:rsidR="0016121F" w:rsidRPr="004A30E1" w:rsidRDefault="0016121F"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06" w:type="pct"/>
            <w:noWrap/>
            <w:hideMark/>
          </w:tcPr>
          <w:p w14:paraId="311C9D8D" w14:textId="77777777" w:rsidR="0016121F" w:rsidRPr="004A30E1" w:rsidRDefault="0016121F"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c>
          <w:tcPr>
            <w:tcW w:w="400" w:type="pct"/>
            <w:noWrap/>
            <w:hideMark/>
          </w:tcPr>
          <w:p w14:paraId="31D4F9DF" w14:textId="77777777" w:rsidR="0016121F" w:rsidRPr="004A30E1" w:rsidRDefault="0016121F"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00" w:type="pct"/>
            <w:noWrap/>
            <w:hideMark/>
          </w:tcPr>
          <w:p w14:paraId="5282BD12" w14:textId="77777777" w:rsidR="0016121F" w:rsidRPr="004A30E1" w:rsidRDefault="0016121F"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c>
          <w:tcPr>
            <w:tcW w:w="400" w:type="pct"/>
            <w:noWrap/>
            <w:hideMark/>
          </w:tcPr>
          <w:p w14:paraId="7C9C4C4E" w14:textId="77777777" w:rsidR="0016121F" w:rsidRPr="004A30E1" w:rsidRDefault="0016121F"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00" w:type="pct"/>
            <w:noWrap/>
            <w:hideMark/>
          </w:tcPr>
          <w:p w14:paraId="13283457" w14:textId="77777777" w:rsidR="0016121F" w:rsidRPr="004A30E1" w:rsidRDefault="0016121F"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c>
          <w:tcPr>
            <w:tcW w:w="400" w:type="pct"/>
            <w:noWrap/>
            <w:hideMark/>
          </w:tcPr>
          <w:p w14:paraId="086CA595" w14:textId="77777777" w:rsidR="0016121F" w:rsidRPr="004A30E1" w:rsidRDefault="0016121F"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+1 Room</w:t>
            </w:r>
          </w:p>
        </w:tc>
        <w:tc>
          <w:tcPr>
            <w:tcW w:w="400" w:type="pct"/>
            <w:noWrap/>
            <w:hideMark/>
          </w:tcPr>
          <w:p w14:paraId="4B18EC8A" w14:textId="77777777" w:rsidR="0016121F" w:rsidRPr="004A30E1" w:rsidRDefault="0016121F"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392" w:type="pct"/>
            <w:noWrap/>
            <w:hideMark/>
          </w:tcPr>
          <w:p w14:paraId="163758CE" w14:textId="77777777" w:rsidR="0016121F" w:rsidRPr="004A30E1" w:rsidRDefault="0016121F"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r>
      <w:tr w:rsidR="0016121F" w:rsidRPr="004A30E1" w14:paraId="28BB0FEB" w14:textId="77777777" w:rsidTr="00F829BA">
        <w:trPr>
          <w:cnfStyle w:val="000000100000" w:firstRow="0" w:lastRow="0" w:firstColumn="0" w:lastColumn="0" w:oddVBand="0" w:evenVBand="0" w:oddHBand="1" w:evenHBand="0" w:firstRowFirstColumn="0" w:firstRowLastColumn="0" w:lastRowFirstColumn="0" w:lastRowLastColumn="0"/>
          <w:trHeight w:val="334"/>
        </w:trPr>
        <w:tc>
          <w:tcPr>
            <w:tcW w:w="1402" w:type="pct"/>
            <w:noWrap/>
          </w:tcPr>
          <w:p w14:paraId="68A5BDFB"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Apartment, 1 bedroom, 1 resident</w:t>
            </w:r>
          </w:p>
        </w:tc>
        <w:tc>
          <w:tcPr>
            <w:tcW w:w="400" w:type="pct"/>
            <w:noWrap/>
          </w:tcPr>
          <w:p w14:paraId="39762FD5"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6" w:type="pct"/>
            <w:noWrap/>
          </w:tcPr>
          <w:p w14:paraId="0615DC9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0FBB6685"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2358A68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1AF86075"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459927D1"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1F99696D"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5B6E2EAC"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392" w:type="pct"/>
            <w:noWrap/>
          </w:tcPr>
          <w:p w14:paraId="2D015F8B"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r>
      <w:tr w:rsidR="0016121F" w:rsidRPr="004A30E1" w14:paraId="627E6BAF" w14:textId="77777777" w:rsidTr="00F829BA">
        <w:trPr>
          <w:trHeight w:val="334"/>
        </w:trPr>
        <w:tc>
          <w:tcPr>
            <w:tcW w:w="1402" w:type="pct"/>
            <w:noWrap/>
            <w:hideMark/>
          </w:tcPr>
          <w:p w14:paraId="2B5E7B98"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Apartment, 2 bedrooms, 1 resident</w:t>
            </w:r>
          </w:p>
        </w:tc>
        <w:tc>
          <w:tcPr>
            <w:tcW w:w="400" w:type="pct"/>
            <w:noWrap/>
          </w:tcPr>
          <w:p w14:paraId="62B84C29"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6" w:type="pct"/>
            <w:noWrap/>
          </w:tcPr>
          <w:p w14:paraId="534EA7D8"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0B89F957"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472F3959"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79B7F4C1"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21357FC2"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1C7301D5"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0319FF6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392" w:type="pct"/>
            <w:noWrap/>
          </w:tcPr>
          <w:p w14:paraId="1766EC28"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r>
      <w:tr w:rsidR="0016121F" w:rsidRPr="004A30E1" w14:paraId="7A8700D8" w14:textId="77777777" w:rsidTr="00F829BA">
        <w:trPr>
          <w:cnfStyle w:val="000000100000" w:firstRow="0" w:lastRow="0" w:firstColumn="0" w:lastColumn="0" w:oddVBand="0" w:evenVBand="0" w:oddHBand="1" w:evenHBand="0" w:firstRowFirstColumn="0" w:firstRowLastColumn="0" w:lastRowFirstColumn="0" w:lastRowLastColumn="0"/>
          <w:trHeight w:val="334"/>
        </w:trPr>
        <w:tc>
          <w:tcPr>
            <w:tcW w:w="1402" w:type="pct"/>
            <w:noWrap/>
          </w:tcPr>
          <w:p w14:paraId="26F60F6A"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hAnsiTheme="minorHAnsi" w:cstheme="minorHAnsi"/>
                <w:color w:val="000000"/>
                <w:sz w:val="14"/>
                <w:szCs w:val="14"/>
                <w:lang w:eastAsia="en-AU"/>
              </w:rPr>
              <w:t>Apartment, 2 bedrooms, 2 residents</w:t>
            </w:r>
          </w:p>
        </w:tc>
        <w:tc>
          <w:tcPr>
            <w:tcW w:w="400" w:type="pct"/>
            <w:noWrap/>
          </w:tcPr>
          <w:p w14:paraId="48BA0C2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6" w:type="pct"/>
            <w:noWrap/>
          </w:tcPr>
          <w:p w14:paraId="247037CA"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00190625"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5B0D7109"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2DB65DEF"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483E5E02"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1BA957CF"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4A9A54F3"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392" w:type="pct"/>
            <w:noWrap/>
          </w:tcPr>
          <w:p w14:paraId="1DB9C353"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r>
      <w:tr w:rsidR="0016121F" w:rsidRPr="004A30E1" w14:paraId="7390D96D" w14:textId="77777777" w:rsidTr="00F829BA">
        <w:trPr>
          <w:trHeight w:val="334"/>
        </w:trPr>
        <w:tc>
          <w:tcPr>
            <w:tcW w:w="1402" w:type="pct"/>
            <w:noWrap/>
          </w:tcPr>
          <w:p w14:paraId="2838596E"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Apartment, 3 bedrooms, 2 residents</w:t>
            </w:r>
          </w:p>
        </w:tc>
        <w:tc>
          <w:tcPr>
            <w:tcW w:w="400" w:type="pct"/>
            <w:noWrap/>
          </w:tcPr>
          <w:p w14:paraId="14CB8749"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6" w:type="pct"/>
            <w:noWrap/>
          </w:tcPr>
          <w:p w14:paraId="5F11C972"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4869F0A8"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2342397F"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3EA47628"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4655BF23"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62927D0D"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28D445AC"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392" w:type="pct"/>
            <w:noWrap/>
          </w:tcPr>
          <w:p w14:paraId="7281AB2D"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r>
      <w:tr w:rsidR="0016121F" w:rsidRPr="004A30E1" w14:paraId="504F13C1" w14:textId="77777777" w:rsidTr="00F829BA">
        <w:trPr>
          <w:cnfStyle w:val="000000100000" w:firstRow="0" w:lastRow="0" w:firstColumn="0" w:lastColumn="0" w:oddVBand="0" w:evenVBand="0" w:oddHBand="1" w:evenHBand="0" w:firstRowFirstColumn="0" w:firstRowLastColumn="0" w:lastRowFirstColumn="0" w:lastRowLastColumn="0"/>
          <w:trHeight w:val="334"/>
        </w:trPr>
        <w:tc>
          <w:tcPr>
            <w:tcW w:w="1402" w:type="pct"/>
            <w:noWrap/>
            <w:hideMark/>
          </w:tcPr>
          <w:p w14:paraId="16F22303"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Villa/Duplex/Townhouse, 1 resident</w:t>
            </w:r>
          </w:p>
        </w:tc>
        <w:tc>
          <w:tcPr>
            <w:tcW w:w="400" w:type="pct"/>
            <w:noWrap/>
          </w:tcPr>
          <w:p w14:paraId="6235D9AB"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6" w:type="pct"/>
            <w:noWrap/>
          </w:tcPr>
          <w:p w14:paraId="46EC5C13"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74950E67"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15568CE4"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3467C9E4"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0CB8F91D"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2F397360" w14:textId="77777777" w:rsidR="0016121F" w:rsidRPr="004A30E1" w:rsidRDefault="0016121F" w:rsidP="00F829BA">
            <w:pPr>
              <w:spacing w:line="180" w:lineRule="atLeast"/>
              <w:jc w:val="center"/>
              <w:rPr>
                <w:rFonts w:asciiTheme="minorHAnsi" w:hAnsiTheme="minorHAnsi" w:cstheme="minorHAnsi"/>
                <w:sz w:val="14"/>
                <w:szCs w:val="14"/>
              </w:rPr>
            </w:pPr>
          </w:p>
        </w:tc>
        <w:tc>
          <w:tcPr>
            <w:tcW w:w="400" w:type="pct"/>
            <w:noWrap/>
          </w:tcPr>
          <w:p w14:paraId="4A0BF94C"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392" w:type="pct"/>
            <w:noWrap/>
          </w:tcPr>
          <w:p w14:paraId="4867C72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r>
      <w:tr w:rsidR="0016121F" w:rsidRPr="004A30E1" w14:paraId="7642D670" w14:textId="77777777" w:rsidTr="00F829BA">
        <w:trPr>
          <w:trHeight w:val="334"/>
        </w:trPr>
        <w:tc>
          <w:tcPr>
            <w:tcW w:w="1402" w:type="pct"/>
            <w:noWrap/>
            <w:hideMark/>
          </w:tcPr>
          <w:p w14:paraId="04B5B9FE"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Villa/Duplex/Townhouse, 2 residents</w:t>
            </w:r>
          </w:p>
        </w:tc>
        <w:tc>
          <w:tcPr>
            <w:tcW w:w="400" w:type="pct"/>
            <w:noWrap/>
          </w:tcPr>
          <w:p w14:paraId="4AAD07CF"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6" w:type="pct"/>
            <w:noWrap/>
          </w:tcPr>
          <w:p w14:paraId="6B11756D"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17D2BFA6"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0B0F1042"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5BEF7C5B"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0D829ABC"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6676D272"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7774496F"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392" w:type="pct"/>
            <w:noWrap/>
          </w:tcPr>
          <w:p w14:paraId="4332285A"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r>
      <w:tr w:rsidR="0016121F" w:rsidRPr="004A30E1" w14:paraId="66EA18D6" w14:textId="77777777" w:rsidTr="00F829BA">
        <w:trPr>
          <w:cnfStyle w:val="000000100000" w:firstRow="0" w:lastRow="0" w:firstColumn="0" w:lastColumn="0" w:oddVBand="0" w:evenVBand="0" w:oddHBand="1" w:evenHBand="0" w:firstRowFirstColumn="0" w:firstRowLastColumn="0" w:lastRowFirstColumn="0" w:lastRowLastColumn="0"/>
          <w:trHeight w:val="334"/>
        </w:trPr>
        <w:tc>
          <w:tcPr>
            <w:tcW w:w="1402" w:type="pct"/>
            <w:noWrap/>
            <w:hideMark/>
          </w:tcPr>
          <w:p w14:paraId="7D298D68"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Villa/Duplex/Townhouse, 3 residents</w:t>
            </w:r>
          </w:p>
        </w:tc>
        <w:tc>
          <w:tcPr>
            <w:tcW w:w="400" w:type="pct"/>
            <w:noWrap/>
          </w:tcPr>
          <w:p w14:paraId="3E22BF66"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6" w:type="pct"/>
            <w:noWrap/>
          </w:tcPr>
          <w:p w14:paraId="5615863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12C9F359"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6889663C"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7A2401E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52691F2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25DC21B6"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09060C1A"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392" w:type="pct"/>
            <w:noWrap/>
          </w:tcPr>
          <w:p w14:paraId="480AF1C6"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r>
      <w:tr w:rsidR="0016121F" w:rsidRPr="004A30E1" w14:paraId="0A9CD387" w14:textId="77777777" w:rsidTr="00F829BA">
        <w:trPr>
          <w:trHeight w:val="334"/>
        </w:trPr>
        <w:tc>
          <w:tcPr>
            <w:tcW w:w="1402" w:type="pct"/>
            <w:noWrap/>
          </w:tcPr>
          <w:p w14:paraId="3DC7B6C3"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House, 2 residents</w:t>
            </w:r>
          </w:p>
        </w:tc>
        <w:tc>
          <w:tcPr>
            <w:tcW w:w="400" w:type="pct"/>
            <w:noWrap/>
          </w:tcPr>
          <w:p w14:paraId="31BB3BB2"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6" w:type="pct"/>
            <w:noWrap/>
          </w:tcPr>
          <w:p w14:paraId="76EDE1DE"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1EFF096C"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39192CCE"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15D8B9FF"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36643957"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3DF87FF2"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0151296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392" w:type="pct"/>
            <w:noWrap/>
          </w:tcPr>
          <w:p w14:paraId="21AD2623"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r>
      <w:tr w:rsidR="0016121F" w:rsidRPr="004A30E1" w14:paraId="2A4FC235" w14:textId="77777777" w:rsidTr="00F829BA">
        <w:trPr>
          <w:cnfStyle w:val="000000100000" w:firstRow="0" w:lastRow="0" w:firstColumn="0" w:lastColumn="0" w:oddVBand="0" w:evenVBand="0" w:oddHBand="1" w:evenHBand="0" w:firstRowFirstColumn="0" w:firstRowLastColumn="0" w:lastRowFirstColumn="0" w:lastRowLastColumn="0"/>
          <w:trHeight w:val="334"/>
        </w:trPr>
        <w:tc>
          <w:tcPr>
            <w:tcW w:w="1402" w:type="pct"/>
            <w:noWrap/>
            <w:hideMark/>
          </w:tcPr>
          <w:p w14:paraId="3D6B939C"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House, 3 residents</w:t>
            </w:r>
          </w:p>
        </w:tc>
        <w:tc>
          <w:tcPr>
            <w:tcW w:w="400" w:type="pct"/>
            <w:noWrap/>
          </w:tcPr>
          <w:p w14:paraId="630A9449"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6" w:type="pct"/>
            <w:noWrap/>
          </w:tcPr>
          <w:p w14:paraId="27E7972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7A9D81F6"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078FA452"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2C9F8B46"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7FAEB9B8"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6D17B802"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41FB21C8"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392" w:type="pct"/>
            <w:noWrap/>
          </w:tcPr>
          <w:p w14:paraId="5A4BD5A3"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r>
      <w:tr w:rsidR="0016121F" w:rsidRPr="004A30E1" w14:paraId="157A9F37" w14:textId="77777777" w:rsidTr="00F829BA">
        <w:trPr>
          <w:trHeight w:val="334"/>
        </w:trPr>
        <w:tc>
          <w:tcPr>
            <w:tcW w:w="1402" w:type="pct"/>
            <w:noWrap/>
            <w:hideMark/>
          </w:tcPr>
          <w:p w14:paraId="50DA259F"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Group home, 4 residents</w:t>
            </w:r>
          </w:p>
        </w:tc>
        <w:tc>
          <w:tcPr>
            <w:tcW w:w="400" w:type="pct"/>
            <w:noWrap/>
          </w:tcPr>
          <w:p w14:paraId="5BE231B5"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6" w:type="pct"/>
            <w:noWrap/>
          </w:tcPr>
          <w:p w14:paraId="0F99CAA4"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19FFBFE9"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0372085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48B5C785"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00B406B9"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15728CAD"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668B756E"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392" w:type="pct"/>
            <w:noWrap/>
          </w:tcPr>
          <w:p w14:paraId="0F24E53A"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r>
      <w:tr w:rsidR="0016121F" w:rsidRPr="004A30E1" w14:paraId="72346228" w14:textId="77777777" w:rsidTr="00F829BA">
        <w:trPr>
          <w:cnfStyle w:val="000000100000" w:firstRow="0" w:lastRow="0" w:firstColumn="0" w:lastColumn="0" w:oddVBand="0" w:evenVBand="0" w:oddHBand="1" w:evenHBand="0" w:firstRowFirstColumn="0" w:firstRowLastColumn="0" w:lastRowFirstColumn="0" w:lastRowLastColumn="0"/>
          <w:trHeight w:val="334"/>
        </w:trPr>
        <w:tc>
          <w:tcPr>
            <w:tcW w:w="1402" w:type="pct"/>
            <w:noWrap/>
            <w:hideMark/>
          </w:tcPr>
          <w:p w14:paraId="1C3ABCDA" w14:textId="77777777" w:rsidR="0016121F" w:rsidRPr="004A30E1" w:rsidRDefault="0016121F"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Group home, 5 residents</w:t>
            </w:r>
          </w:p>
        </w:tc>
        <w:tc>
          <w:tcPr>
            <w:tcW w:w="400" w:type="pct"/>
            <w:noWrap/>
          </w:tcPr>
          <w:p w14:paraId="146BAFB2"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6" w:type="pct"/>
            <w:noWrap/>
          </w:tcPr>
          <w:p w14:paraId="023FF17F"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6A204098"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725AEE8B"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257E4DD9"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797D4157"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554099B2"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400" w:type="pct"/>
            <w:noWrap/>
          </w:tcPr>
          <w:p w14:paraId="2A551B81"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c>
          <w:tcPr>
            <w:tcW w:w="392" w:type="pct"/>
            <w:noWrap/>
          </w:tcPr>
          <w:p w14:paraId="1E0CF58A" w14:textId="77777777" w:rsidR="0016121F" w:rsidRPr="004A30E1" w:rsidRDefault="0016121F" w:rsidP="00F829BA">
            <w:pPr>
              <w:spacing w:line="180" w:lineRule="atLeast"/>
              <w:jc w:val="center"/>
              <w:rPr>
                <w:rFonts w:asciiTheme="minorHAnsi" w:hAnsiTheme="minorHAnsi" w:cstheme="minorHAnsi"/>
                <w:sz w:val="14"/>
                <w:szCs w:val="14"/>
              </w:rPr>
            </w:pPr>
            <w:r>
              <w:rPr>
                <w:rFonts w:asciiTheme="minorHAnsi" w:hAnsiTheme="minorHAnsi" w:cstheme="minorHAnsi"/>
                <w:sz w:val="14"/>
                <w:szCs w:val="14"/>
              </w:rPr>
              <w:t>Y</w:t>
            </w:r>
          </w:p>
        </w:tc>
      </w:tr>
    </w:tbl>
    <w:p w14:paraId="6172F8E6" w14:textId="459A2FDE" w:rsidR="004D1F5A" w:rsidRDefault="009344CC" w:rsidP="0016121F">
      <w:r>
        <w:lastRenderedPageBreak/>
        <w:t xml:space="preserve">The </w:t>
      </w:r>
      <w:r w:rsidR="00113C86">
        <w:t xml:space="preserve">Annual </w:t>
      </w:r>
      <w:r>
        <w:t xml:space="preserve">Base </w:t>
      </w:r>
      <w:r w:rsidR="00113C86">
        <w:t xml:space="preserve">Prices for New </w:t>
      </w:r>
      <w:r w:rsidR="008D4E0B">
        <w:t>B</w:t>
      </w:r>
      <w:r w:rsidR="00113C86">
        <w:t xml:space="preserve">uilds (without sprinklers) in </w:t>
      </w:r>
      <w:r w:rsidR="00BB6E62">
        <w:t>2022-23</w:t>
      </w:r>
      <w:r w:rsidR="00113C86">
        <w:t xml:space="preserve"> are set out in </w:t>
      </w:r>
      <w:r w:rsidR="00113C86">
        <w:fldChar w:fldCharType="begin"/>
      </w:r>
      <w:r w:rsidR="00113C86">
        <w:instrText xml:space="preserve"> REF _Ref113883074 \h  \* MERGEFORMAT </w:instrText>
      </w:r>
      <w:r w:rsidR="00113C86">
        <w:fldChar w:fldCharType="separate"/>
      </w:r>
      <w:r w:rsidR="00765987" w:rsidRPr="00113C86">
        <w:t xml:space="preserve">Table </w:t>
      </w:r>
      <w:r w:rsidR="00765987">
        <w:t>2</w:t>
      </w:r>
      <w:r w:rsidR="00113C86">
        <w:fldChar w:fldCharType="end"/>
      </w:r>
      <w:r w:rsidR="00113C86">
        <w:t xml:space="preserve"> below. They vary from $13,922 per participant per annum </w:t>
      </w:r>
      <w:r w:rsidR="002055AE">
        <w:t>for</w:t>
      </w:r>
      <w:r w:rsidR="00113C86">
        <w:t xml:space="preserve"> a </w:t>
      </w:r>
      <w:r w:rsidR="00391423">
        <w:t>3-</w:t>
      </w:r>
      <w:r w:rsidR="00113C86">
        <w:t xml:space="preserve">bedroom Improved Liveability Townhouse to $120,206 per participant per annum </w:t>
      </w:r>
      <w:r w:rsidR="002055AE">
        <w:t xml:space="preserve">for </w:t>
      </w:r>
      <w:r w:rsidR="00113C86">
        <w:t xml:space="preserve">a </w:t>
      </w:r>
      <w:r w:rsidR="004D1F5A">
        <w:t>2</w:t>
      </w:r>
      <w:r w:rsidR="00391423">
        <w:t>-</w:t>
      </w:r>
      <w:r w:rsidR="00113C86">
        <w:t xml:space="preserve">bedroom High Physical Support Apartment </w:t>
      </w:r>
      <w:r w:rsidR="000B28BB">
        <w:t xml:space="preserve">with OOA </w:t>
      </w:r>
      <w:r w:rsidR="00113C86">
        <w:t xml:space="preserve">with a single participant. </w:t>
      </w:r>
    </w:p>
    <w:p w14:paraId="72B35DDE" w14:textId="4B995245" w:rsidR="008B75BA" w:rsidRDefault="008B75BA" w:rsidP="0016121F">
      <w:r>
        <w:t xml:space="preserve">If the New Build includes </w:t>
      </w:r>
      <w:r w:rsidR="002055AE">
        <w:t>sprinklers,</w:t>
      </w:r>
      <w:r>
        <w:t xml:space="preserve"> the</w:t>
      </w:r>
      <w:r w:rsidR="00391423">
        <w:t xml:space="preserve">n the amounts in </w:t>
      </w:r>
      <w:r w:rsidR="00391423" w:rsidRPr="00FA12C8">
        <w:rPr>
          <w:b/>
        </w:rPr>
        <w:fldChar w:fldCharType="begin"/>
      </w:r>
      <w:r w:rsidR="00391423" w:rsidRPr="00FA12C8">
        <w:rPr>
          <w:b/>
        </w:rPr>
        <w:instrText xml:space="preserve"> REF _Ref113883074 \h  \* MERGEFORMAT </w:instrText>
      </w:r>
      <w:r w:rsidR="00391423" w:rsidRPr="00FA12C8">
        <w:rPr>
          <w:b/>
        </w:rPr>
      </w:r>
      <w:r w:rsidR="00391423" w:rsidRPr="00FA12C8">
        <w:rPr>
          <w:b/>
        </w:rPr>
        <w:fldChar w:fldCharType="separate"/>
      </w:r>
      <w:r w:rsidR="00765987" w:rsidRPr="00765987">
        <w:rPr>
          <w:b/>
        </w:rPr>
        <w:t>Table 2</w:t>
      </w:r>
      <w:r w:rsidR="00391423" w:rsidRPr="00FA12C8">
        <w:rPr>
          <w:b/>
        </w:rPr>
        <w:fldChar w:fldCharType="end"/>
      </w:r>
      <w:r w:rsidR="00391423">
        <w:t xml:space="preserve"> are increased by 1.2% for Apartments and 1.9% for all other Building Types.</w:t>
      </w:r>
    </w:p>
    <w:p w14:paraId="2B69A06E" w14:textId="4BC40B95" w:rsidR="00113C86" w:rsidRDefault="00113C86" w:rsidP="00113C86">
      <w:pPr>
        <w:pStyle w:val="Caption"/>
        <w:spacing w:before="120"/>
      </w:pPr>
      <w:bookmarkStart w:id="11" w:name="_Ref113883074"/>
      <w:r w:rsidRPr="00113C86">
        <w:t xml:space="preserve">Table </w:t>
      </w:r>
      <w:r w:rsidR="0095150D">
        <w:fldChar w:fldCharType="begin"/>
      </w:r>
      <w:r w:rsidR="0095150D">
        <w:instrText xml:space="preserve"> SEQ Table \* ARABIC </w:instrText>
      </w:r>
      <w:r w:rsidR="0095150D">
        <w:fldChar w:fldCharType="separate"/>
      </w:r>
      <w:r w:rsidR="00765987">
        <w:rPr>
          <w:noProof/>
        </w:rPr>
        <w:t>2</w:t>
      </w:r>
      <w:r w:rsidR="0095150D">
        <w:rPr>
          <w:noProof/>
        </w:rPr>
        <w:fldChar w:fldCharType="end"/>
      </w:r>
      <w:bookmarkEnd w:id="11"/>
      <w:r w:rsidRPr="00113C86">
        <w:t xml:space="preserve">: Annual Base Price per </w:t>
      </w:r>
      <w:r w:rsidR="00BB6E62">
        <w:t>SDA-eligible</w:t>
      </w:r>
      <w:r w:rsidR="00C51096">
        <w:t xml:space="preserve"> </w:t>
      </w:r>
      <w:r w:rsidRPr="00113C86">
        <w:t>Participant for New Builds ($2022-23)</w:t>
      </w:r>
    </w:p>
    <w:tbl>
      <w:tblPr>
        <w:tblStyle w:val="GridTable4"/>
        <w:tblW w:w="5000" w:type="pct"/>
        <w:tblLayout w:type="fixed"/>
        <w:tblLook w:val="0420" w:firstRow="1" w:lastRow="0" w:firstColumn="0" w:lastColumn="0" w:noHBand="0" w:noVBand="1"/>
      </w:tblPr>
      <w:tblGrid>
        <w:gridCol w:w="1467"/>
        <w:gridCol w:w="840"/>
        <w:gridCol w:w="839"/>
        <w:gridCol w:w="209"/>
        <w:gridCol w:w="629"/>
        <w:gridCol w:w="839"/>
        <w:gridCol w:w="420"/>
        <w:gridCol w:w="418"/>
        <w:gridCol w:w="839"/>
        <w:gridCol w:w="629"/>
        <w:gridCol w:w="209"/>
        <w:gridCol w:w="839"/>
        <w:gridCol w:w="840"/>
      </w:tblGrid>
      <w:tr w:rsidR="006F1C27" w:rsidRPr="004A30E1" w14:paraId="2343A10A" w14:textId="77777777" w:rsidTr="004D1F5A">
        <w:trPr>
          <w:cnfStyle w:val="100000000000" w:firstRow="1" w:lastRow="0" w:firstColumn="0" w:lastColumn="0" w:oddVBand="0" w:evenVBand="0" w:oddHBand="0" w:evenHBand="0" w:firstRowFirstColumn="0" w:firstRowLastColumn="0" w:lastRowFirstColumn="0" w:lastRowLastColumn="0"/>
          <w:trHeight w:val="334"/>
          <w:tblHeader/>
        </w:trPr>
        <w:tc>
          <w:tcPr>
            <w:tcW w:w="813" w:type="pct"/>
            <w:noWrap/>
          </w:tcPr>
          <w:p w14:paraId="7F75B309" w14:textId="77777777" w:rsidR="006F1C27" w:rsidRPr="004A30E1" w:rsidRDefault="006F1C27" w:rsidP="00F829BA">
            <w:pPr>
              <w:spacing w:line="180" w:lineRule="atLeast"/>
              <w:rPr>
                <w:rFonts w:asciiTheme="minorHAnsi" w:eastAsia="Times New Roman" w:hAnsiTheme="minorHAnsi" w:cstheme="minorHAnsi"/>
                <w:sz w:val="14"/>
                <w:szCs w:val="14"/>
                <w:lang w:eastAsia="en-AU"/>
              </w:rPr>
            </w:pPr>
          </w:p>
        </w:tc>
        <w:tc>
          <w:tcPr>
            <w:tcW w:w="1047" w:type="pct"/>
            <w:gridSpan w:val="3"/>
            <w:noWrap/>
          </w:tcPr>
          <w:p w14:paraId="61624E6A" w14:textId="77777777" w:rsidR="006F1C27" w:rsidRPr="004A30E1" w:rsidRDefault="006F1C27"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Improved Liveability</w:t>
            </w:r>
          </w:p>
        </w:tc>
        <w:tc>
          <w:tcPr>
            <w:tcW w:w="1047" w:type="pct"/>
            <w:gridSpan w:val="3"/>
            <w:noWrap/>
          </w:tcPr>
          <w:p w14:paraId="136712F3" w14:textId="77777777" w:rsidR="006F1C27" w:rsidRPr="004A30E1" w:rsidRDefault="006F1C27"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Fully Accessible</w:t>
            </w:r>
          </w:p>
        </w:tc>
        <w:tc>
          <w:tcPr>
            <w:tcW w:w="1046" w:type="pct"/>
            <w:gridSpan w:val="3"/>
            <w:noWrap/>
          </w:tcPr>
          <w:p w14:paraId="744EB0F7" w14:textId="77777777" w:rsidR="006F1C27" w:rsidRPr="004A30E1" w:rsidRDefault="006F1C27" w:rsidP="00F829BA">
            <w:pPr>
              <w:spacing w:line="180" w:lineRule="atLeast"/>
              <w:jc w:val="center"/>
              <w:rPr>
                <w:rFonts w:asciiTheme="minorHAnsi" w:eastAsia="Times New Roman" w:hAnsiTheme="minorHAnsi" w:cstheme="minorHAnsi"/>
                <w:sz w:val="14"/>
                <w:szCs w:val="14"/>
                <w:lang w:eastAsia="en-AU"/>
              </w:rPr>
            </w:pPr>
            <w:r>
              <w:rPr>
                <w:rFonts w:asciiTheme="minorHAnsi" w:eastAsia="Times New Roman" w:hAnsiTheme="minorHAnsi" w:cstheme="minorHAnsi"/>
                <w:sz w:val="14"/>
                <w:szCs w:val="14"/>
                <w:lang w:eastAsia="en-AU"/>
              </w:rPr>
              <w:t>Robust</w:t>
            </w:r>
          </w:p>
        </w:tc>
        <w:tc>
          <w:tcPr>
            <w:tcW w:w="1047" w:type="pct"/>
            <w:gridSpan w:val="3"/>
            <w:noWrap/>
          </w:tcPr>
          <w:p w14:paraId="09E7F8E2" w14:textId="77777777" w:rsidR="006F1C27" w:rsidRPr="004A30E1" w:rsidRDefault="006F1C27" w:rsidP="00F829BA">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High Physical Support</w:t>
            </w:r>
          </w:p>
        </w:tc>
      </w:tr>
      <w:tr w:rsidR="00113C86" w:rsidRPr="004A30E1" w14:paraId="01D9585F" w14:textId="77777777" w:rsidTr="004D1F5A">
        <w:trPr>
          <w:cnfStyle w:val="100000000000" w:firstRow="1" w:lastRow="0" w:firstColumn="0" w:lastColumn="0" w:oddVBand="0" w:evenVBand="0" w:oddHBand="0" w:evenHBand="0" w:firstRowFirstColumn="0" w:firstRowLastColumn="0" w:lastRowFirstColumn="0" w:lastRowLastColumn="0"/>
          <w:trHeight w:val="334"/>
          <w:tblHeader/>
        </w:trPr>
        <w:tc>
          <w:tcPr>
            <w:tcW w:w="813" w:type="pct"/>
            <w:noWrap/>
            <w:hideMark/>
          </w:tcPr>
          <w:p w14:paraId="7485B32D" w14:textId="77777777" w:rsidR="006F1C27" w:rsidRPr="004A30E1" w:rsidRDefault="006F1C27" w:rsidP="00F829BA">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sz w:val="14"/>
                <w:szCs w:val="14"/>
                <w:lang w:eastAsia="en-AU"/>
              </w:rPr>
              <w:t>Building Type / Design Category</w:t>
            </w:r>
          </w:p>
        </w:tc>
        <w:tc>
          <w:tcPr>
            <w:tcW w:w="466" w:type="pct"/>
            <w:noWrap/>
            <w:vAlign w:val="center"/>
            <w:hideMark/>
          </w:tcPr>
          <w:p w14:paraId="4837CE8B" w14:textId="77777777" w:rsidR="006F1C27" w:rsidRPr="004A30E1" w:rsidRDefault="006F1C27"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65" w:type="pct"/>
            <w:noWrap/>
            <w:vAlign w:val="center"/>
            <w:hideMark/>
          </w:tcPr>
          <w:p w14:paraId="1FFB7474" w14:textId="77777777" w:rsidR="006F1C27" w:rsidRPr="004A30E1" w:rsidRDefault="006F1C27"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c>
          <w:tcPr>
            <w:tcW w:w="465" w:type="pct"/>
            <w:gridSpan w:val="2"/>
            <w:noWrap/>
            <w:vAlign w:val="center"/>
            <w:hideMark/>
          </w:tcPr>
          <w:p w14:paraId="0CAF4456" w14:textId="77777777" w:rsidR="006F1C27" w:rsidRPr="004A30E1" w:rsidRDefault="006F1C27"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65" w:type="pct"/>
            <w:noWrap/>
            <w:vAlign w:val="center"/>
            <w:hideMark/>
          </w:tcPr>
          <w:p w14:paraId="3ADD4194" w14:textId="77777777" w:rsidR="006F1C27" w:rsidRPr="004A30E1" w:rsidRDefault="006F1C27"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c>
          <w:tcPr>
            <w:tcW w:w="465" w:type="pct"/>
            <w:gridSpan w:val="2"/>
            <w:noWrap/>
            <w:vAlign w:val="center"/>
            <w:hideMark/>
          </w:tcPr>
          <w:p w14:paraId="5529964B" w14:textId="77777777" w:rsidR="006F1C27" w:rsidRPr="004A30E1" w:rsidRDefault="006F1C27"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65" w:type="pct"/>
            <w:noWrap/>
            <w:vAlign w:val="center"/>
            <w:hideMark/>
          </w:tcPr>
          <w:p w14:paraId="377798AF" w14:textId="77777777" w:rsidR="006F1C27" w:rsidRPr="004A30E1" w:rsidRDefault="006F1C27"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c>
          <w:tcPr>
            <w:tcW w:w="465" w:type="pct"/>
            <w:gridSpan w:val="2"/>
            <w:noWrap/>
            <w:vAlign w:val="center"/>
            <w:hideMark/>
          </w:tcPr>
          <w:p w14:paraId="02293876" w14:textId="77777777" w:rsidR="006F1C27" w:rsidRPr="004A30E1" w:rsidRDefault="006F1C27"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+1 Room</w:t>
            </w:r>
          </w:p>
        </w:tc>
        <w:tc>
          <w:tcPr>
            <w:tcW w:w="465" w:type="pct"/>
            <w:noWrap/>
            <w:vAlign w:val="center"/>
            <w:hideMark/>
          </w:tcPr>
          <w:p w14:paraId="0267B3E7" w14:textId="77777777" w:rsidR="006F1C27" w:rsidRPr="004A30E1" w:rsidRDefault="006F1C27"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66" w:type="pct"/>
            <w:noWrap/>
            <w:vAlign w:val="center"/>
            <w:hideMark/>
          </w:tcPr>
          <w:p w14:paraId="5F6D5EC3" w14:textId="77777777" w:rsidR="006F1C27" w:rsidRPr="004A30E1" w:rsidRDefault="006F1C27" w:rsidP="008D4E0B">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r>
      <w:tr w:rsidR="00113C86" w:rsidRPr="004A30E1" w14:paraId="5D384129" w14:textId="77777777" w:rsidTr="004D1F5A">
        <w:trPr>
          <w:cnfStyle w:val="000000100000" w:firstRow="0" w:lastRow="0" w:firstColumn="0" w:lastColumn="0" w:oddVBand="0" w:evenVBand="0" w:oddHBand="1" w:evenHBand="0" w:firstRowFirstColumn="0" w:firstRowLastColumn="0" w:lastRowFirstColumn="0" w:lastRowLastColumn="0"/>
          <w:trHeight w:val="334"/>
        </w:trPr>
        <w:tc>
          <w:tcPr>
            <w:tcW w:w="813" w:type="pct"/>
            <w:noWrap/>
          </w:tcPr>
          <w:p w14:paraId="0A1FF82D" w14:textId="1C8CF086" w:rsidR="006F1C27" w:rsidRPr="004A30E1" w:rsidRDefault="006F1C27" w:rsidP="006F1C27">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 xml:space="preserve">Apartment, 1 </w:t>
            </w:r>
            <w:proofErr w:type="spellStart"/>
            <w:r w:rsidRPr="004A30E1">
              <w:rPr>
                <w:rFonts w:asciiTheme="minorHAnsi" w:eastAsia="Times New Roman" w:hAnsiTheme="minorHAnsi" w:cstheme="minorHAnsi"/>
                <w:color w:val="000000"/>
                <w:sz w:val="14"/>
                <w:szCs w:val="14"/>
                <w:lang w:eastAsia="en-AU"/>
              </w:rPr>
              <w:t>b</w:t>
            </w:r>
            <w:r w:rsidR="00113C86">
              <w:rPr>
                <w:rFonts w:asciiTheme="minorHAnsi" w:eastAsia="Times New Roman" w:hAnsiTheme="minorHAnsi" w:cstheme="minorHAnsi"/>
                <w:color w:val="000000"/>
                <w:sz w:val="14"/>
                <w:szCs w:val="14"/>
                <w:lang w:eastAsia="en-AU"/>
              </w:rPr>
              <w:t>drm</w:t>
            </w:r>
            <w:proofErr w:type="spellEnd"/>
            <w:r w:rsidRPr="004A30E1">
              <w:rPr>
                <w:rFonts w:asciiTheme="minorHAnsi" w:eastAsia="Times New Roman" w:hAnsiTheme="minorHAnsi" w:cstheme="minorHAnsi"/>
                <w:color w:val="000000"/>
                <w:sz w:val="14"/>
                <w:szCs w:val="14"/>
                <w:lang w:eastAsia="en-AU"/>
              </w:rPr>
              <w:t>, 1 resident</w:t>
            </w:r>
          </w:p>
        </w:tc>
        <w:tc>
          <w:tcPr>
            <w:tcW w:w="466" w:type="pct"/>
            <w:noWrap/>
            <w:vAlign w:val="center"/>
          </w:tcPr>
          <w:p w14:paraId="07808AA7" w14:textId="053D49E5" w:rsidR="006F1C27" w:rsidRPr="004A30E1" w:rsidRDefault="006F1C27" w:rsidP="008D4E0B">
            <w:pPr>
              <w:spacing w:line="180" w:lineRule="atLeast"/>
              <w:jc w:val="center"/>
              <w:rPr>
                <w:rFonts w:asciiTheme="minorHAnsi" w:hAnsiTheme="minorHAnsi" w:cstheme="minorHAnsi"/>
                <w:sz w:val="14"/>
                <w:szCs w:val="14"/>
              </w:rPr>
            </w:pPr>
            <w:r>
              <w:rPr>
                <w:rFonts w:asciiTheme="minorHAnsi" w:hAnsiTheme="minorHAnsi" w:cstheme="minorHAnsi"/>
                <w:sz w:val="14"/>
                <w:szCs w:val="14"/>
              </w:rPr>
              <w:t>$38,664</w:t>
            </w:r>
          </w:p>
        </w:tc>
        <w:tc>
          <w:tcPr>
            <w:tcW w:w="465" w:type="pct"/>
            <w:noWrap/>
            <w:vAlign w:val="center"/>
          </w:tcPr>
          <w:p w14:paraId="6953EAE5" w14:textId="4B237C48" w:rsidR="006F1C27" w:rsidRPr="004A30E1" w:rsidRDefault="006F1C27" w:rsidP="008D4E0B">
            <w:pPr>
              <w:spacing w:line="180" w:lineRule="atLeast"/>
              <w:jc w:val="center"/>
              <w:rPr>
                <w:rFonts w:asciiTheme="minorHAnsi" w:hAnsiTheme="minorHAnsi" w:cstheme="minorHAnsi"/>
                <w:sz w:val="14"/>
                <w:szCs w:val="14"/>
              </w:rPr>
            </w:pPr>
            <w:r>
              <w:rPr>
                <w:rFonts w:asciiTheme="minorHAnsi" w:hAnsiTheme="minorHAnsi" w:cstheme="minorHAnsi"/>
                <w:sz w:val="14"/>
                <w:szCs w:val="14"/>
              </w:rPr>
              <w:t>$45,111</w:t>
            </w:r>
          </w:p>
        </w:tc>
        <w:tc>
          <w:tcPr>
            <w:tcW w:w="465" w:type="pct"/>
            <w:gridSpan w:val="2"/>
            <w:noWrap/>
            <w:vAlign w:val="center"/>
          </w:tcPr>
          <w:p w14:paraId="536733A7" w14:textId="2A32BD82" w:rsidR="006F1C27" w:rsidRPr="004A30E1" w:rsidRDefault="006F1C27" w:rsidP="008D4E0B">
            <w:pPr>
              <w:spacing w:line="180" w:lineRule="atLeast"/>
              <w:jc w:val="center"/>
              <w:rPr>
                <w:rFonts w:asciiTheme="minorHAnsi" w:hAnsiTheme="minorHAnsi" w:cstheme="minorHAnsi"/>
                <w:sz w:val="14"/>
                <w:szCs w:val="14"/>
              </w:rPr>
            </w:pPr>
            <w:r>
              <w:rPr>
                <w:rFonts w:asciiTheme="minorHAnsi" w:hAnsiTheme="minorHAnsi" w:cstheme="minorHAnsi"/>
                <w:sz w:val="14"/>
                <w:szCs w:val="14"/>
              </w:rPr>
              <w:t>$62,429</w:t>
            </w:r>
          </w:p>
        </w:tc>
        <w:tc>
          <w:tcPr>
            <w:tcW w:w="465" w:type="pct"/>
            <w:noWrap/>
            <w:vAlign w:val="center"/>
          </w:tcPr>
          <w:p w14:paraId="39356629" w14:textId="5BBA9022" w:rsidR="006F1C27" w:rsidRPr="004A30E1" w:rsidRDefault="006F1C27" w:rsidP="008D4E0B">
            <w:pPr>
              <w:spacing w:line="180" w:lineRule="atLeast"/>
              <w:jc w:val="center"/>
              <w:rPr>
                <w:rFonts w:asciiTheme="minorHAnsi" w:hAnsiTheme="minorHAnsi" w:cstheme="minorHAnsi"/>
                <w:sz w:val="14"/>
                <w:szCs w:val="14"/>
              </w:rPr>
            </w:pPr>
            <w:r>
              <w:rPr>
                <w:rFonts w:asciiTheme="minorHAnsi" w:hAnsiTheme="minorHAnsi" w:cstheme="minorHAnsi"/>
                <w:sz w:val="14"/>
                <w:szCs w:val="14"/>
              </w:rPr>
              <w:t>$72,836</w:t>
            </w:r>
          </w:p>
        </w:tc>
        <w:tc>
          <w:tcPr>
            <w:tcW w:w="465" w:type="pct"/>
            <w:gridSpan w:val="2"/>
            <w:noWrap/>
            <w:vAlign w:val="center"/>
          </w:tcPr>
          <w:p w14:paraId="509CFA3A" w14:textId="4461DCEF" w:rsidR="006F1C27" w:rsidRPr="004A30E1" w:rsidRDefault="006F1C27" w:rsidP="008D4E0B">
            <w:pPr>
              <w:spacing w:line="180" w:lineRule="atLeast"/>
              <w:jc w:val="center"/>
              <w:rPr>
                <w:rFonts w:asciiTheme="minorHAnsi" w:hAnsiTheme="minorHAnsi" w:cstheme="minorHAnsi"/>
                <w:sz w:val="14"/>
                <w:szCs w:val="14"/>
              </w:rPr>
            </w:pPr>
          </w:p>
        </w:tc>
        <w:tc>
          <w:tcPr>
            <w:tcW w:w="465" w:type="pct"/>
            <w:noWrap/>
            <w:vAlign w:val="center"/>
          </w:tcPr>
          <w:p w14:paraId="313859EA" w14:textId="79658A4C" w:rsidR="006F1C27" w:rsidRPr="004A30E1" w:rsidRDefault="006F1C27" w:rsidP="008D4E0B">
            <w:pPr>
              <w:spacing w:line="180" w:lineRule="atLeast"/>
              <w:jc w:val="center"/>
              <w:rPr>
                <w:rFonts w:asciiTheme="minorHAnsi" w:hAnsiTheme="minorHAnsi" w:cstheme="minorHAnsi"/>
                <w:sz w:val="14"/>
                <w:szCs w:val="14"/>
              </w:rPr>
            </w:pPr>
          </w:p>
        </w:tc>
        <w:tc>
          <w:tcPr>
            <w:tcW w:w="465" w:type="pct"/>
            <w:gridSpan w:val="2"/>
            <w:noWrap/>
            <w:vAlign w:val="center"/>
          </w:tcPr>
          <w:p w14:paraId="59DE2D7D" w14:textId="47777EC5" w:rsidR="006F1C27" w:rsidRPr="004A30E1" w:rsidRDefault="006F1C27" w:rsidP="008D4E0B">
            <w:pPr>
              <w:spacing w:line="180" w:lineRule="atLeast"/>
              <w:jc w:val="center"/>
              <w:rPr>
                <w:rFonts w:asciiTheme="minorHAnsi" w:hAnsiTheme="minorHAnsi" w:cstheme="minorHAnsi"/>
                <w:sz w:val="14"/>
                <w:szCs w:val="14"/>
              </w:rPr>
            </w:pPr>
          </w:p>
        </w:tc>
        <w:tc>
          <w:tcPr>
            <w:tcW w:w="465" w:type="pct"/>
            <w:noWrap/>
            <w:vAlign w:val="center"/>
          </w:tcPr>
          <w:p w14:paraId="3B83F930" w14:textId="4D58309A" w:rsidR="006F1C27" w:rsidRPr="004A30E1" w:rsidRDefault="006F1C27" w:rsidP="008D4E0B">
            <w:pPr>
              <w:spacing w:line="180" w:lineRule="atLeast"/>
              <w:jc w:val="center"/>
              <w:rPr>
                <w:rFonts w:asciiTheme="minorHAnsi" w:hAnsiTheme="minorHAnsi" w:cstheme="minorHAnsi"/>
                <w:sz w:val="14"/>
                <w:szCs w:val="14"/>
              </w:rPr>
            </w:pPr>
            <w:r>
              <w:rPr>
                <w:rFonts w:asciiTheme="minorHAnsi" w:hAnsiTheme="minorHAnsi" w:cstheme="minorHAnsi"/>
                <w:sz w:val="14"/>
                <w:szCs w:val="14"/>
              </w:rPr>
              <w:t>$82,808</w:t>
            </w:r>
          </w:p>
        </w:tc>
        <w:tc>
          <w:tcPr>
            <w:tcW w:w="466" w:type="pct"/>
            <w:noWrap/>
            <w:vAlign w:val="center"/>
          </w:tcPr>
          <w:p w14:paraId="50FB8C0A" w14:textId="71A95E79" w:rsidR="006F1C27" w:rsidRPr="004A30E1" w:rsidRDefault="006F1C27" w:rsidP="008D4E0B">
            <w:pPr>
              <w:spacing w:line="180" w:lineRule="atLeast"/>
              <w:jc w:val="center"/>
              <w:rPr>
                <w:rFonts w:asciiTheme="minorHAnsi" w:hAnsiTheme="minorHAnsi" w:cstheme="minorHAnsi"/>
                <w:sz w:val="14"/>
                <w:szCs w:val="14"/>
              </w:rPr>
            </w:pPr>
            <w:r>
              <w:rPr>
                <w:rFonts w:asciiTheme="minorHAnsi" w:hAnsiTheme="minorHAnsi" w:cstheme="minorHAnsi"/>
                <w:sz w:val="14"/>
                <w:szCs w:val="14"/>
              </w:rPr>
              <w:t>$96,610</w:t>
            </w:r>
          </w:p>
        </w:tc>
      </w:tr>
      <w:tr w:rsidR="00FD3C5D" w:rsidRPr="004A30E1" w14:paraId="1C618656" w14:textId="77777777" w:rsidTr="004D1F5A">
        <w:trPr>
          <w:trHeight w:val="334"/>
        </w:trPr>
        <w:tc>
          <w:tcPr>
            <w:tcW w:w="813" w:type="pct"/>
            <w:noWrap/>
            <w:hideMark/>
          </w:tcPr>
          <w:p w14:paraId="5228A074" w14:textId="5459575B" w:rsidR="00FD3C5D" w:rsidRPr="004A30E1" w:rsidRDefault="00FD3C5D" w:rsidP="00FD3C5D">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 xml:space="preserve">Apartment, 2 </w:t>
            </w:r>
            <w:proofErr w:type="spellStart"/>
            <w:r>
              <w:rPr>
                <w:rFonts w:asciiTheme="minorHAnsi" w:eastAsia="Times New Roman" w:hAnsiTheme="minorHAnsi" w:cstheme="minorHAnsi"/>
                <w:color w:val="000000"/>
                <w:sz w:val="14"/>
                <w:szCs w:val="14"/>
                <w:lang w:eastAsia="en-AU"/>
              </w:rPr>
              <w:t>bdrms</w:t>
            </w:r>
            <w:proofErr w:type="spellEnd"/>
            <w:r w:rsidRPr="004A30E1">
              <w:rPr>
                <w:rFonts w:asciiTheme="minorHAnsi" w:eastAsia="Times New Roman" w:hAnsiTheme="minorHAnsi" w:cstheme="minorHAnsi"/>
                <w:color w:val="000000"/>
                <w:sz w:val="14"/>
                <w:szCs w:val="14"/>
                <w:lang w:eastAsia="en-AU"/>
              </w:rPr>
              <w:t>, 1 resident</w:t>
            </w:r>
          </w:p>
        </w:tc>
        <w:tc>
          <w:tcPr>
            <w:tcW w:w="466" w:type="pct"/>
            <w:noWrap/>
            <w:vAlign w:val="center"/>
          </w:tcPr>
          <w:p w14:paraId="7BA064D1" w14:textId="7E988105"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$46,035</w:t>
            </w:r>
          </w:p>
        </w:tc>
        <w:tc>
          <w:tcPr>
            <w:tcW w:w="465" w:type="pct"/>
            <w:noWrap/>
            <w:vAlign w:val="center"/>
          </w:tcPr>
          <w:p w14:paraId="5348AE98" w14:textId="35B1B8B3"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$53,706</w:t>
            </w:r>
          </w:p>
        </w:tc>
        <w:tc>
          <w:tcPr>
            <w:tcW w:w="465" w:type="pct"/>
            <w:gridSpan w:val="2"/>
            <w:noWrap/>
            <w:vAlign w:val="center"/>
          </w:tcPr>
          <w:p w14:paraId="265EE30C" w14:textId="0002BB86"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$76,046</w:t>
            </w:r>
          </w:p>
        </w:tc>
        <w:tc>
          <w:tcPr>
            <w:tcW w:w="465" w:type="pct"/>
            <w:noWrap/>
            <w:vAlign w:val="center"/>
          </w:tcPr>
          <w:p w14:paraId="2139176E" w14:textId="607778D7"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$88,719</w:t>
            </w:r>
          </w:p>
        </w:tc>
        <w:tc>
          <w:tcPr>
            <w:tcW w:w="465" w:type="pct"/>
            <w:gridSpan w:val="2"/>
            <w:noWrap/>
            <w:vAlign w:val="center"/>
          </w:tcPr>
          <w:p w14:paraId="2644A929" w14:textId="419FB77B" w:rsidR="00FD3C5D" w:rsidRPr="004A30E1" w:rsidRDefault="00FD3C5D" w:rsidP="00FD3C5D">
            <w:pPr>
              <w:spacing w:line="180" w:lineRule="atLeast"/>
              <w:jc w:val="center"/>
              <w:rPr>
                <w:rFonts w:asciiTheme="minorHAnsi" w:hAnsiTheme="minorHAnsi" w:cstheme="minorHAnsi"/>
                <w:sz w:val="14"/>
                <w:szCs w:val="14"/>
              </w:rPr>
            </w:pPr>
          </w:p>
        </w:tc>
        <w:tc>
          <w:tcPr>
            <w:tcW w:w="465" w:type="pct"/>
            <w:noWrap/>
            <w:vAlign w:val="center"/>
          </w:tcPr>
          <w:p w14:paraId="331A4756" w14:textId="274EC5D9" w:rsidR="00FD3C5D" w:rsidRPr="004A30E1" w:rsidRDefault="00FD3C5D" w:rsidP="00FD3C5D">
            <w:pPr>
              <w:spacing w:line="180" w:lineRule="atLeast"/>
              <w:jc w:val="center"/>
              <w:rPr>
                <w:rFonts w:asciiTheme="minorHAnsi" w:hAnsiTheme="minorHAnsi" w:cstheme="minorHAnsi"/>
                <w:sz w:val="14"/>
                <w:szCs w:val="14"/>
              </w:rPr>
            </w:pPr>
          </w:p>
        </w:tc>
        <w:tc>
          <w:tcPr>
            <w:tcW w:w="465" w:type="pct"/>
            <w:gridSpan w:val="2"/>
            <w:noWrap/>
            <w:vAlign w:val="center"/>
          </w:tcPr>
          <w:p w14:paraId="122F85FD" w14:textId="1408D958" w:rsidR="00FD3C5D" w:rsidRPr="004A30E1" w:rsidRDefault="00FD3C5D" w:rsidP="00FD3C5D">
            <w:pPr>
              <w:spacing w:line="180" w:lineRule="atLeast"/>
              <w:jc w:val="center"/>
              <w:rPr>
                <w:rFonts w:asciiTheme="minorHAnsi" w:hAnsiTheme="minorHAnsi" w:cstheme="minorHAnsi"/>
                <w:sz w:val="14"/>
                <w:szCs w:val="14"/>
              </w:rPr>
            </w:pPr>
          </w:p>
        </w:tc>
        <w:tc>
          <w:tcPr>
            <w:tcW w:w="465" w:type="pct"/>
            <w:noWrap/>
            <w:vAlign w:val="center"/>
          </w:tcPr>
          <w:p w14:paraId="4433E2EC" w14:textId="4635C98F"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$103,035</w:t>
            </w:r>
          </w:p>
        </w:tc>
        <w:tc>
          <w:tcPr>
            <w:tcW w:w="466" w:type="pct"/>
            <w:noWrap/>
            <w:vAlign w:val="center"/>
          </w:tcPr>
          <w:p w14:paraId="1595516D" w14:textId="5C217806"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$120,206</w:t>
            </w:r>
          </w:p>
        </w:tc>
      </w:tr>
      <w:tr w:rsidR="00FD3C5D" w:rsidRPr="004A30E1" w14:paraId="128C1C0B" w14:textId="77777777" w:rsidTr="004D1F5A">
        <w:trPr>
          <w:cnfStyle w:val="000000100000" w:firstRow="0" w:lastRow="0" w:firstColumn="0" w:lastColumn="0" w:oddVBand="0" w:evenVBand="0" w:oddHBand="1" w:evenHBand="0" w:firstRowFirstColumn="0" w:firstRowLastColumn="0" w:lastRowFirstColumn="0" w:lastRowLastColumn="0"/>
          <w:trHeight w:val="334"/>
        </w:trPr>
        <w:tc>
          <w:tcPr>
            <w:tcW w:w="813" w:type="pct"/>
            <w:noWrap/>
          </w:tcPr>
          <w:p w14:paraId="646B4C82" w14:textId="7C121327" w:rsidR="00FD3C5D" w:rsidRPr="004A30E1" w:rsidRDefault="00FD3C5D" w:rsidP="00FD3C5D">
            <w:pPr>
              <w:spacing w:line="180" w:lineRule="atLeast"/>
              <w:rPr>
                <w:rFonts w:asciiTheme="minorHAnsi" w:eastAsia="Times New Roman" w:hAnsiTheme="minorHAnsi" w:cstheme="minorHAnsi"/>
                <w:color w:val="000000"/>
                <w:sz w:val="14"/>
                <w:szCs w:val="14"/>
                <w:lang w:eastAsia="en-AU"/>
              </w:rPr>
            </w:pPr>
            <w:r w:rsidRPr="004A30E1">
              <w:rPr>
                <w:rFonts w:asciiTheme="minorHAnsi" w:hAnsiTheme="minorHAnsi" w:cstheme="minorHAnsi"/>
                <w:color w:val="000000"/>
                <w:sz w:val="14"/>
                <w:szCs w:val="14"/>
                <w:lang w:eastAsia="en-AU"/>
              </w:rPr>
              <w:t xml:space="preserve">Apartment, 2 </w:t>
            </w:r>
            <w:proofErr w:type="spellStart"/>
            <w:r>
              <w:rPr>
                <w:rFonts w:asciiTheme="minorHAnsi" w:hAnsiTheme="minorHAnsi" w:cstheme="minorHAnsi"/>
                <w:color w:val="000000"/>
                <w:sz w:val="14"/>
                <w:szCs w:val="14"/>
                <w:lang w:eastAsia="en-AU"/>
              </w:rPr>
              <w:t>bdrms</w:t>
            </w:r>
            <w:proofErr w:type="spellEnd"/>
            <w:r w:rsidRPr="004A30E1">
              <w:rPr>
                <w:rFonts w:asciiTheme="minorHAnsi" w:hAnsiTheme="minorHAnsi" w:cstheme="minorHAnsi"/>
                <w:color w:val="000000"/>
                <w:sz w:val="14"/>
                <w:szCs w:val="14"/>
                <w:lang w:eastAsia="en-AU"/>
              </w:rPr>
              <w:t>, 2 residents</w:t>
            </w:r>
          </w:p>
        </w:tc>
        <w:tc>
          <w:tcPr>
            <w:tcW w:w="466" w:type="pct"/>
            <w:noWrap/>
            <w:vAlign w:val="center"/>
          </w:tcPr>
          <w:p w14:paraId="03630B12" w14:textId="108205ED"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$17,985</w:t>
            </w:r>
          </w:p>
        </w:tc>
        <w:tc>
          <w:tcPr>
            <w:tcW w:w="465" w:type="pct"/>
            <w:noWrap/>
            <w:vAlign w:val="center"/>
          </w:tcPr>
          <w:p w14:paraId="09AC5DFA" w14:textId="552A0375"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$20,982</w:t>
            </w:r>
          </w:p>
        </w:tc>
        <w:tc>
          <w:tcPr>
            <w:tcW w:w="465" w:type="pct"/>
            <w:gridSpan w:val="2"/>
            <w:noWrap/>
            <w:vAlign w:val="center"/>
          </w:tcPr>
          <w:p w14:paraId="349DE848" w14:textId="191EFCE8"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$32,811</w:t>
            </w:r>
          </w:p>
        </w:tc>
        <w:tc>
          <w:tcPr>
            <w:tcW w:w="465" w:type="pct"/>
            <w:noWrap/>
            <w:vAlign w:val="center"/>
          </w:tcPr>
          <w:p w14:paraId="28E4EF4B" w14:textId="27F5B2AC"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$39,148</w:t>
            </w:r>
          </w:p>
        </w:tc>
        <w:tc>
          <w:tcPr>
            <w:tcW w:w="465" w:type="pct"/>
            <w:gridSpan w:val="2"/>
            <w:noWrap/>
            <w:vAlign w:val="center"/>
          </w:tcPr>
          <w:p w14:paraId="71BCE19E" w14:textId="458804F0" w:rsidR="00FD3C5D" w:rsidRPr="004A30E1" w:rsidRDefault="00FD3C5D" w:rsidP="00FD3C5D">
            <w:pPr>
              <w:spacing w:line="180" w:lineRule="atLeast"/>
              <w:jc w:val="center"/>
              <w:rPr>
                <w:rFonts w:asciiTheme="minorHAnsi" w:hAnsiTheme="minorHAnsi" w:cstheme="minorHAnsi"/>
                <w:sz w:val="14"/>
                <w:szCs w:val="14"/>
              </w:rPr>
            </w:pPr>
          </w:p>
        </w:tc>
        <w:tc>
          <w:tcPr>
            <w:tcW w:w="465" w:type="pct"/>
            <w:noWrap/>
            <w:vAlign w:val="center"/>
          </w:tcPr>
          <w:p w14:paraId="76284E46" w14:textId="0E3235AB" w:rsidR="00FD3C5D" w:rsidRPr="004A30E1" w:rsidRDefault="00FD3C5D" w:rsidP="00FD3C5D">
            <w:pPr>
              <w:spacing w:line="180" w:lineRule="atLeast"/>
              <w:jc w:val="center"/>
              <w:rPr>
                <w:rFonts w:asciiTheme="minorHAnsi" w:hAnsiTheme="minorHAnsi" w:cstheme="minorHAnsi"/>
                <w:sz w:val="14"/>
                <w:szCs w:val="14"/>
              </w:rPr>
            </w:pPr>
          </w:p>
        </w:tc>
        <w:tc>
          <w:tcPr>
            <w:tcW w:w="465" w:type="pct"/>
            <w:gridSpan w:val="2"/>
            <w:noWrap/>
            <w:vAlign w:val="center"/>
          </w:tcPr>
          <w:p w14:paraId="034FD895" w14:textId="3741A9BA" w:rsidR="00FD3C5D" w:rsidRPr="004A30E1" w:rsidRDefault="00FD3C5D" w:rsidP="00FD3C5D">
            <w:pPr>
              <w:spacing w:line="180" w:lineRule="atLeast"/>
              <w:jc w:val="center"/>
              <w:rPr>
                <w:rFonts w:asciiTheme="minorHAnsi" w:hAnsiTheme="minorHAnsi" w:cstheme="minorHAnsi"/>
                <w:sz w:val="14"/>
                <w:szCs w:val="14"/>
              </w:rPr>
            </w:pPr>
          </w:p>
        </w:tc>
        <w:tc>
          <w:tcPr>
            <w:tcW w:w="465" w:type="pct"/>
            <w:noWrap/>
            <w:vAlign w:val="center"/>
          </w:tcPr>
          <w:p w14:paraId="29347711" w14:textId="503AF689"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$46,485</w:t>
            </w:r>
          </w:p>
        </w:tc>
        <w:tc>
          <w:tcPr>
            <w:tcW w:w="466" w:type="pct"/>
            <w:noWrap/>
            <w:vAlign w:val="center"/>
          </w:tcPr>
          <w:p w14:paraId="5CC87DB9" w14:textId="7BB8C826"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$54,232</w:t>
            </w:r>
          </w:p>
        </w:tc>
      </w:tr>
      <w:tr w:rsidR="00FD3C5D" w:rsidRPr="004A30E1" w14:paraId="14909C0E" w14:textId="77777777" w:rsidTr="004D1F5A">
        <w:trPr>
          <w:trHeight w:val="334"/>
        </w:trPr>
        <w:tc>
          <w:tcPr>
            <w:tcW w:w="813" w:type="pct"/>
            <w:noWrap/>
          </w:tcPr>
          <w:p w14:paraId="241C92D0" w14:textId="2B21D4DD" w:rsidR="00FD3C5D" w:rsidRPr="004A30E1" w:rsidRDefault="00FD3C5D" w:rsidP="00FD3C5D">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 xml:space="preserve">Apartment, 3 </w:t>
            </w:r>
            <w:proofErr w:type="spellStart"/>
            <w:r>
              <w:rPr>
                <w:rFonts w:asciiTheme="minorHAnsi" w:eastAsia="Times New Roman" w:hAnsiTheme="minorHAnsi" w:cstheme="minorHAnsi"/>
                <w:color w:val="000000"/>
                <w:sz w:val="14"/>
                <w:szCs w:val="14"/>
                <w:lang w:eastAsia="en-AU"/>
              </w:rPr>
              <w:t>bdrms</w:t>
            </w:r>
            <w:proofErr w:type="spellEnd"/>
            <w:r w:rsidRPr="004A30E1">
              <w:rPr>
                <w:rFonts w:asciiTheme="minorHAnsi" w:eastAsia="Times New Roman" w:hAnsiTheme="minorHAnsi" w:cstheme="minorHAnsi"/>
                <w:color w:val="000000"/>
                <w:sz w:val="14"/>
                <w:szCs w:val="14"/>
                <w:lang w:eastAsia="en-AU"/>
              </w:rPr>
              <w:t>, 2 residents</w:t>
            </w:r>
          </w:p>
        </w:tc>
        <w:tc>
          <w:tcPr>
            <w:tcW w:w="466" w:type="pct"/>
            <w:noWrap/>
            <w:vAlign w:val="center"/>
          </w:tcPr>
          <w:p w14:paraId="7738ED9B" w14:textId="7F2ED9F1"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$24,030</w:t>
            </w:r>
          </w:p>
        </w:tc>
        <w:tc>
          <w:tcPr>
            <w:tcW w:w="465" w:type="pct"/>
            <w:noWrap/>
            <w:vAlign w:val="center"/>
          </w:tcPr>
          <w:p w14:paraId="5E004E6A" w14:textId="1BFF8DE2"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$28,034</w:t>
            </w:r>
          </w:p>
        </w:tc>
        <w:tc>
          <w:tcPr>
            <w:tcW w:w="465" w:type="pct"/>
            <w:gridSpan w:val="2"/>
            <w:noWrap/>
            <w:vAlign w:val="center"/>
          </w:tcPr>
          <w:p w14:paraId="4CCD2321" w14:textId="42A50FA6"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$43,792</w:t>
            </w:r>
          </w:p>
        </w:tc>
        <w:tc>
          <w:tcPr>
            <w:tcW w:w="465" w:type="pct"/>
            <w:noWrap/>
            <w:vAlign w:val="center"/>
          </w:tcPr>
          <w:p w14:paraId="74C99508" w14:textId="6FEF6E8E"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$51,091</w:t>
            </w:r>
          </w:p>
        </w:tc>
        <w:tc>
          <w:tcPr>
            <w:tcW w:w="465" w:type="pct"/>
            <w:gridSpan w:val="2"/>
            <w:noWrap/>
            <w:vAlign w:val="center"/>
          </w:tcPr>
          <w:p w14:paraId="74675142" w14:textId="361FE01A" w:rsidR="00FD3C5D" w:rsidRPr="004A30E1" w:rsidRDefault="00FD3C5D" w:rsidP="00FD3C5D">
            <w:pPr>
              <w:spacing w:line="180" w:lineRule="atLeast"/>
              <w:jc w:val="center"/>
              <w:rPr>
                <w:rFonts w:asciiTheme="minorHAnsi" w:hAnsiTheme="minorHAnsi" w:cstheme="minorHAnsi"/>
                <w:sz w:val="14"/>
                <w:szCs w:val="14"/>
              </w:rPr>
            </w:pPr>
          </w:p>
        </w:tc>
        <w:tc>
          <w:tcPr>
            <w:tcW w:w="465" w:type="pct"/>
            <w:noWrap/>
            <w:vAlign w:val="center"/>
          </w:tcPr>
          <w:p w14:paraId="3AA54CD5" w14:textId="7FE520B4" w:rsidR="00FD3C5D" w:rsidRPr="004A30E1" w:rsidRDefault="00FD3C5D" w:rsidP="00FD3C5D">
            <w:pPr>
              <w:spacing w:line="180" w:lineRule="atLeast"/>
              <w:jc w:val="center"/>
              <w:rPr>
                <w:rFonts w:asciiTheme="minorHAnsi" w:hAnsiTheme="minorHAnsi" w:cstheme="minorHAnsi"/>
                <w:sz w:val="14"/>
                <w:szCs w:val="14"/>
              </w:rPr>
            </w:pPr>
          </w:p>
        </w:tc>
        <w:tc>
          <w:tcPr>
            <w:tcW w:w="465" w:type="pct"/>
            <w:gridSpan w:val="2"/>
            <w:noWrap/>
            <w:vAlign w:val="center"/>
          </w:tcPr>
          <w:p w14:paraId="72816AF5" w14:textId="1424A2BD" w:rsidR="00FD3C5D" w:rsidRPr="004A30E1" w:rsidRDefault="00FD3C5D" w:rsidP="00FD3C5D">
            <w:pPr>
              <w:spacing w:line="180" w:lineRule="atLeast"/>
              <w:jc w:val="center"/>
              <w:rPr>
                <w:rFonts w:asciiTheme="minorHAnsi" w:hAnsiTheme="minorHAnsi" w:cstheme="minorHAnsi"/>
                <w:sz w:val="14"/>
                <w:szCs w:val="14"/>
              </w:rPr>
            </w:pPr>
          </w:p>
        </w:tc>
        <w:tc>
          <w:tcPr>
            <w:tcW w:w="465" w:type="pct"/>
            <w:noWrap/>
            <w:vAlign w:val="center"/>
          </w:tcPr>
          <w:p w14:paraId="69F12233" w14:textId="33D2A3BE"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$63,004</w:t>
            </w:r>
          </w:p>
        </w:tc>
        <w:tc>
          <w:tcPr>
            <w:tcW w:w="466" w:type="pct"/>
            <w:noWrap/>
            <w:vAlign w:val="center"/>
          </w:tcPr>
          <w:p w14:paraId="62B9FFA1" w14:textId="69E222CB"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$73,506</w:t>
            </w:r>
          </w:p>
        </w:tc>
      </w:tr>
      <w:tr w:rsidR="00FD3C5D" w:rsidRPr="004A30E1" w14:paraId="26FA9319" w14:textId="77777777" w:rsidTr="004D1F5A">
        <w:trPr>
          <w:cnfStyle w:val="000000100000" w:firstRow="0" w:lastRow="0" w:firstColumn="0" w:lastColumn="0" w:oddVBand="0" w:evenVBand="0" w:oddHBand="1" w:evenHBand="0" w:firstRowFirstColumn="0" w:firstRowLastColumn="0" w:lastRowFirstColumn="0" w:lastRowLastColumn="0"/>
          <w:trHeight w:val="334"/>
        </w:trPr>
        <w:tc>
          <w:tcPr>
            <w:tcW w:w="813" w:type="pct"/>
            <w:noWrap/>
            <w:hideMark/>
          </w:tcPr>
          <w:p w14:paraId="0ABF9364" w14:textId="77777777" w:rsidR="00FD3C5D" w:rsidRPr="004A30E1" w:rsidRDefault="00FD3C5D" w:rsidP="00FD3C5D">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Villa/Duplex/Townhouse, 1 resident</w:t>
            </w:r>
          </w:p>
        </w:tc>
        <w:tc>
          <w:tcPr>
            <w:tcW w:w="466" w:type="pct"/>
            <w:noWrap/>
            <w:vAlign w:val="center"/>
          </w:tcPr>
          <w:p w14:paraId="72860FAF" w14:textId="5C860F38"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$27,234</w:t>
            </w:r>
          </w:p>
        </w:tc>
        <w:tc>
          <w:tcPr>
            <w:tcW w:w="465" w:type="pct"/>
            <w:noWrap/>
            <w:vAlign w:val="center"/>
          </w:tcPr>
          <w:p w14:paraId="1C149ACC" w14:textId="6AF1EB9C"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$30,120</w:t>
            </w:r>
          </w:p>
        </w:tc>
        <w:tc>
          <w:tcPr>
            <w:tcW w:w="465" w:type="pct"/>
            <w:gridSpan w:val="2"/>
            <w:noWrap/>
            <w:vAlign w:val="center"/>
          </w:tcPr>
          <w:p w14:paraId="5D833F14" w14:textId="44D968EA"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$41,976</w:t>
            </w:r>
          </w:p>
        </w:tc>
        <w:tc>
          <w:tcPr>
            <w:tcW w:w="465" w:type="pct"/>
            <w:noWrap/>
            <w:vAlign w:val="center"/>
          </w:tcPr>
          <w:p w14:paraId="0F17BA3C" w14:textId="3E8A3A80"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$46,193</w:t>
            </w:r>
          </w:p>
        </w:tc>
        <w:tc>
          <w:tcPr>
            <w:tcW w:w="465" w:type="pct"/>
            <w:gridSpan w:val="2"/>
            <w:noWrap/>
            <w:vAlign w:val="center"/>
          </w:tcPr>
          <w:p w14:paraId="1C504CB7" w14:textId="21DC4916"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$49,462</w:t>
            </w:r>
          </w:p>
        </w:tc>
        <w:tc>
          <w:tcPr>
            <w:tcW w:w="465" w:type="pct"/>
            <w:noWrap/>
            <w:vAlign w:val="center"/>
          </w:tcPr>
          <w:p w14:paraId="4F9BD5CE" w14:textId="7F1E5BB3"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$54,616</w:t>
            </w:r>
          </w:p>
        </w:tc>
        <w:tc>
          <w:tcPr>
            <w:tcW w:w="465" w:type="pct"/>
            <w:gridSpan w:val="2"/>
            <w:noWrap/>
            <w:vAlign w:val="center"/>
          </w:tcPr>
          <w:p w14:paraId="28662B0F" w14:textId="5C83DE30" w:rsidR="00FD3C5D" w:rsidRPr="004A30E1" w:rsidRDefault="00FD3C5D" w:rsidP="00FD3C5D">
            <w:pPr>
              <w:spacing w:line="180" w:lineRule="atLeast"/>
              <w:jc w:val="center"/>
              <w:rPr>
                <w:rFonts w:asciiTheme="minorHAnsi" w:hAnsiTheme="minorHAnsi" w:cstheme="minorHAnsi"/>
                <w:sz w:val="14"/>
                <w:szCs w:val="14"/>
              </w:rPr>
            </w:pPr>
          </w:p>
        </w:tc>
        <w:tc>
          <w:tcPr>
            <w:tcW w:w="465" w:type="pct"/>
            <w:noWrap/>
            <w:vAlign w:val="center"/>
          </w:tcPr>
          <w:p w14:paraId="728EB583" w14:textId="6CBCE988"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$56,835</w:t>
            </w:r>
          </w:p>
        </w:tc>
        <w:tc>
          <w:tcPr>
            <w:tcW w:w="466" w:type="pct"/>
            <w:noWrap/>
            <w:vAlign w:val="center"/>
          </w:tcPr>
          <w:p w14:paraId="67D66556" w14:textId="1761CA39"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$61,620</w:t>
            </w:r>
          </w:p>
        </w:tc>
      </w:tr>
      <w:tr w:rsidR="00FD3C5D" w:rsidRPr="004A30E1" w14:paraId="457C4BEA" w14:textId="77777777" w:rsidTr="004D1F5A">
        <w:trPr>
          <w:trHeight w:val="334"/>
        </w:trPr>
        <w:tc>
          <w:tcPr>
            <w:tcW w:w="813" w:type="pct"/>
            <w:noWrap/>
            <w:hideMark/>
          </w:tcPr>
          <w:p w14:paraId="75E9ED69" w14:textId="77777777" w:rsidR="00FD3C5D" w:rsidRPr="004A30E1" w:rsidRDefault="00FD3C5D" w:rsidP="00FD3C5D">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Villa/Duplex/Townhouse, 2 residents</w:t>
            </w:r>
          </w:p>
        </w:tc>
        <w:tc>
          <w:tcPr>
            <w:tcW w:w="466" w:type="pct"/>
            <w:noWrap/>
            <w:vAlign w:val="center"/>
          </w:tcPr>
          <w:p w14:paraId="2A45D25A" w14:textId="5E840A40"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$17,044</w:t>
            </w:r>
          </w:p>
        </w:tc>
        <w:tc>
          <w:tcPr>
            <w:tcW w:w="465" w:type="pct"/>
            <w:noWrap/>
            <w:vAlign w:val="center"/>
          </w:tcPr>
          <w:p w14:paraId="53A38E40" w14:textId="71A5E183"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$18,400</w:t>
            </w:r>
          </w:p>
        </w:tc>
        <w:tc>
          <w:tcPr>
            <w:tcW w:w="465" w:type="pct"/>
            <w:gridSpan w:val="2"/>
            <w:noWrap/>
            <w:vAlign w:val="center"/>
          </w:tcPr>
          <w:p w14:paraId="449518FF" w14:textId="5C6F2449"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$25,973</w:t>
            </w:r>
          </w:p>
        </w:tc>
        <w:tc>
          <w:tcPr>
            <w:tcW w:w="465" w:type="pct"/>
            <w:noWrap/>
            <w:vAlign w:val="center"/>
          </w:tcPr>
          <w:p w14:paraId="26ECD01F" w14:textId="7A9D3E0B"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$28,022</w:t>
            </w:r>
          </w:p>
        </w:tc>
        <w:tc>
          <w:tcPr>
            <w:tcW w:w="465" w:type="pct"/>
            <w:gridSpan w:val="2"/>
            <w:noWrap/>
            <w:vAlign w:val="center"/>
          </w:tcPr>
          <w:p w14:paraId="65F8F4CD" w14:textId="39915A59"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$30,999</w:t>
            </w:r>
          </w:p>
        </w:tc>
        <w:tc>
          <w:tcPr>
            <w:tcW w:w="465" w:type="pct"/>
            <w:noWrap/>
            <w:vAlign w:val="center"/>
          </w:tcPr>
          <w:p w14:paraId="1AD43783" w14:textId="7DE413B0"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$33,485</w:t>
            </w:r>
          </w:p>
        </w:tc>
        <w:tc>
          <w:tcPr>
            <w:tcW w:w="465" w:type="pct"/>
            <w:gridSpan w:val="2"/>
            <w:noWrap/>
            <w:vAlign w:val="center"/>
          </w:tcPr>
          <w:p w14:paraId="5A626AAA" w14:textId="39802D64"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$2,091</w:t>
            </w:r>
          </w:p>
        </w:tc>
        <w:tc>
          <w:tcPr>
            <w:tcW w:w="465" w:type="pct"/>
            <w:noWrap/>
            <w:vAlign w:val="center"/>
          </w:tcPr>
          <w:p w14:paraId="0CA2DFF1" w14:textId="70F2A93A"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$36,449</w:t>
            </w:r>
          </w:p>
        </w:tc>
        <w:tc>
          <w:tcPr>
            <w:tcW w:w="466" w:type="pct"/>
            <w:noWrap/>
            <w:vAlign w:val="center"/>
          </w:tcPr>
          <w:p w14:paraId="5F75CE68" w14:textId="17566412"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$38,750</w:t>
            </w:r>
          </w:p>
        </w:tc>
      </w:tr>
      <w:tr w:rsidR="00FD3C5D" w:rsidRPr="004A30E1" w14:paraId="4B4FF4CB" w14:textId="77777777" w:rsidTr="004D1F5A">
        <w:trPr>
          <w:cnfStyle w:val="000000100000" w:firstRow="0" w:lastRow="0" w:firstColumn="0" w:lastColumn="0" w:oddVBand="0" w:evenVBand="0" w:oddHBand="1" w:evenHBand="0" w:firstRowFirstColumn="0" w:firstRowLastColumn="0" w:lastRowFirstColumn="0" w:lastRowLastColumn="0"/>
          <w:trHeight w:val="334"/>
        </w:trPr>
        <w:tc>
          <w:tcPr>
            <w:tcW w:w="813" w:type="pct"/>
            <w:noWrap/>
            <w:hideMark/>
          </w:tcPr>
          <w:p w14:paraId="4C792B92" w14:textId="77777777" w:rsidR="00FD3C5D" w:rsidRPr="004A30E1" w:rsidRDefault="00FD3C5D" w:rsidP="00FD3C5D">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Villa/Duplex/Townhouse, 3 residents</w:t>
            </w:r>
          </w:p>
        </w:tc>
        <w:tc>
          <w:tcPr>
            <w:tcW w:w="466" w:type="pct"/>
            <w:noWrap/>
            <w:vAlign w:val="center"/>
          </w:tcPr>
          <w:p w14:paraId="5F895887" w14:textId="739C6D24"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$13,922</w:t>
            </w:r>
          </w:p>
        </w:tc>
        <w:tc>
          <w:tcPr>
            <w:tcW w:w="465" w:type="pct"/>
            <w:noWrap/>
            <w:vAlign w:val="center"/>
          </w:tcPr>
          <w:p w14:paraId="331620BD" w14:textId="41D538E8"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$14,844</w:t>
            </w:r>
          </w:p>
        </w:tc>
        <w:tc>
          <w:tcPr>
            <w:tcW w:w="465" w:type="pct"/>
            <w:gridSpan w:val="2"/>
            <w:noWrap/>
            <w:vAlign w:val="center"/>
          </w:tcPr>
          <w:p w14:paraId="72F2C980" w14:textId="6D2310FF"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$22,115</w:t>
            </w:r>
          </w:p>
        </w:tc>
        <w:tc>
          <w:tcPr>
            <w:tcW w:w="465" w:type="pct"/>
            <w:noWrap/>
            <w:vAlign w:val="center"/>
          </w:tcPr>
          <w:p w14:paraId="67292158" w14:textId="161B4635"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$23,486</w:t>
            </w:r>
          </w:p>
        </w:tc>
        <w:tc>
          <w:tcPr>
            <w:tcW w:w="465" w:type="pct"/>
            <w:gridSpan w:val="2"/>
            <w:noWrap/>
            <w:vAlign w:val="center"/>
          </w:tcPr>
          <w:p w14:paraId="2FF111E6" w14:textId="3D48BCE1"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$26,874</w:t>
            </w:r>
          </w:p>
        </w:tc>
        <w:tc>
          <w:tcPr>
            <w:tcW w:w="465" w:type="pct"/>
            <w:noWrap/>
            <w:vAlign w:val="center"/>
          </w:tcPr>
          <w:p w14:paraId="4E4871BB" w14:textId="767EAAD6"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$28,530</w:t>
            </w:r>
          </w:p>
        </w:tc>
        <w:tc>
          <w:tcPr>
            <w:tcW w:w="465" w:type="pct"/>
            <w:gridSpan w:val="2"/>
            <w:noWrap/>
            <w:vAlign w:val="center"/>
          </w:tcPr>
          <w:p w14:paraId="4C3FF038" w14:textId="0B87D9A2"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$1,393</w:t>
            </w:r>
          </w:p>
        </w:tc>
        <w:tc>
          <w:tcPr>
            <w:tcW w:w="465" w:type="pct"/>
            <w:noWrap/>
            <w:vAlign w:val="center"/>
          </w:tcPr>
          <w:p w14:paraId="4BEF73A7" w14:textId="35DB8BAB"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$31,967</w:t>
            </w:r>
          </w:p>
        </w:tc>
        <w:tc>
          <w:tcPr>
            <w:tcW w:w="466" w:type="pct"/>
            <w:noWrap/>
            <w:vAlign w:val="center"/>
          </w:tcPr>
          <w:p w14:paraId="3C34A94E" w14:textId="42B64050"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$33,500</w:t>
            </w:r>
          </w:p>
        </w:tc>
      </w:tr>
      <w:tr w:rsidR="00FD3C5D" w:rsidRPr="004A30E1" w14:paraId="073CF91C" w14:textId="77777777" w:rsidTr="004D1F5A">
        <w:trPr>
          <w:trHeight w:val="334"/>
        </w:trPr>
        <w:tc>
          <w:tcPr>
            <w:tcW w:w="813" w:type="pct"/>
            <w:noWrap/>
          </w:tcPr>
          <w:p w14:paraId="556EF952" w14:textId="77777777" w:rsidR="00FD3C5D" w:rsidRPr="004A30E1" w:rsidRDefault="00FD3C5D" w:rsidP="00FD3C5D">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House, 2 residents</w:t>
            </w:r>
          </w:p>
        </w:tc>
        <w:tc>
          <w:tcPr>
            <w:tcW w:w="466" w:type="pct"/>
            <w:noWrap/>
            <w:vAlign w:val="center"/>
          </w:tcPr>
          <w:p w14:paraId="1D5F9602" w14:textId="53A192F3"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$24,892</w:t>
            </w:r>
          </w:p>
        </w:tc>
        <w:tc>
          <w:tcPr>
            <w:tcW w:w="465" w:type="pct"/>
            <w:noWrap/>
            <w:vAlign w:val="center"/>
          </w:tcPr>
          <w:p w14:paraId="770A8EAF" w14:textId="2BE5AFE2"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$26,249</w:t>
            </w:r>
          </w:p>
        </w:tc>
        <w:tc>
          <w:tcPr>
            <w:tcW w:w="465" w:type="pct"/>
            <w:gridSpan w:val="2"/>
            <w:noWrap/>
            <w:vAlign w:val="center"/>
          </w:tcPr>
          <w:p w14:paraId="6B10C61C" w14:textId="034A6355"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$34,016</w:t>
            </w:r>
          </w:p>
        </w:tc>
        <w:tc>
          <w:tcPr>
            <w:tcW w:w="465" w:type="pct"/>
            <w:noWrap/>
            <w:vAlign w:val="center"/>
          </w:tcPr>
          <w:p w14:paraId="7D8D07CB" w14:textId="179F1DED"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$36,064</w:t>
            </w:r>
          </w:p>
        </w:tc>
        <w:tc>
          <w:tcPr>
            <w:tcW w:w="465" w:type="pct"/>
            <w:gridSpan w:val="2"/>
            <w:noWrap/>
            <w:vAlign w:val="center"/>
          </w:tcPr>
          <w:p w14:paraId="2670FF0B" w14:textId="4BA33383"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$39,710</w:t>
            </w:r>
          </w:p>
        </w:tc>
        <w:tc>
          <w:tcPr>
            <w:tcW w:w="465" w:type="pct"/>
            <w:noWrap/>
            <w:vAlign w:val="center"/>
          </w:tcPr>
          <w:p w14:paraId="57F50C0E" w14:textId="37154F31"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$42,197</w:t>
            </w:r>
          </w:p>
        </w:tc>
        <w:tc>
          <w:tcPr>
            <w:tcW w:w="465" w:type="pct"/>
            <w:gridSpan w:val="2"/>
            <w:noWrap/>
            <w:vAlign w:val="center"/>
          </w:tcPr>
          <w:p w14:paraId="6EDC64BA" w14:textId="5B006E12"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$2,091</w:t>
            </w:r>
          </w:p>
        </w:tc>
        <w:tc>
          <w:tcPr>
            <w:tcW w:w="465" w:type="pct"/>
            <w:noWrap/>
            <w:vAlign w:val="center"/>
          </w:tcPr>
          <w:p w14:paraId="18112623" w14:textId="16B66229"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$44,984</w:t>
            </w:r>
          </w:p>
        </w:tc>
        <w:tc>
          <w:tcPr>
            <w:tcW w:w="466" w:type="pct"/>
            <w:noWrap/>
            <w:vAlign w:val="center"/>
          </w:tcPr>
          <w:p w14:paraId="64F0DC36" w14:textId="58EEFCE5"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$47,287</w:t>
            </w:r>
          </w:p>
        </w:tc>
      </w:tr>
      <w:tr w:rsidR="00FD3C5D" w:rsidRPr="004A30E1" w14:paraId="083FF7BD" w14:textId="77777777" w:rsidTr="004D1F5A">
        <w:trPr>
          <w:cnfStyle w:val="000000100000" w:firstRow="0" w:lastRow="0" w:firstColumn="0" w:lastColumn="0" w:oddVBand="0" w:evenVBand="0" w:oddHBand="1" w:evenHBand="0" w:firstRowFirstColumn="0" w:firstRowLastColumn="0" w:lastRowFirstColumn="0" w:lastRowLastColumn="0"/>
          <w:trHeight w:val="334"/>
        </w:trPr>
        <w:tc>
          <w:tcPr>
            <w:tcW w:w="813" w:type="pct"/>
            <w:noWrap/>
            <w:hideMark/>
          </w:tcPr>
          <w:p w14:paraId="492D5374" w14:textId="77777777" w:rsidR="00FD3C5D" w:rsidRPr="004A30E1" w:rsidRDefault="00FD3C5D" w:rsidP="00FD3C5D">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House, 3 residents</w:t>
            </w:r>
          </w:p>
        </w:tc>
        <w:tc>
          <w:tcPr>
            <w:tcW w:w="466" w:type="pct"/>
            <w:noWrap/>
            <w:vAlign w:val="center"/>
          </w:tcPr>
          <w:p w14:paraId="6AE77064" w14:textId="451FAA1C"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$19,564</w:t>
            </w:r>
          </w:p>
        </w:tc>
        <w:tc>
          <w:tcPr>
            <w:tcW w:w="465" w:type="pct"/>
            <w:noWrap/>
            <w:vAlign w:val="center"/>
          </w:tcPr>
          <w:p w14:paraId="4BCF91B5" w14:textId="754B106A"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$20,596</w:t>
            </w:r>
          </w:p>
        </w:tc>
        <w:tc>
          <w:tcPr>
            <w:tcW w:w="465" w:type="pct"/>
            <w:gridSpan w:val="2"/>
            <w:noWrap/>
            <w:vAlign w:val="center"/>
          </w:tcPr>
          <w:p w14:paraId="75159D73" w14:textId="2D7C69B3"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$28,743</w:t>
            </w:r>
          </w:p>
        </w:tc>
        <w:tc>
          <w:tcPr>
            <w:tcW w:w="465" w:type="pct"/>
            <w:noWrap/>
            <w:vAlign w:val="center"/>
          </w:tcPr>
          <w:p w14:paraId="594636AB" w14:textId="3F0BD498"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$30,277</w:t>
            </w:r>
          </w:p>
        </w:tc>
        <w:tc>
          <w:tcPr>
            <w:tcW w:w="465" w:type="pct"/>
            <w:gridSpan w:val="2"/>
            <w:noWrap/>
            <w:vAlign w:val="center"/>
          </w:tcPr>
          <w:p w14:paraId="75AC1B8E" w14:textId="283867AF"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$33,773</w:t>
            </w:r>
          </w:p>
        </w:tc>
        <w:tc>
          <w:tcPr>
            <w:tcW w:w="465" w:type="pct"/>
            <w:noWrap/>
            <w:vAlign w:val="center"/>
          </w:tcPr>
          <w:p w14:paraId="66AA03D4" w14:textId="5432B42C"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$35,603</w:t>
            </w:r>
          </w:p>
        </w:tc>
        <w:tc>
          <w:tcPr>
            <w:tcW w:w="465" w:type="pct"/>
            <w:gridSpan w:val="2"/>
            <w:noWrap/>
            <w:vAlign w:val="center"/>
          </w:tcPr>
          <w:p w14:paraId="2361D5ED" w14:textId="2E0B8AEA"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$1,540</w:t>
            </w:r>
          </w:p>
        </w:tc>
        <w:tc>
          <w:tcPr>
            <w:tcW w:w="465" w:type="pct"/>
            <w:noWrap/>
            <w:vAlign w:val="center"/>
          </w:tcPr>
          <w:p w14:paraId="7B58ACE0" w14:textId="3ABE4CF2"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$42,208</w:t>
            </w:r>
          </w:p>
        </w:tc>
        <w:tc>
          <w:tcPr>
            <w:tcW w:w="466" w:type="pct"/>
            <w:noWrap/>
            <w:vAlign w:val="center"/>
          </w:tcPr>
          <w:p w14:paraId="13ED0E08" w14:textId="14347C8F"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$44,064</w:t>
            </w:r>
          </w:p>
        </w:tc>
      </w:tr>
      <w:tr w:rsidR="00FD3C5D" w:rsidRPr="004A30E1" w14:paraId="6970ABBC" w14:textId="77777777" w:rsidTr="004D1F5A">
        <w:trPr>
          <w:trHeight w:val="334"/>
        </w:trPr>
        <w:tc>
          <w:tcPr>
            <w:tcW w:w="813" w:type="pct"/>
            <w:noWrap/>
            <w:hideMark/>
          </w:tcPr>
          <w:p w14:paraId="190FD54B" w14:textId="77777777" w:rsidR="00FD3C5D" w:rsidRPr="004A30E1" w:rsidRDefault="00FD3C5D" w:rsidP="00FD3C5D">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Group home, 4 residents</w:t>
            </w:r>
          </w:p>
        </w:tc>
        <w:tc>
          <w:tcPr>
            <w:tcW w:w="466" w:type="pct"/>
            <w:noWrap/>
            <w:vAlign w:val="center"/>
          </w:tcPr>
          <w:p w14:paraId="0F766A9A" w14:textId="2C1B72E1"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$17,240</w:t>
            </w:r>
          </w:p>
        </w:tc>
        <w:tc>
          <w:tcPr>
            <w:tcW w:w="465" w:type="pct"/>
            <w:noWrap/>
            <w:vAlign w:val="center"/>
          </w:tcPr>
          <w:p w14:paraId="4CE44CF1" w14:textId="532B3DE6"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$18,017</w:t>
            </w:r>
          </w:p>
        </w:tc>
        <w:tc>
          <w:tcPr>
            <w:tcW w:w="465" w:type="pct"/>
            <w:gridSpan w:val="2"/>
            <w:noWrap/>
            <w:vAlign w:val="center"/>
          </w:tcPr>
          <w:p w14:paraId="6D689FD3" w14:textId="3FACCB13"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$25,827</w:t>
            </w:r>
          </w:p>
        </w:tc>
        <w:tc>
          <w:tcPr>
            <w:tcW w:w="465" w:type="pct"/>
            <w:noWrap/>
            <w:vAlign w:val="center"/>
          </w:tcPr>
          <w:p w14:paraId="61C85F88" w14:textId="4BADA25B"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$27,000</w:t>
            </w:r>
          </w:p>
        </w:tc>
        <w:tc>
          <w:tcPr>
            <w:tcW w:w="465" w:type="pct"/>
            <w:gridSpan w:val="2"/>
            <w:noWrap/>
            <w:vAlign w:val="center"/>
          </w:tcPr>
          <w:p w14:paraId="5F05C43D" w14:textId="5DA895C4"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$30,545</w:t>
            </w:r>
          </w:p>
        </w:tc>
        <w:tc>
          <w:tcPr>
            <w:tcW w:w="465" w:type="pct"/>
            <w:noWrap/>
            <w:vAlign w:val="center"/>
          </w:tcPr>
          <w:p w14:paraId="7B463E36" w14:textId="6B04E977"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$31,934</w:t>
            </w:r>
          </w:p>
        </w:tc>
        <w:tc>
          <w:tcPr>
            <w:tcW w:w="465" w:type="pct"/>
            <w:gridSpan w:val="2"/>
            <w:noWrap/>
            <w:vAlign w:val="center"/>
          </w:tcPr>
          <w:p w14:paraId="50CD8697" w14:textId="02709875"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$1,168</w:t>
            </w:r>
          </w:p>
        </w:tc>
        <w:tc>
          <w:tcPr>
            <w:tcW w:w="465" w:type="pct"/>
            <w:noWrap/>
            <w:vAlign w:val="center"/>
          </w:tcPr>
          <w:p w14:paraId="77B13B20" w14:textId="655B4CAC"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$37,923</w:t>
            </w:r>
          </w:p>
        </w:tc>
        <w:tc>
          <w:tcPr>
            <w:tcW w:w="466" w:type="pct"/>
            <w:noWrap/>
            <w:vAlign w:val="center"/>
          </w:tcPr>
          <w:p w14:paraId="65362685" w14:textId="69324E32"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$39,319</w:t>
            </w:r>
          </w:p>
        </w:tc>
      </w:tr>
      <w:tr w:rsidR="00FD3C5D" w:rsidRPr="004A30E1" w14:paraId="5F967A81" w14:textId="77777777" w:rsidTr="004D1F5A">
        <w:trPr>
          <w:cnfStyle w:val="000000100000" w:firstRow="0" w:lastRow="0" w:firstColumn="0" w:lastColumn="0" w:oddVBand="0" w:evenVBand="0" w:oddHBand="1" w:evenHBand="0" w:firstRowFirstColumn="0" w:firstRowLastColumn="0" w:lastRowFirstColumn="0" w:lastRowLastColumn="0"/>
          <w:trHeight w:val="334"/>
        </w:trPr>
        <w:tc>
          <w:tcPr>
            <w:tcW w:w="813" w:type="pct"/>
            <w:noWrap/>
            <w:hideMark/>
          </w:tcPr>
          <w:p w14:paraId="227928F6" w14:textId="77777777" w:rsidR="00FD3C5D" w:rsidRPr="004A30E1" w:rsidRDefault="00FD3C5D" w:rsidP="00FD3C5D">
            <w:pPr>
              <w:spacing w:line="180" w:lineRule="atLeast"/>
              <w:rPr>
                <w:rFonts w:asciiTheme="minorHAnsi" w:eastAsia="Times New Roman" w:hAnsiTheme="minorHAnsi" w:cstheme="minorHAnsi"/>
                <w:color w:val="000000"/>
                <w:sz w:val="14"/>
                <w:szCs w:val="14"/>
                <w:lang w:eastAsia="en-AU"/>
              </w:rPr>
            </w:pPr>
            <w:r w:rsidRPr="004A30E1">
              <w:rPr>
                <w:rFonts w:asciiTheme="minorHAnsi" w:eastAsia="Times New Roman" w:hAnsiTheme="minorHAnsi" w:cstheme="minorHAnsi"/>
                <w:color w:val="000000"/>
                <w:sz w:val="14"/>
                <w:szCs w:val="14"/>
                <w:lang w:eastAsia="en-AU"/>
              </w:rPr>
              <w:t>Group home, 5 residents</w:t>
            </w:r>
          </w:p>
        </w:tc>
        <w:tc>
          <w:tcPr>
            <w:tcW w:w="466" w:type="pct"/>
            <w:noWrap/>
            <w:vAlign w:val="center"/>
          </w:tcPr>
          <w:p w14:paraId="1D251ACB" w14:textId="656524B9"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$14,569</w:t>
            </w:r>
          </w:p>
        </w:tc>
        <w:tc>
          <w:tcPr>
            <w:tcW w:w="465" w:type="pct"/>
            <w:noWrap/>
            <w:vAlign w:val="center"/>
          </w:tcPr>
          <w:p w14:paraId="3381A4C7" w14:textId="2410F839"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$15,205</w:t>
            </w:r>
          </w:p>
        </w:tc>
        <w:tc>
          <w:tcPr>
            <w:tcW w:w="465" w:type="pct"/>
            <w:gridSpan w:val="2"/>
            <w:noWrap/>
            <w:vAlign w:val="center"/>
          </w:tcPr>
          <w:p w14:paraId="0F9B47A1" w14:textId="798C9931"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$22,750</w:t>
            </w:r>
          </w:p>
        </w:tc>
        <w:tc>
          <w:tcPr>
            <w:tcW w:w="465" w:type="pct"/>
            <w:noWrap/>
            <w:vAlign w:val="center"/>
          </w:tcPr>
          <w:p w14:paraId="53179D17" w14:textId="581F6506"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$23,677</w:t>
            </w:r>
          </w:p>
        </w:tc>
        <w:tc>
          <w:tcPr>
            <w:tcW w:w="465" w:type="pct"/>
            <w:gridSpan w:val="2"/>
            <w:noWrap/>
            <w:vAlign w:val="center"/>
          </w:tcPr>
          <w:p w14:paraId="4BF25EA3" w14:textId="36DCCF49"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$26,960</w:t>
            </w:r>
          </w:p>
        </w:tc>
        <w:tc>
          <w:tcPr>
            <w:tcW w:w="465" w:type="pct"/>
            <w:noWrap/>
            <w:vAlign w:val="center"/>
          </w:tcPr>
          <w:p w14:paraId="2C25608B" w14:textId="02A7B2B6"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$28,055</w:t>
            </w:r>
          </w:p>
        </w:tc>
        <w:tc>
          <w:tcPr>
            <w:tcW w:w="465" w:type="pct"/>
            <w:gridSpan w:val="2"/>
            <w:noWrap/>
            <w:vAlign w:val="center"/>
          </w:tcPr>
          <w:p w14:paraId="30F5795B" w14:textId="1A6EA77D"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$922</w:t>
            </w:r>
          </w:p>
        </w:tc>
        <w:tc>
          <w:tcPr>
            <w:tcW w:w="465" w:type="pct"/>
            <w:noWrap/>
            <w:vAlign w:val="center"/>
          </w:tcPr>
          <w:p w14:paraId="543D6F20" w14:textId="2E95030C"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$33,821</w:t>
            </w:r>
          </w:p>
        </w:tc>
        <w:tc>
          <w:tcPr>
            <w:tcW w:w="466" w:type="pct"/>
            <w:noWrap/>
            <w:vAlign w:val="center"/>
          </w:tcPr>
          <w:p w14:paraId="53DCFB03" w14:textId="6D7533E4" w:rsidR="00FD3C5D" w:rsidRPr="004A30E1" w:rsidRDefault="00FD3C5D" w:rsidP="00FD3C5D">
            <w:pPr>
              <w:spacing w:line="180" w:lineRule="atLeast"/>
              <w:jc w:val="center"/>
              <w:rPr>
                <w:rFonts w:asciiTheme="minorHAnsi" w:hAnsiTheme="minorHAnsi" w:cstheme="minorHAnsi"/>
                <w:sz w:val="14"/>
                <w:szCs w:val="14"/>
              </w:rPr>
            </w:pPr>
            <w:r>
              <w:rPr>
                <w:rFonts w:asciiTheme="minorHAnsi" w:hAnsiTheme="minorHAnsi" w:cstheme="minorHAnsi"/>
                <w:sz w:val="14"/>
                <w:szCs w:val="14"/>
              </w:rPr>
              <w:t>$34,922</w:t>
            </w:r>
          </w:p>
        </w:tc>
      </w:tr>
    </w:tbl>
    <w:p w14:paraId="5BC662D4" w14:textId="18BF7110" w:rsidR="004D1F5A" w:rsidRDefault="004D1F5A" w:rsidP="004D1F5A">
      <w:r>
        <w:t>The SDA amount i</w:t>
      </w:r>
      <w:r w:rsidR="004420D1">
        <w:t>s</w:t>
      </w:r>
      <w:r>
        <w:t xml:space="preserve"> in addition to the rent paid by </w:t>
      </w:r>
      <w:r w:rsidR="00601689">
        <w:t>residents</w:t>
      </w:r>
      <w:r>
        <w:t xml:space="preserve"> in these dwellings. </w:t>
      </w:r>
      <w:r w:rsidR="00601689">
        <w:t>I</w:t>
      </w:r>
      <w:r w:rsidR="00C51096">
        <w:t>n</w:t>
      </w:r>
      <w:r w:rsidR="00601689">
        <w:t xml:space="preserve"> the base case where all residents are </w:t>
      </w:r>
      <w:r w:rsidR="00BB6E62">
        <w:t>SDA-eligible</w:t>
      </w:r>
      <w:r w:rsidR="00C51096">
        <w:t xml:space="preserve"> participants, t</w:t>
      </w:r>
      <w:r>
        <w:t>he total annual revenue per dwelling (with sprinklers) varies from $37,870 for a 1-bedroom Improved Liveability Townhouse to $228,521 for a 5-bedroom High Physical Support House</w:t>
      </w:r>
      <w:r w:rsidR="000B28BB">
        <w:t xml:space="preserve"> with OOA</w:t>
      </w:r>
      <w:r>
        <w:t>.</w:t>
      </w:r>
    </w:p>
    <w:p w14:paraId="2DF56C49" w14:textId="7E9E66FE" w:rsidR="00FD3C5D" w:rsidRDefault="008F29B7" w:rsidP="00FA12C8">
      <w:pPr>
        <w:pStyle w:val="Heading2"/>
      </w:pPr>
      <w:bookmarkStart w:id="12" w:name="_Toc116293074"/>
      <w:r>
        <w:t>Existing Stock</w:t>
      </w:r>
      <w:bookmarkEnd w:id="12"/>
    </w:p>
    <w:p w14:paraId="5EA68D1E" w14:textId="03978BD5" w:rsidR="0016121F" w:rsidRDefault="0016121F" w:rsidP="0016121F">
      <w:r>
        <w:t xml:space="preserve">For </w:t>
      </w:r>
      <w:r w:rsidR="008F29B7">
        <w:t>Existing Stock</w:t>
      </w:r>
      <w:r>
        <w:t xml:space="preserve"> there are 194 different combinations of these factors for which price limits have been determined. As well as the 172 combinations in </w:t>
      </w:r>
      <w:r w:rsidR="002055AE" w:rsidRPr="003C73BE">
        <w:fldChar w:fldCharType="begin"/>
      </w:r>
      <w:r w:rsidR="002055AE" w:rsidRPr="003C73BE">
        <w:instrText xml:space="preserve"> REF _Ref113971209 \h </w:instrText>
      </w:r>
      <w:r w:rsidR="00023B0E">
        <w:rPr>
          <w:b/>
        </w:rPr>
        <w:instrText xml:space="preserve"> \* MERGEFORMAT </w:instrText>
      </w:r>
      <w:r w:rsidR="002055AE" w:rsidRPr="003C73BE">
        <w:fldChar w:fldCharType="separate"/>
      </w:r>
      <w:r w:rsidR="00765987" w:rsidRPr="00392B76">
        <w:t xml:space="preserve">Table </w:t>
      </w:r>
      <w:r w:rsidR="00765987">
        <w:rPr>
          <w:noProof/>
        </w:rPr>
        <w:t>1</w:t>
      </w:r>
      <w:r w:rsidR="002055AE" w:rsidRPr="003C73BE">
        <w:fldChar w:fldCharType="end"/>
      </w:r>
      <w:r w:rsidR="002055AE">
        <w:t xml:space="preserve"> </w:t>
      </w:r>
      <w:r>
        <w:t>above, there are also 22 combinations for Basic Design Category dwellings.</w:t>
      </w:r>
    </w:p>
    <w:p w14:paraId="5C2801F8" w14:textId="32FF71BC" w:rsidR="00FD3C5D" w:rsidRDefault="00FD3C5D" w:rsidP="00FD3C5D">
      <w:r>
        <w:t xml:space="preserve">The Annual Base Prices for </w:t>
      </w:r>
      <w:r w:rsidR="008F29B7">
        <w:t>Existing Stock</w:t>
      </w:r>
      <w:r>
        <w:t xml:space="preserve"> (without sprinklers) in 202</w:t>
      </w:r>
      <w:r w:rsidR="003F0E3B">
        <w:t>2</w:t>
      </w:r>
      <w:r>
        <w:t>-2</w:t>
      </w:r>
      <w:r w:rsidR="003F0E3B">
        <w:t>3</w:t>
      </w:r>
      <w:r>
        <w:t xml:space="preserve"> are set out in</w:t>
      </w:r>
      <w:r w:rsidR="004420D1" w:rsidRPr="004420D1">
        <w:t xml:space="preserve"> </w:t>
      </w:r>
      <w:r w:rsidR="004420D1">
        <w:t xml:space="preserve">the </w:t>
      </w:r>
      <w:hyperlink r:id="rId36" w:history="1">
        <w:hyperlink r:id="rId37" w:history="1">
          <w:r w:rsidR="00EE1371" w:rsidRPr="00DE28CF">
            <w:rPr>
              <w:rStyle w:val="Hyperlink"/>
              <w:i/>
              <w:iCs/>
              <w:szCs w:val="22"/>
            </w:rPr>
            <w:t>NDIS Pricing Arrangements for Specialist Disability Accommodation 2023-23</w:t>
          </w:r>
        </w:hyperlink>
      </w:hyperlink>
      <w:r w:rsidR="004420D1">
        <w:t xml:space="preserve">. </w:t>
      </w:r>
      <w:r>
        <w:t>They vary from $</w:t>
      </w:r>
      <w:r w:rsidR="004420D1">
        <w:t xml:space="preserve">5,048 </w:t>
      </w:r>
      <w:r>
        <w:t xml:space="preserve">per participant per annum </w:t>
      </w:r>
      <w:r w:rsidR="002055AE">
        <w:t>for</w:t>
      </w:r>
      <w:r>
        <w:t xml:space="preserve"> a </w:t>
      </w:r>
      <w:r w:rsidR="004420D1">
        <w:t>5</w:t>
      </w:r>
      <w:r>
        <w:t xml:space="preserve">-bedroom </w:t>
      </w:r>
      <w:r w:rsidR="004420D1">
        <w:t xml:space="preserve">Basic </w:t>
      </w:r>
      <w:r w:rsidR="00601689">
        <w:t>Group Home</w:t>
      </w:r>
      <w:r w:rsidR="004420D1">
        <w:t xml:space="preserve"> </w:t>
      </w:r>
      <w:r>
        <w:t>to $</w:t>
      </w:r>
      <w:r w:rsidR="004420D1">
        <w:t>88,369</w:t>
      </w:r>
      <w:r>
        <w:t xml:space="preserve"> per participant per annum </w:t>
      </w:r>
      <w:r w:rsidR="002055AE">
        <w:t>for</w:t>
      </w:r>
      <w:r>
        <w:t xml:space="preserve"> a 2</w:t>
      </w:r>
      <w:r w:rsidR="003C73BE">
        <w:noBreakHyphen/>
      </w:r>
      <w:r>
        <w:t xml:space="preserve">bedroom High Physical Support Apartment with a single participant. </w:t>
      </w:r>
    </w:p>
    <w:p w14:paraId="05E063EF" w14:textId="2435597F" w:rsidR="00FD3C5D" w:rsidRDefault="00FD3C5D" w:rsidP="00FD3C5D">
      <w:r>
        <w:t xml:space="preserve">If the </w:t>
      </w:r>
      <w:r w:rsidR="008F29B7">
        <w:t>Existing Stock</w:t>
      </w:r>
      <w:r>
        <w:t xml:space="preserve"> includes sprinklers</w:t>
      </w:r>
      <w:r w:rsidR="002055AE">
        <w:t>,</w:t>
      </w:r>
      <w:r>
        <w:t xml:space="preserve"> then the amounts are increased by 1.2% for Apartments and 1.9% for all other Building Types.</w:t>
      </w:r>
    </w:p>
    <w:p w14:paraId="60871689" w14:textId="75A67278" w:rsidR="004420D1" w:rsidRDefault="004420D1" w:rsidP="004420D1">
      <w:r>
        <w:t xml:space="preserve">The SDA amount is in addition to the rent paid by participants in these dwellings. </w:t>
      </w:r>
      <w:r w:rsidR="00C51096">
        <w:t xml:space="preserve">In the base case where all residents are </w:t>
      </w:r>
      <w:r w:rsidR="00BB6E62">
        <w:t>SDA-eligible</w:t>
      </w:r>
      <w:r w:rsidR="00C51096">
        <w:t xml:space="preserve"> participants, the </w:t>
      </w:r>
      <w:r>
        <w:t xml:space="preserve">total annual revenue per </w:t>
      </w:r>
      <w:r w:rsidR="008F29B7">
        <w:t xml:space="preserve">Existing </w:t>
      </w:r>
      <w:r w:rsidR="008F29B7">
        <w:lastRenderedPageBreak/>
        <w:t>Stock</w:t>
      </w:r>
      <w:r>
        <w:t xml:space="preserve"> dwelling (with sprinklers) varies from $21,226 for a 1</w:t>
      </w:r>
      <w:r w:rsidR="003C73BE">
        <w:noBreakHyphen/>
      </w:r>
      <w:r>
        <w:t xml:space="preserve">bedroom Improved Liveability Townhouse to $145,804 for a 5-bedroom High Physical Support </w:t>
      </w:r>
      <w:r w:rsidR="00601689">
        <w:t>Group Home</w:t>
      </w:r>
      <w:r w:rsidR="000B28BB">
        <w:t xml:space="preserve"> with OOA</w:t>
      </w:r>
      <w:r>
        <w:t>.</w:t>
      </w:r>
    </w:p>
    <w:p w14:paraId="40F2F9B1" w14:textId="1D2F8883" w:rsidR="00FD3C5D" w:rsidRDefault="004420D1" w:rsidP="0016121F">
      <w:r>
        <w:t xml:space="preserve">On average the total revenue from </w:t>
      </w:r>
      <w:r w:rsidR="008F29B7">
        <w:t>Existing Stock</w:t>
      </w:r>
      <w:r w:rsidR="000B28BB">
        <w:t xml:space="preserve"> with sprinklers </w:t>
      </w:r>
      <w:r>
        <w:t xml:space="preserve">is 61.6% of the total revenue from equivalent New Builds. This percentage varies from </w:t>
      </w:r>
      <w:r w:rsidR="000B28BB">
        <w:t>48.0% for a 2-bedroom Improved Liveability House to 77.4% for a 3-bedroom High Physical Support Apartment without OOA for two participants.</w:t>
      </w:r>
    </w:p>
    <w:p w14:paraId="6DAC5D76" w14:textId="088A7C32" w:rsidR="000B28BB" w:rsidRDefault="000B28BB" w:rsidP="00FA12C8">
      <w:pPr>
        <w:pStyle w:val="Heading2"/>
      </w:pPr>
      <w:bookmarkStart w:id="13" w:name="_Toc116293075"/>
      <w:r>
        <w:t>Legacy Stock</w:t>
      </w:r>
      <w:bookmarkEnd w:id="13"/>
    </w:p>
    <w:p w14:paraId="5F08BBF5" w14:textId="1750634A" w:rsidR="00B356FD" w:rsidRDefault="0016121F" w:rsidP="00B356FD">
      <w:r w:rsidRPr="001E1DF5">
        <w:t xml:space="preserve">For Legacy Stock, there are five design categories, with the price limit varying by the number of bedrooms in the </w:t>
      </w:r>
      <w:r w:rsidR="005F132E">
        <w:t>d</w:t>
      </w:r>
      <w:r w:rsidRPr="001E1DF5">
        <w:t>welling and by the presence of OOA</w:t>
      </w:r>
      <w:r w:rsidR="00023B0E">
        <w:t>,</w:t>
      </w:r>
      <w:r w:rsidRPr="001E1DF5">
        <w:t xml:space="preserve"> but not by the Building Type of the </w:t>
      </w:r>
      <w:r w:rsidR="005F132E">
        <w:t>d</w:t>
      </w:r>
      <w:r w:rsidRPr="001E1DF5">
        <w:t>welling.</w:t>
      </w:r>
      <w:r w:rsidR="00D30617">
        <w:t xml:space="preserve"> </w:t>
      </w:r>
      <w:r w:rsidR="00B356FD">
        <w:t>The Annual Base Prices for Legacy Stock</w:t>
      </w:r>
      <w:r w:rsidR="00580E15">
        <w:t xml:space="preserve"> with 6 to 10 bedrooms</w:t>
      </w:r>
      <w:r w:rsidR="00B356FD">
        <w:t xml:space="preserve"> (without sprinklers) in </w:t>
      </w:r>
      <w:r w:rsidR="00601689">
        <w:t>2022-23</w:t>
      </w:r>
      <w:r w:rsidR="00B356FD">
        <w:t xml:space="preserve"> are set out in </w:t>
      </w:r>
      <w:r w:rsidR="00B356FD" w:rsidRPr="003C73BE">
        <w:fldChar w:fldCharType="begin"/>
      </w:r>
      <w:r w:rsidR="00B356FD" w:rsidRPr="003C73BE">
        <w:instrText xml:space="preserve"> REF _Ref113886517 \h  \* MERGEFORMAT </w:instrText>
      </w:r>
      <w:r w:rsidR="00B356FD" w:rsidRPr="003C73BE">
        <w:fldChar w:fldCharType="separate"/>
      </w:r>
      <w:r w:rsidR="00765987" w:rsidRPr="00113C86">
        <w:t xml:space="preserve">Table </w:t>
      </w:r>
      <w:r w:rsidR="00765987">
        <w:t>3</w:t>
      </w:r>
      <w:r w:rsidR="00B356FD" w:rsidRPr="003C73BE">
        <w:fldChar w:fldCharType="end"/>
      </w:r>
      <w:r w:rsidR="00B356FD">
        <w:t>.</w:t>
      </w:r>
      <w:r w:rsidR="00580E15">
        <w:t xml:space="preserve"> The </w:t>
      </w:r>
      <w:r w:rsidR="00601689">
        <w:t>2022-23</w:t>
      </w:r>
      <w:r w:rsidR="00580E15">
        <w:t xml:space="preserve"> Annual Base Prices for Legacy Stock with 11 or more bedrooms can be found in </w:t>
      </w:r>
      <w:r w:rsidR="00580E15" w:rsidRPr="003C73BE">
        <w:t>Appendix D</w:t>
      </w:r>
      <w:r w:rsidR="00580E15">
        <w:t xml:space="preserve"> of the </w:t>
      </w:r>
      <w:hyperlink r:id="rId38" w:history="1">
        <w:r w:rsidR="00580E15" w:rsidRPr="00BB394C">
          <w:rPr>
            <w:rStyle w:val="Hyperlink"/>
            <w:i/>
            <w:iCs/>
          </w:rPr>
          <w:t>SDA Pricing Arrangements and Price Limits</w:t>
        </w:r>
      </w:hyperlink>
      <w:r w:rsidR="00580E15">
        <w:t>.</w:t>
      </w:r>
    </w:p>
    <w:p w14:paraId="29B87E96" w14:textId="4CCFC2C7" w:rsidR="00B356FD" w:rsidRDefault="00B356FD" w:rsidP="00B356FD">
      <w:pPr>
        <w:pStyle w:val="Caption"/>
        <w:spacing w:before="120"/>
      </w:pPr>
      <w:bookmarkStart w:id="14" w:name="_Ref113886517"/>
      <w:r w:rsidRPr="00113C86">
        <w:t xml:space="preserve">Table </w:t>
      </w:r>
      <w:r w:rsidR="0095150D">
        <w:fldChar w:fldCharType="begin"/>
      </w:r>
      <w:r w:rsidR="0095150D">
        <w:instrText xml:space="preserve"> SEQ Table \* ARABIC </w:instrText>
      </w:r>
      <w:r w:rsidR="0095150D">
        <w:fldChar w:fldCharType="separate"/>
      </w:r>
      <w:r w:rsidR="00765987">
        <w:rPr>
          <w:noProof/>
        </w:rPr>
        <w:t>3</w:t>
      </w:r>
      <w:r w:rsidR="0095150D">
        <w:rPr>
          <w:noProof/>
        </w:rPr>
        <w:fldChar w:fldCharType="end"/>
      </w:r>
      <w:bookmarkEnd w:id="14"/>
      <w:r w:rsidRPr="00113C86">
        <w:t xml:space="preserve">: Annual Base Price per </w:t>
      </w:r>
      <w:r w:rsidR="00BB6E62">
        <w:t>SDA-eligible</w:t>
      </w:r>
      <w:r w:rsidR="00C51096">
        <w:t xml:space="preserve"> </w:t>
      </w:r>
      <w:r w:rsidRPr="00113C86">
        <w:t xml:space="preserve">Participant for </w:t>
      </w:r>
      <w:r>
        <w:t>Legacy stock</w:t>
      </w:r>
      <w:r w:rsidRPr="00113C86">
        <w:t xml:space="preserve"> ($2022-23)</w:t>
      </w:r>
    </w:p>
    <w:tbl>
      <w:tblPr>
        <w:tblStyle w:val="GridTable4"/>
        <w:tblW w:w="5000" w:type="pct"/>
        <w:tblLayout w:type="fixed"/>
        <w:tblLook w:val="0420" w:firstRow="1" w:lastRow="0" w:firstColumn="0" w:lastColumn="0" w:noHBand="0" w:noVBand="1"/>
      </w:tblPr>
      <w:tblGrid>
        <w:gridCol w:w="1465"/>
        <w:gridCol w:w="839"/>
        <w:gridCol w:w="839"/>
        <w:gridCol w:w="839"/>
        <w:gridCol w:w="839"/>
        <w:gridCol w:w="839"/>
        <w:gridCol w:w="839"/>
        <w:gridCol w:w="839"/>
        <w:gridCol w:w="839"/>
        <w:gridCol w:w="840"/>
      </w:tblGrid>
      <w:tr w:rsidR="00B356FD" w:rsidRPr="004A30E1" w14:paraId="574B4169" w14:textId="77777777" w:rsidTr="00B356FD">
        <w:trPr>
          <w:cnfStyle w:val="100000000000" w:firstRow="1" w:lastRow="0" w:firstColumn="0" w:lastColumn="0" w:oddVBand="0" w:evenVBand="0" w:oddHBand="0" w:evenHBand="0" w:firstRowFirstColumn="0" w:firstRowLastColumn="0" w:lastRowFirstColumn="0" w:lastRowLastColumn="0"/>
          <w:trHeight w:val="334"/>
          <w:tblHeader/>
        </w:trPr>
        <w:tc>
          <w:tcPr>
            <w:tcW w:w="812" w:type="pct"/>
            <w:noWrap/>
          </w:tcPr>
          <w:p w14:paraId="2586A39E" w14:textId="77777777" w:rsidR="00B356FD" w:rsidRPr="004A30E1" w:rsidRDefault="00B356FD" w:rsidP="00B356FD">
            <w:pPr>
              <w:spacing w:line="180" w:lineRule="atLeast"/>
              <w:rPr>
                <w:rFonts w:asciiTheme="minorHAnsi" w:eastAsia="Times New Roman" w:hAnsiTheme="minorHAnsi" w:cstheme="minorHAnsi"/>
                <w:sz w:val="14"/>
                <w:szCs w:val="14"/>
                <w:lang w:eastAsia="en-AU"/>
              </w:rPr>
            </w:pPr>
          </w:p>
        </w:tc>
        <w:tc>
          <w:tcPr>
            <w:tcW w:w="465" w:type="pct"/>
            <w:noWrap/>
            <w:vAlign w:val="center"/>
          </w:tcPr>
          <w:p w14:paraId="393F99D3" w14:textId="6F99F6BE"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Pr>
                <w:rFonts w:asciiTheme="minorHAnsi" w:eastAsia="Times New Roman" w:hAnsiTheme="minorHAnsi" w:cstheme="minorHAnsi"/>
                <w:sz w:val="14"/>
                <w:szCs w:val="14"/>
                <w:lang w:eastAsia="en-AU"/>
              </w:rPr>
              <w:t>Basic</w:t>
            </w:r>
          </w:p>
        </w:tc>
        <w:tc>
          <w:tcPr>
            <w:tcW w:w="930" w:type="pct"/>
            <w:gridSpan w:val="2"/>
            <w:noWrap/>
            <w:vAlign w:val="center"/>
          </w:tcPr>
          <w:p w14:paraId="1F29ECE9" w14:textId="2C5BA2C4"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Improved Liveability</w:t>
            </w:r>
          </w:p>
        </w:tc>
        <w:tc>
          <w:tcPr>
            <w:tcW w:w="930" w:type="pct"/>
            <w:gridSpan w:val="2"/>
            <w:noWrap/>
            <w:vAlign w:val="center"/>
          </w:tcPr>
          <w:p w14:paraId="0BB04C2C" w14:textId="2D56AABA"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Fully Accessible</w:t>
            </w:r>
          </w:p>
        </w:tc>
        <w:tc>
          <w:tcPr>
            <w:tcW w:w="930" w:type="pct"/>
            <w:gridSpan w:val="2"/>
            <w:noWrap/>
            <w:vAlign w:val="center"/>
          </w:tcPr>
          <w:p w14:paraId="55EA6123" w14:textId="6AA4D038"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Pr>
                <w:rFonts w:asciiTheme="minorHAnsi" w:eastAsia="Times New Roman" w:hAnsiTheme="minorHAnsi" w:cstheme="minorHAnsi"/>
                <w:sz w:val="14"/>
                <w:szCs w:val="14"/>
                <w:lang w:eastAsia="en-AU"/>
              </w:rPr>
              <w:t>Robust</w:t>
            </w:r>
          </w:p>
        </w:tc>
        <w:tc>
          <w:tcPr>
            <w:tcW w:w="931" w:type="pct"/>
            <w:gridSpan w:val="2"/>
            <w:noWrap/>
            <w:vAlign w:val="center"/>
          </w:tcPr>
          <w:p w14:paraId="7D7D9F0A" w14:textId="68D48C28"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High Physical Support</w:t>
            </w:r>
          </w:p>
        </w:tc>
      </w:tr>
      <w:tr w:rsidR="00B356FD" w:rsidRPr="004A30E1" w14:paraId="5E2DAFF1" w14:textId="77777777" w:rsidTr="00B356FD">
        <w:trPr>
          <w:cnfStyle w:val="100000000000" w:firstRow="1" w:lastRow="0" w:firstColumn="0" w:lastColumn="0" w:oddVBand="0" w:evenVBand="0" w:oddHBand="0" w:evenHBand="0" w:firstRowFirstColumn="0" w:firstRowLastColumn="0" w:lastRowFirstColumn="0" w:lastRowLastColumn="0"/>
          <w:trHeight w:val="334"/>
          <w:tblHeader/>
        </w:trPr>
        <w:tc>
          <w:tcPr>
            <w:tcW w:w="812" w:type="pct"/>
            <w:noWrap/>
            <w:hideMark/>
          </w:tcPr>
          <w:p w14:paraId="37C1683B" w14:textId="083E160A" w:rsidR="00B356FD" w:rsidRPr="004A30E1" w:rsidRDefault="00B356FD" w:rsidP="00B356FD">
            <w:pPr>
              <w:spacing w:line="180" w:lineRule="atLeast"/>
              <w:rPr>
                <w:rFonts w:asciiTheme="minorHAnsi" w:eastAsia="Times New Roman" w:hAnsiTheme="minorHAnsi" w:cstheme="minorHAnsi"/>
                <w:color w:val="000000"/>
                <w:sz w:val="14"/>
                <w:szCs w:val="14"/>
                <w:lang w:eastAsia="en-AU"/>
              </w:rPr>
            </w:pPr>
            <w:r>
              <w:rPr>
                <w:rFonts w:asciiTheme="minorHAnsi" w:eastAsia="Times New Roman" w:hAnsiTheme="minorHAnsi" w:cstheme="minorHAnsi"/>
                <w:sz w:val="14"/>
                <w:szCs w:val="14"/>
                <w:lang w:eastAsia="en-AU"/>
              </w:rPr>
              <w:t>Number of Bedrooms</w:t>
            </w:r>
          </w:p>
        </w:tc>
        <w:tc>
          <w:tcPr>
            <w:tcW w:w="465" w:type="pct"/>
            <w:noWrap/>
            <w:vAlign w:val="center"/>
            <w:hideMark/>
          </w:tcPr>
          <w:p w14:paraId="11C86F89" w14:textId="77777777"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65" w:type="pct"/>
            <w:noWrap/>
            <w:vAlign w:val="center"/>
            <w:hideMark/>
          </w:tcPr>
          <w:p w14:paraId="516B94EA" w14:textId="5F254DAD"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65" w:type="pct"/>
            <w:noWrap/>
            <w:vAlign w:val="center"/>
            <w:hideMark/>
          </w:tcPr>
          <w:p w14:paraId="273CAD0D" w14:textId="6E2D6D4B"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c>
          <w:tcPr>
            <w:tcW w:w="465" w:type="pct"/>
            <w:noWrap/>
            <w:vAlign w:val="center"/>
            <w:hideMark/>
          </w:tcPr>
          <w:p w14:paraId="5DC78F9B" w14:textId="6646B7C0"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65" w:type="pct"/>
            <w:noWrap/>
            <w:vAlign w:val="center"/>
            <w:hideMark/>
          </w:tcPr>
          <w:p w14:paraId="4BDD1CE0" w14:textId="37B58864"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c>
          <w:tcPr>
            <w:tcW w:w="465" w:type="pct"/>
            <w:noWrap/>
            <w:vAlign w:val="center"/>
            <w:hideMark/>
          </w:tcPr>
          <w:p w14:paraId="7CA9A8F8" w14:textId="511A66D6"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65" w:type="pct"/>
            <w:noWrap/>
            <w:vAlign w:val="center"/>
            <w:hideMark/>
          </w:tcPr>
          <w:p w14:paraId="13C42C01" w14:textId="6A10FE4A"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c>
          <w:tcPr>
            <w:tcW w:w="465" w:type="pct"/>
            <w:noWrap/>
            <w:vAlign w:val="center"/>
            <w:hideMark/>
          </w:tcPr>
          <w:p w14:paraId="67D8EA38" w14:textId="5A76EDE8"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No OOA</w:t>
            </w:r>
          </w:p>
        </w:tc>
        <w:tc>
          <w:tcPr>
            <w:tcW w:w="466" w:type="pct"/>
            <w:noWrap/>
            <w:vAlign w:val="center"/>
            <w:hideMark/>
          </w:tcPr>
          <w:p w14:paraId="079E479B" w14:textId="77777777" w:rsidR="00B356FD" w:rsidRPr="004A30E1" w:rsidRDefault="00B356FD" w:rsidP="00B356FD">
            <w:pPr>
              <w:spacing w:line="180" w:lineRule="atLeast"/>
              <w:jc w:val="center"/>
              <w:rPr>
                <w:rFonts w:asciiTheme="minorHAnsi" w:eastAsia="Times New Roman" w:hAnsiTheme="minorHAnsi" w:cstheme="minorHAnsi"/>
                <w:sz w:val="14"/>
                <w:szCs w:val="14"/>
                <w:lang w:eastAsia="en-AU"/>
              </w:rPr>
            </w:pPr>
            <w:r w:rsidRPr="004A30E1">
              <w:rPr>
                <w:rFonts w:asciiTheme="minorHAnsi" w:eastAsia="Times New Roman" w:hAnsiTheme="minorHAnsi" w:cstheme="minorHAnsi"/>
                <w:sz w:val="14"/>
                <w:szCs w:val="14"/>
                <w:lang w:eastAsia="en-AU"/>
              </w:rPr>
              <w:t>With OOA</w:t>
            </w:r>
          </w:p>
        </w:tc>
      </w:tr>
      <w:tr w:rsidR="00B356FD" w:rsidRPr="004A30E1" w14:paraId="7F0141CE" w14:textId="77777777" w:rsidTr="00B356FD">
        <w:trPr>
          <w:cnfStyle w:val="000000100000" w:firstRow="0" w:lastRow="0" w:firstColumn="0" w:lastColumn="0" w:oddVBand="0" w:evenVBand="0" w:oddHBand="1" w:evenHBand="0" w:firstRowFirstColumn="0" w:firstRowLastColumn="0" w:lastRowFirstColumn="0" w:lastRowLastColumn="0"/>
          <w:trHeight w:val="334"/>
        </w:trPr>
        <w:tc>
          <w:tcPr>
            <w:tcW w:w="812" w:type="pct"/>
            <w:noWrap/>
            <w:vAlign w:val="center"/>
          </w:tcPr>
          <w:p w14:paraId="19C397F4" w14:textId="5E41C664" w:rsidR="00B356FD" w:rsidRPr="004A30E1" w:rsidRDefault="00B356FD" w:rsidP="00B356FD">
            <w:pPr>
              <w:spacing w:line="180" w:lineRule="atLeast"/>
              <w:rPr>
                <w:rFonts w:asciiTheme="minorHAnsi" w:eastAsia="Times New Roman" w:hAnsiTheme="minorHAnsi" w:cstheme="minorHAnsi"/>
                <w:color w:val="000000"/>
                <w:sz w:val="14"/>
                <w:szCs w:val="14"/>
                <w:lang w:eastAsia="en-AU"/>
              </w:rPr>
            </w:pPr>
            <w:r>
              <w:rPr>
                <w:rFonts w:asciiTheme="minorHAnsi" w:eastAsia="Times New Roman" w:hAnsiTheme="minorHAnsi" w:cstheme="minorHAnsi"/>
                <w:color w:val="000000"/>
                <w:sz w:val="14"/>
                <w:szCs w:val="14"/>
                <w:lang w:eastAsia="en-AU"/>
              </w:rPr>
              <w:t>6 bedrooms</w:t>
            </w:r>
          </w:p>
        </w:tc>
        <w:tc>
          <w:tcPr>
            <w:tcW w:w="465" w:type="pct"/>
            <w:noWrap/>
            <w:vAlign w:val="center"/>
          </w:tcPr>
          <w:p w14:paraId="7FA93897" w14:textId="6DC3895D"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$3,861</w:t>
            </w:r>
          </w:p>
        </w:tc>
        <w:tc>
          <w:tcPr>
            <w:tcW w:w="465" w:type="pct"/>
            <w:noWrap/>
            <w:vAlign w:val="center"/>
          </w:tcPr>
          <w:p w14:paraId="19ECE79A" w14:textId="32442090"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$4,011</w:t>
            </w:r>
          </w:p>
        </w:tc>
        <w:tc>
          <w:tcPr>
            <w:tcW w:w="465" w:type="pct"/>
            <w:noWrap/>
            <w:vAlign w:val="center"/>
          </w:tcPr>
          <w:p w14:paraId="307DC468" w14:textId="32769457"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$4,451</w:t>
            </w:r>
          </w:p>
        </w:tc>
        <w:tc>
          <w:tcPr>
            <w:tcW w:w="465" w:type="pct"/>
            <w:noWrap/>
            <w:vAlign w:val="center"/>
          </w:tcPr>
          <w:p w14:paraId="63E48BDE" w14:textId="5E48781B"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$7,734</w:t>
            </w:r>
          </w:p>
        </w:tc>
        <w:tc>
          <w:tcPr>
            <w:tcW w:w="465" w:type="pct"/>
            <w:noWrap/>
            <w:vAlign w:val="center"/>
          </w:tcPr>
          <w:p w14:paraId="51D6A56E" w14:textId="050C7538"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$8,198</w:t>
            </w:r>
          </w:p>
        </w:tc>
        <w:tc>
          <w:tcPr>
            <w:tcW w:w="465" w:type="pct"/>
            <w:noWrap/>
            <w:vAlign w:val="center"/>
          </w:tcPr>
          <w:p w14:paraId="32954860" w14:textId="053ADB0E"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$10,087</w:t>
            </w:r>
          </w:p>
        </w:tc>
        <w:tc>
          <w:tcPr>
            <w:tcW w:w="465" w:type="pct"/>
            <w:noWrap/>
            <w:vAlign w:val="center"/>
          </w:tcPr>
          <w:p w14:paraId="2406556E" w14:textId="3DF254F8"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$10,646</w:t>
            </w:r>
          </w:p>
        </w:tc>
        <w:tc>
          <w:tcPr>
            <w:tcW w:w="465" w:type="pct"/>
            <w:noWrap/>
            <w:vAlign w:val="center"/>
          </w:tcPr>
          <w:p w14:paraId="22082C89" w14:textId="14B2805E"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$15,773</w:t>
            </w:r>
          </w:p>
        </w:tc>
        <w:tc>
          <w:tcPr>
            <w:tcW w:w="466" w:type="pct"/>
            <w:noWrap/>
            <w:vAlign w:val="center"/>
          </w:tcPr>
          <w:p w14:paraId="2EA159DD" w14:textId="78E5F391"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$16,411</w:t>
            </w:r>
          </w:p>
        </w:tc>
      </w:tr>
      <w:tr w:rsidR="00B356FD" w:rsidRPr="004A30E1" w14:paraId="2A83EBBB" w14:textId="77777777" w:rsidTr="00B356FD">
        <w:trPr>
          <w:trHeight w:val="334"/>
        </w:trPr>
        <w:tc>
          <w:tcPr>
            <w:tcW w:w="812" w:type="pct"/>
            <w:noWrap/>
            <w:vAlign w:val="center"/>
            <w:hideMark/>
          </w:tcPr>
          <w:p w14:paraId="6E4689D3" w14:textId="3D320397" w:rsidR="00B356FD" w:rsidRPr="004A30E1" w:rsidRDefault="00B356FD" w:rsidP="00B356FD">
            <w:pPr>
              <w:spacing w:line="180" w:lineRule="atLeast"/>
              <w:rPr>
                <w:rFonts w:asciiTheme="minorHAnsi" w:eastAsia="Times New Roman" w:hAnsiTheme="minorHAnsi" w:cstheme="minorHAnsi"/>
                <w:color w:val="000000"/>
                <w:sz w:val="14"/>
                <w:szCs w:val="14"/>
                <w:lang w:eastAsia="en-AU"/>
              </w:rPr>
            </w:pPr>
            <w:r>
              <w:rPr>
                <w:rFonts w:asciiTheme="minorHAnsi" w:eastAsia="Times New Roman" w:hAnsiTheme="minorHAnsi" w:cstheme="minorHAnsi"/>
                <w:color w:val="000000"/>
                <w:sz w:val="14"/>
                <w:szCs w:val="14"/>
                <w:lang w:eastAsia="en-AU"/>
              </w:rPr>
              <w:t>7 bedrooms</w:t>
            </w:r>
          </w:p>
        </w:tc>
        <w:tc>
          <w:tcPr>
            <w:tcW w:w="465" w:type="pct"/>
            <w:noWrap/>
            <w:vAlign w:val="center"/>
          </w:tcPr>
          <w:p w14:paraId="23224596" w14:textId="1AB179A1"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$2,904</w:t>
            </w:r>
          </w:p>
        </w:tc>
        <w:tc>
          <w:tcPr>
            <w:tcW w:w="465" w:type="pct"/>
            <w:noWrap/>
            <w:vAlign w:val="center"/>
          </w:tcPr>
          <w:p w14:paraId="74D44E8D" w14:textId="31F618E1"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$3,046</w:t>
            </w:r>
          </w:p>
        </w:tc>
        <w:tc>
          <w:tcPr>
            <w:tcW w:w="465" w:type="pct"/>
            <w:noWrap/>
            <w:vAlign w:val="center"/>
          </w:tcPr>
          <w:p w14:paraId="0FD666DE" w14:textId="32151786"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$3,455</w:t>
            </w:r>
          </w:p>
        </w:tc>
        <w:tc>
          <w:tcPr>
            <w:tcW w:w="465" w:type="pct"/>
            <w:noWrap/>
            <w:vAlign w:val="center"/>
          </w:tcPr>
          <w:p w14:paraId="2F351F00" w14:textId="639F8B65"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$6,508</w:t>
            </w:r>
          </w:p>
        </w:tc>
        <w:tc>
          <w:tcPr>
            <w:tcW w:w="465" w:type="pct"/>
            <w:noWrap/>
            <w:vAlign w:val="center"/>
          </w:tcPr>
          <w:p w14:paraId="23F3205D" w14:textId="57BB66D9"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$6,940</w:t>
            </w:r>
          </w:p>
        </w:tc>
        <w:tc>
          <w:tcPr>
            <w:tcW w:w="465" w:type="pct"/>
            <w:noWrap/>
            <w:vAlign w:val="center"/>
          </w:tcPr>
          <w:p w14:paraId="412D4FB3" w14:textId="0BD06220"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$8,698</w:t>
            </w:r>
          </w:p>
        </w:tc>
        <w:tc>
          <w:tcPr>
            <w:tcW w:w="465" w:type="pct"/>
            <w:noWrap/>
            <w:vAlign w:val="center"/>
          </w:tcPr>
          <w:p w14:paraId="02575D8C" w14:textId="54512FBA"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$9,215</w:t>
            </w:r>
          </w:p>
        </w:tc>
        <w:tc>
          <w:tcPr>
            <w:tcW w:w="465" w:type="pct"/>
            <w:noWrap/>
            <w:vAlign w:val="center"/>
          </w:tcPr>
          <w:p w14:paraId="6CAC7D54" w14:textId="49A0E50F"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$13,987</w:t>
            </w:r>
          </w:p>
        </w:tc>
        <w:tc>
          <w:tcPr>
            <w:tcW w:w="466" w:type="pct"/>
            <w:noWrap/>
            <w:vAlign w:val="center"/>
          </w:tcPr>
          <w:p w14:paraId="3050E592" w14:textId="23D3A658"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$14,579</w:t>
            </w:r>
          </w:p>
        </w:tc>
      </w:tr>
      <w:tr w:rsidR="00B356FD" w:rsidRPr="004A30E1" w14:paraId="02341664" w14:textId="77777777" w:rsidTr="00B356FD">
        <w:trPr>
          <w:cnfStyle w:val="000000100000" w:firstRow="0" w:lastRow="0" w:firstColumn="0" w:lastColumn="0" w:oddVBand="0" w:evenVBand="0" w:oddHBand="1" w:evenHBand="0" w:firstRowFirstColumn="0" w:firstRowLastColumn="0" w:lastRowFirstColumn="0" w:lastRowLastColumn="0"/>
          <w:trHeight w:val="334"/>
        </w:trPr>
        <w:tc>
          <w:tcPr>
            <w:tcW w:w="812" w:type="pct"/>
            <w:noWrap/>
            <w:vAlign w:val="center"/>
          </w:tcPr>
          <w:p w14:paraId="21F728AC" w14:textId="3A8FC812" w:rsidR="00B356FD" w:rsidRPr="004A30E1" w:rsidRDefault="00B356FD" w:rsidP="00B356FD">
            <w:pPr>
              <w:spacing w:line="180" w:lineRule="atLeast"/>
              <w:rPr>
                <w:rFonts w:asciiTheme="minorHAnsi" w:eastAsia="Times New Roman" w:hAnsiTheme="minorHAnsi" w:cstheme="minorHAnsi"/>
                <w:color w:val="000000"/>
                <w:sz w:val="14"/>
                <w:szCs w:val="14"/>
                <w:lang w:eastAsia="en-AU"/>
              </w:rPr>
            </w:pPr>
            <w:r>
              <w:rPr>
                <w:rFonts w:asciiTheme="minorHAnsi" w:hAnsiTheme="minorHAnsi" w:cstheme="minorHAnsi"/>
                <w:color w:val="000000"/>
                <w:sz w:val="14"/>
                <w:szCs w:val="14"/>
                <w:lang w:eastAsia="en-AU"/>
              </w:rPr>
              <w:t>8 bedrooms</w:t>
            </w:r>
          </w:p>
        </w:tc>
        <w:tc>
          <w:tcPr>
            <w:tcW w:w="465" w:type="pct"/>
            <w:noWrap/>
            <w:vAlign w:val="center"/>
          </w:tcPr>
          <w:p w14:paraId="21E009C1" w14:textId="0D2E37D3"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$2,126</w:t>
            </w:r>
          </w:p>
        </w:tc>
        <w:tc>
          <w:tcPr>
            <w:tcW w:w="465" w:type="pct"/>
            <w:noWrap/>
            <w:vAlign w:val="center"/>
          </w:tcPr>
          <w:p w14:paraId="2AE2FE97" w14:textId="0ED44152"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$2,256</w:t>
            </w:r>
          </w:p>
        </w:tc>
        <w:tc>
          <w:tcPr>
            <w:tcW w:w="465" w:type="pct"/>
            <w:noWrap/>
            <w:vAlign w:val="center"/>
          </w:tcPr>
          <w:p w14:paraId="614DB9A6" w14:textId="7F883DF1"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$2,641</w:t>
            </w:r>
          </w:p>
        </w:tc>
        <w:tc>
          <w:tcPr>
            <w:tcW w:w="465" w:type="pct"/>
            <w:noWrap/>
            <w:vAlign w:val="center"/>
          </w:tcPr>
          <w:p w14:paraId="7DD80A7D" w14:textId="7FF42FFF"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$5,508</w:t>
            </w:r>
          </w:p>
        </w:tc>
        <w:tc>
          <w:tcPr>
            <w:tcW w:w="465" w:type="pct"/>
            <w:noWrap/>
            <w:vAlign w:val="center"/>
          </w:tcPr>
          <w:p w14:paraId="641760E8" w14:textId="62F5C8EB"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$5,912</w:t>
            </w:r>
          </w:p>
        </w:tc>
        <w:tc>
          <w:tcPr>
            <w:tcW w:w="465" w:type="pct"/>
            <w:noWrap/>
            <w:vAlign w:val="center"/>
          </w:tcPr>
          <w:p w14:paraId="6FED9C17" w14:textId="031F7FD4"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$7,563</w:t>
            </w:r>
          </w:p>
        </w:tc>
        <w:tc>
          <w:tcPr>
            <w:tcW w:w="465" w:type="pct"/>
            <w:noWrap/>
            <w:vAlign w:val="center"/>
          </w:tcPr>
          <w:p w14:paraId="098A0935" w14:textId="6A779F76"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$8,050</w:t>
            </w:r>
          </w:p>
        </w:tc>
        <w:tc>
          <w:tcPr>
            <w:tcW w:w="465" w:type="pct"/>
            <w:noWrap/>
            <w:vAlign w:val="center"/>
          </w:tcPr>
          <w:p w14:paraId="0F8FEAA2" w14:textId="0A2D5B99"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$12,529</w:t>
            </w:r>
          </w:p>
        </w:tc>
        <w:tc>
          <w:tcPr>
            <w:tcW w:w="466" w:type="pct"/>
            <w:noWrap/>
            <w:vAlign w:val="center"/>
          </w:tcPr>
          <w:p w14:paraId="1F28FB0E" w14:textId="1F16C81B"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$13,085</w:t>
            </w:r>
          </w:p>
        </w:tc>
      </w:tr>
      <w:tr w:rsidR="00B356FD" w:rsidRPr="004A30E1" w14:paraId="4C548A8D" w14:textId="77777777" w:rsidTr="00B356FD">
        <w:trPr>
          <w:trHeight w:val="334"/>
        </w:trPr>
        <w:tc>
          <w:tcPr>
            <w:tcW w:w="812" w:type="pct"/>
            <w:noWrap/>
            <w:vAlign w:val="center"/>
          </w:tcPr>
          <w:p w14:paraId="234BA6B0" w14:textId="414E9BCE" w:rsidR="00B356FD" w:rsidRPr="004A30E1" w:rsidRDefault="00B356FD" w:rsidP="00B356FD">
            <w:pPr>
              <w:spacing w:line="180" w:lineRule="atLeast"/>
              <w:rPr>
                <w:rFonts w:asciiTheme="minorHAnsi" w:eastAsia="Times New Roman" w:hAnsiTheme="minorHAnsi" w:cstheme="minorHAnsi"/>
                <w:color w:val="000000"/>
                <w:sz w:val="14"/>
                <w:szCs w:val="14"/>
                <w:lang w:eastAsia="en-AU"/>
              </w:rPr>
            </w:pPr>
            <w:r>
              <w:rPr>
                <w:rFonts w:asciiTheme="minorHAnsi" w:eastAsia="Times New Roman" w:hAnsiTheme="minorHAnsi" w:cstheme="minorHAnsi"/>
                <w:color w:val="000000"/>
                <w:sz w:val="14"/>
                <w:szCs w:val="14"/>
                <w:lang w:eastAsia="en-AU"/>
              </w:rPr>
              <w:t>9 bedrooms</w:t>
            </w:r>
          </w:p>
        </w:tc>
        <w:tc>
          <w:tcPr>
            <w:tcW w:w="465" w:type="pct"/>
            <w:noWrap/>
            <w:vAlign w:val="center"/>
          </w:tcPr>
          <w:p w14:paraId="284675CC" w14:textId="639B78F1"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$1,484</w:t>
            </w:r>
          </w:p>
        </w:tc>
        <w:tc>
          <w:tcPr>
            <w:tcW w:w="465" w:type="pct"/>
            <w:noWrap/>
            <w:vAlign w:val="center"/>
          </w:tcPr>
          <w:p w14:paraId="3221E502" w14:textId="489CD9F1"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$1,609</w:t>
            </w:r>
          </w:p>
        </w:tc>
        <w:tc>
          <w:tcPr>
            <w:tcW w:w="465" w:type="pct"/>
            <w:noWrap/>
            <w:vAlign w:val="center"/>
          </w:tcPr>
          <w:p w14:paraId="595B45A8" w14:textId="7A0FC5C9"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$1,970</w:t>
            </w:r>
          </w:p>
        </w:tc>
        <w:tc>
          <w:tcPr>
            <w:tcW w:w="465" w:type="pct"/>
            <w:noWrap/>
            <w:vAlign w:val="center"/>
          </w:tcPr>
          <w:p w14:paraId="1D8C2642" w14:textId="55A81267"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$4,683</w:t>
            </w:r>
          </w:p>
        </w:tc>
        <w:tc>
          <w:tcPr>
            <w:tcW w:w="465" w:type="pct"/>
            <w:noWrap/>
            <w:vAlign w:val="center"/>
          </w:tcPr>
          <w:p w14:paraId="24A47EDB" w14:textId="6C173546"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$5,068</w:t>
            </w:r>
          </w:p>
        </w:tc>
        <w:tc>
          <w:tcPr>
            <w:tcW w:w="465" w:type="pct"/>
            <w:noWrap/>
            <w:vAlign w:val="center"/>
          </w:tcPr>
          <w:p w14:paraId="55A358F8" w14:textId="79CEC798"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$6,629</w:t>
            </w:r>
          </w:p>
        </w:tc>
        <w:tc>
          <w:tcPr>
            <w:tcW w:w="465" w:type="pct"/>
            <w:noWrap/>
            <w:vAlign w:val="center"/>
          </w:tcPr>
          <w:p w14:paraId="769911E2" w14:textId="0CCC095C"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$7,090</w:t>
            </w:r>
          </w:p>
        </w:tc>
        <w:tc>
          <w:tcPr>
            <w:tcW w:w="465" w:type="pct"/>
            <w:noWrap/>
            <w:vAlign w:val="center"/>
          </w:tcPr>
          <w:p w14:paraId="69500B9A" w14:textId="0A8FBAB5"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$11,327</w:t>
            </w:r>
          </w:p>
        </w:tc>
        <w:tc>
          <w:tcPr>
            <w:tcW w:w="466" w:type="pct"/>
            <w:noWrap/>
            <w:vAlign w:val="center"/>
          </w:tcPr>
          <w:p w14:paraId="3EDA0091" w14:textId="110CE2F6"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$11,853</w:t>
            </w:r>
          </w:p>
        </w:tc>
      </w:tr>
      <w:tr w:rsidR="00B356FD" w:rsidRPr="004A30E1" w14:paraId="221D573C" w14:textId="77777777" w:rsidTr="00B356FD">
        <w:trPr>
          <w:cnfStyle w:val="000000100000" w:firstRow="0" w:lastRow="0" w:firstColumn="0" w:lastColumn="0" w:oddVBand="0" w:evenVBand="0" w:oddHBand="1" w:evenHBand="0" w:firstRowFirstColumn="0" w:firstRowLastColumn="0" w:lastRowFirstColumn="0" w:lastRowLastColumn="0"/>
          <w:trHeight w:val="334"/>
        </w:trPr>
        <w:tc>
          <w:tcPr>
            <w:tcW w:w="812" w:type="pct"/>
            <w:noWrap/>
            <w:vAlign w:val="center"/>
            <w:hideMark/>
          </w:tcPr>
          <w:p w14:paraId="62540ED3" w14:textId="57E9BA3C" w:rsidR="00B356FD" w:rsidRPr="004A30E1" w:rsidRDefault="00B356FD" w:rsidP="00B356FD">
            <w:pPr>
              <w:spacing w:line="180" w:lineRule="atLeast"/>
              <w:rPr>
                <w:rFonts w:asciiTheme="minorHAnsi" w:eastAsia="Times New Roman" w:hAnsiTheme="minorHAnsi" w:cstheme="minorHAnsi"/>
                <w:color w:val="000000"/>
                <w:sz w:val="14"/>
                <w:szCs w:val="14"/>
                <w:lang w:eastAsia="en-AU"/>
              </w:rPr>
            </w:pPr>
            <w:r>
              <w:rPr>
                <w:rFonts w:asciiTheme="minorHAnsi" w:eastAsia="Times New Roman" w:hAnsiTheme="minorHAnsi" w:cstheme="minorHAnsi"/>
                <w:color w:val="000000"/>
                <w:sz w:val="14"/>
                <w:szCs w:val="14"/>
                <w:lang w:eastAsia="en-AU"/>
              </w:rPr>
              <w:t>10 bedrooms</w:t>
            </w:r>
          </w:p>
        </w:tc>
        <w:tc>
          <w:tcPr>
            <w:tcW w:w="465" w:type="pct"/>
            <w:noWrap/>
            <w:vAlign w:val="center"/>
          </w:tcPr>
          <w:p w14:paraId="4DC9990E" w14:textId="5A24620C"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$949</w:t>
            </w:r>
          </w:p>
        </w:tc>
        <w:tc>
          <w:tcPr>
            <w:tcW w:w="465" w:type="pct"/>
            <w:noWrap/>
            <w:vAlign w:val="center"/>
          </w:tcPr>
          <w:p w14:paraId="4A019736" w14:textId="5E1DC8E1"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$1,069</w:t>
            </w:r>
          </w:p>
        </w:tc>
        <w:tc>
          <w:tcPr>
            <w:tcW w:w="465" w:type="pct"/>
            <w:noWrap/>
            <w:vAlign w:val="center"/>
          </w:tcPr>
          <w:p w14:paraId="3A12C663" w14:textId="7E2D997A"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$1,416</w:t>
            </w:r>
          </w:p>
        </w:tc>
        <w:tc>
          <w:tcPr>
            <w:tcW w:w="465" w:type="pct"/>
            <w:noWrap/>
            <w:vAlign w:val="center"/>
          </w:tcPr>
          <w:p w14:paraId="7D51A0A6" w14:textId="7DF5C3BB"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$3,999</w:t>
            </w:r>
          </w:p>
        </w:tc>
        <w:tc>
          <w:tcPr>
            <w:tcW w:w="465" w:type="pct"/>
            <w:noWrap/>
            <w:vAlign w:val="center"/>
          </w:tcPr>
          <w:p w14:paraId="3F8CF498" w14:textId="615A9599"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$4,364</w:t>
            </w:r>
          </w:p>
        </w:tc>
        <w:tc>
          <w:tcPr>
            <w:tcW w:w="465" w:type="pct"/>
            <w:noWrap/>
            <w:vAlign w:val="center"/>
          </w:tcPr>
          <w:p w14:paraId="1D904177" w14:textId="4594BD11"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$5,853</w:t>
            </w:r>
          </w:p>
        </w:tc>
        <w:tc>
          <w:tcPr>
            <w:tcW w:w="465" w:type="pct"/>
            <w:noWrap/>
            <w:vAlign w:val="center"/>
          </w:tcPr>
          <w:p w14:paraId="422C2854" w14:textId="2AA83A52"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$6,290</w:t>
            </w:r>
          </w:p>
        </w:tc>
        <w:tc>
          <w:tcPr>
            <w:tcW w:w="465" w:type="pct"/>
            <w:noWrap/>
            <w:vAlign w:val="center"/>
          </w:tcPr>
          <w:p w14:paraId="3313FDE7" w14:textId="21F65A7A"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$10,329</w:t>
            </w:r>
          </w:p>
        </w:tc>
        <w:tc>
          <w:tcPr>
            <w:tcW w:w="466" w:type="pct"/>
            <w:noWrap/>
            <w:vAlign w:val="center"/>
          </w:tcPr>
          <w:p w14:paraId="2100432A" w14:textId="4341D21B" w:rsidR="00B356FD" w:rsidRPr="004A30E1" w:rsidRDefault="00B356FD" w:rsidP="00B356FD">
            <w:pPr>
              <w:spacing w:line="180" w:lineRule="atLeast"/>
              <w:jc w:val="center"/>
              <w:rPr>
                <w:rFonts w:asciiTheme="minorHAnsi" w:hAnsiTheme="minorHAnsi" w:cstheme="minorHAnsi"/>
                <w:sz w:val="14"/>
                <w:szCs w:val="14"/>
              </w:rPr>
            </w:pPr>
            <w:r w:rsidRPr="004A30E1">
              <w:rPr>
                <w:rFonts w:cs="Arial"/>
                <w:sz w:val="14"/>
                <w:szCs w:val="14"/>
              </w:rPr>
              <w:t>$10,831</w:t>
            </w:r>
          </w:p>
        </w:tc>
      </w:tr>
    </w:tbl>
    <w:p w14:paraId="4171C592" w14:textId="51896BF1" w:rsidR="00B356FD" w:rsidRDefault="00B356FD" w:rsidP="00B356FD">
      <w:r>
        <w:t xml:space="preserve">The SDA amount is in addition to the rent paid by </w:t>
      </w:r>
      <w:r w:rsidR="00601689">
        <w:t>residents</w:t>
      </w:r>
      <w:r>
        <w:t xml:space="preserve"> in these dwellings. </w:t>
      </w:r>
      <w:r w:rsidR="00C51096">
        <w:t xml:space="preserve">In the base case where all residents are </w:t>
      </w:r>
      <w:r w:rsidR="00BB6E62">
        <w:t>SDA-eligible</w:t>
      </w:r>
      <w:r w:rsidR="00C51096">
        <w:t xml:space="preserve"> participants, the </w:t>
      </w:r>
      <w:r>
        <w:t xml:space="preserve">total annual revenue per Legacy Stock dwelling </w:t>
      </w:r>
      <w:r w:rsidR="0097113C">
        <w:t xml:space="preserve">(with 6-10 bedrooms) </w:t>
      </w:r>
      <w:r>
        <w:t>varies from $</w:t>
      </w:r>
      <w:r w:rsidR="002C29DE">
        <w:t>83,878</w:t>
      </w:r>
      <w:r>
        <w:t xml:space="preserve"> for a </w:t>
      </w:r>
      <w:r w:rsidR="002C29DE">
        <w:t>6</w:t>
      </w:r>
      <w:r>
        <w:t xml:space="preserve">-bedroom </w:t>
      </w:r>
      <w:r w:rsidR="002C29DE">
        <w:t xml:space="preserve">Basic </w:t>
      </w:r>
      <w:r w:rsidR="005F132E">
        <w:t>d</w:t>
      </w:r>
      <w:r w:rsidR="002C29DE">
        <w:t xml:space="preserve">welling </w:t>
      </w:r>
      <w:r>
        <w:t>to $</w:t>
      </w:r>
      <w:r w:rsidR="002C29DE">
        <w:t>209,497</w:t>
      </w:r>
      <w:r>
        <w:t xml:space="preserve"> for a </w:t>
      </w:r>
      <w:r w:rsidR="002C29DE">
        <w:t>10</w:t>
      </w:r>
      <w:r>
        <w:t xml:space="preserve">-bedroom High Physical Support </w:t>
      </w:r>
      <w:r w:rsidR="002C29DE">
        <w:t>Legacy Stock</w:t>
      </w:r>
      <w:r>
        <w:t xml:space="preserve"> with OOA.</w:t>
      </w:r>
    </w:p>
    <w:p w14:paraId="67D3F581" w14:textId="635CBA03" w:rsidR="00D30617" w:rsidRDefault="00D30617" w:rsidP="00D30617">
      <w:r w:rsidRPr="001E1DF5">
        <w:t xml:space="preserve">For properties with 11 or more residents, </w:t>
      </w:r>
      <w:r w:rsidR="006165BA">
        <w:t>SDA</w:t>
      </w:r>
      <w:r w:rsidRPr="001E1DF5">
        <w:t xml:space="preserve"> payments will cease after the end of the immediate five</w:t>
      </w:r>
      <w:r>
        <w:t>-</w:t>
      </w:r>
      <w:r w:rsidRPr="001E1DF5">
        <w:t>year period after the property’s location transitions into the Scheme.</w:t>
      </w:r>
      <w:r>
        <w:t xml:space="preserve"> </w:t>
      </w:r>
      <w:r w:rsidRPr="001E1DF5">
        <w:t xml:space="preserve">For properties with 6 to 10 residents, </w:t>
      </w:r>
      <w:r w:rsidR="006165BA">
        <w:t>SDA</w:t>
      </w:r>
      <w:r w:rsidRPr="001E1DF5">
        <w:t xml:space="preserve"> payments will cease after the end of the immediate ten</w:t>
      </w:r>
      <w:r>
        <w:t>-</w:t>
      </w:r>
      <w:r w:rsidRPr="001E1DF5">
        <w:t>year period after the property’s location transitions into the Scheme.</w:t>
      </w:r>
    </w:p>
    <w:p w14:paraId="0B9EF40F" w14:textId="47D82A34" w:rsidR="0016121F" w:rsidRDefault="00244A13" w:rsidP="00FA12C8">
      <w:pPr>
        <w:pStyle w:val="Heading2"/>
      </w:pPr>
      <w:bookmarkStart w:id="15" w:name="_Toc116293076"/>
      <w:r>
        <w:t xml:space="preserve">Adjustments for </w:t>
      </w:r>
      <w:r w:rsidR="0016121F">
        <w:t>Geographic Location</w:t>
      </w:r>
      <w:bookmarkEnd w:id="15"/>
    </w:p>
    <w:p w14:paraId="0278061C" w14:textId="075B0EAD" w:rsidR="0016121F" w:rsidRDefault="0016121F" w:rsidP="0016121F">
      <w:r>
        <w:t xml:space="preserve">The amount of SDA that is payable in respect of a participant in an SDA </w:t>
      </w:r>
      <w:r w:rsidR="00BB6E62">
        <w:t>enrolled</w:t>
      </w:r>
      <w:r>
        <w:t xml:space="preserve"> dwelling also varies according to the </w:t>
      </w:r>
      <w:r w:rsidRPr="0087236F">
        <w:t xml:space="preserve">Geographic Location of the </w:t>
      </w:r>
      <w:r w:rsidR="005F132E">
        <w:t>d</w:t>
      </w:r>
      <w:r w:rsidRPr="0087236F">
        <w:t>welling</w:t>
      </w:r>
      <w:r>
        <w:t>.</w:t>
      </w:r>
      <w:r w:rsidR="00BB6E62">
        <w:t xml:space="preserve"> </w:t>
      </w:r>
      <w:r>
        <w:t>Dwelling</w:t>
      </w:r>
      <w:r w:rsidR="008F29B7">
        <w:t>s</w:t>
      </w:r>
      <w:r>
        <w:t xml:space="preserve"> are categori</w:t>
      </w:r>
      <w:r w:rsidR="00BB6E62">
        <w:t>sed</w:t>
      </w:r>
      <w:r>
        <w:t xml:space="preserve"> according to the Statistical Local Area Level 4 (SA4) in which they are located. Further information can be found on the Australian Bureau of Statistics </w:t>
      </w:r>
      <w:hyperlink r:id="rId39" w:history="1">
        <w:r w:rsidRPr="00043646">
          <w:rPr>
            <w:rStyle w:val="Hyperlink"/>
          </w:rPr>
          <w:t>website</w:t>
        </w:r>
      </w:hyperlink>
      <w:r>
        <w:t>.</w:t>
      </w:r>
      <w:r w:rsidR="00BB6E62">
        <w:t xml:space="preserve"> </w:t>
      </w:r>
      <w:r>
        <w:t>The NDIA calculates different SDA price limits for 87 different SA4s</w:t>
      </w:r>
      <w:r w:rsidR="00BB6E62">
        <w:t>.</w:t>
      </w:r>
    </w:p>
    <w:p w14:paraId="5136FAF4" w14:textId="35ADD5CA" w:rsidR="002C29DE" w:rsidRDefault="009344CC" w:rsidP="0016121F">
      <w:pPr>
        <w:sectPr w:rsidR="002C29DE" w:rsidSect="00872AF9">
          <w:pgSz w:w="11907" w:h="16839" w:code="9"/>
          <w:pgMar w:top="1440" w:right="1440" w:bottom="1440" w:left="1440" w:header="709" w:footer="709" w:gutter="0"/>
          <w:cols w:space="708"/>
          <w:titlePg/>
          <w:docGrid w:linePitch="360"/>
        </w:sectPr>
      </w:pPr>
      <w:r>
        <w:t xml:space="preserve">This calculation is done by applying a multiplier to the base SDA amount. The </w:t>
      </w:r>
      <w:r w:rsidR="000B28BB">
        <w:t>multiplier</w:t>
      </w:r>
      <w:r>
        <w:t xml:space="preserve"> is intended to account for different land costs and building costs in different regions. The current values of the </w:t>
      </w:r>
      <w:r w:rsidR="000B28BB">
        <w:t>multiplier</w:t>
      </w:r>
      <w:r w:rsidR="002C29DE">
        <w:t xml:space="preserve">s are given in </w:t>
      </w:r>
      <w:r w:rsidR="002C29DE">
        <w:fldChar w:fldCharType="begin"/>
      </w:r>
      <w:r w:rsidR="002C29DE">
        <w:instrText xml:space="preserve"> REF _Ref113887007 \h </w:instrText>
      </w:r>
      <w:r w:rsidR="00023B0E">
        <w:instrText xml:space="preserve"> \* MERGEFORMAT </w:instrText>
      </w:r>
      <w:r w:rsidR="002C29DE">
        <w:fldChar w:fldCharType="separate"/>
      </w:r>
      <w:r w:rsidR="00765987" w:rsidRPr="00765987">
        <w:rPr>
          <w:b/>
          <w:bCs/>
        </w:rPr>
        <w:t xml:space="preserve">Table </w:t>
      </w:r>
      <w:r w:rsidR="00765987" w:rsidRPr="00765987">
        <w:rPr>
          <w:b/>
          <w:noProof/>
        </w:rPr>
        <w:t>4</w:t>
      </w:r>
      <w:r w:rsidR="002C29DE">
        <w:fldChar w:fldCharType="end"/>
      </w:r>
      <w:r w:rsidR="002C29DE">
        <w:t xml:space="preserve"> below.</w:t>
      </w:r>
    </w:p>
    <w:p w14:paraId="364B2129" w14:textId="354668DA" w:rsidR="002C29DE" w:rsidRPr="002C29DE" w:rsidRDefault="002C29DE" w:rsidP="002C29DE">
      <w:pPr>
        <w:pStyle w:val="Caption"/>
        <w:spacing w:before="120"/>
      </w:pPr>
      <w:bookmarkStart w:id="16" w:name="_Ref113887007"/>
      <w:r w:rsidRPr="002C29DE">
        <w:lastRenderedPageBreak/>
        <w:t xml:space="preserve">Table </w:t>
      </w:r>
      <w:r w:rsidR="0095150D">
        <w:fldChar w:fldCharType="begin"/>
      </w:r>
      <w:r w:rsidR="0095150D">
        <w:instrText xml:space="preserve"> SEQ Table \* ARABIC </w:instrText>
      </w:r>
      <w:r w:rsidR="0095150D">
        <w:fldChar w:fldCharType="separate"/>
      </w:r>
      <w:r w:rsidR="00765987">
        <w:rPr>
          <w:noProof/>
        </w:rPr>
        <w:t>4</w:t>
      </w:r>
      <w:r w:rsidR="0095150D">
        <w:rPr>
          <w:noProof/>
        </w:rPr>
        <w:fldChar w:fldCharType="end"/>
      </w:r>
      <w:bookmarkEnd w:id="16"/>
      <w:r w:rsidRPr="002C29DE">
        <w:t>: Location Factors</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2108"/>
        <w:gridCol w:w="1006"/>
        <w:gridCol w:w="1006"/>
        <w:gridCol w:w="1006"/>
        <w:gridCol w:w="1006"/>
        <w:gridCol w:w="1006"/>
        <w:gridCol w:w="1006"/>
        <w:gridCol w:w="1006"/>
        <w:gridCol w:w="1005"/>
        <w:gridCol w:w="1005"/>
        <w:gridCol w:w="1005"/>
        <w:gridCol w:w="1005"/>
        <w:gridCol w:w="779"/>
      </w:tblGrid>
      <w:tr w:rsidR="002C29DE" w:rsidRPr="00657A6B" w14:paraId="3A918A3C" w14:textId="77777777" w:rsidTr="00D30617">
        <w:trPr>
          <w:cnfStyle w:val="100000000000" w:firstRow="1" w:lastRow="0" w:firstColumn="0" w:lastColumn="0" w:oddVBand="0" w:evenVBand="0" w:oddHBand="0" w:evenHBand="0" w:firstRowFirstColumn="0" w:firstRowLastColumn="0" w:lastRowFirstColumn="0" w:lastRowLastColumn="0"/>
          <w:trHeight w:val="540"/>
          <w:tblHeader/>
        </w:trPr>
        <w:tc>
          <w:tcPr>
            <w:tcW w:w="744" w:type="pct"/>
            <w:noWrap/>
          </w:tcPr>
          <w:p w14:paraId="7B43FFED" w14:textId="77777777" w:rsidR="002C29DE" w:rsidRPr="004A30E1" w:rsidRDefault="002C29DE" w:rsidP="00B27662">
            <w:pPr>
              <w:spacing w:before="60" w:after="60" w:line="200" w:lineRule="atLeast"/>
              <w:rPr>
                <w:rFonts w:eastAsia="Times New Roman" w:cs="Arial"/>
                <w:b w:val="0"/>
                <w:sz w:val="14"/>
                <w:szCs w:val="14"/>
                <w:lang w:eastAsia="en-AU"/>
              </w:rPr>
            </w:pPr>
            <w:r w:rsidRPr="004A30E1">
              <w:rPr>
                <w:rFonts w:eastAsia="Times New Roman" w:cs="Arial"/>
                <w:sz w:val="14"/>
                <w:szCs w:val="14"/>
                <w:lang w:eastAsia="en-AU"/>
              </w:rPr>
              <w:t>Location</w:t>
            </w:r>
          </w:p>
        </w:tc>
        <w:tc>
          <w:tcPr>
            <w:tcW w:w="355" w:type="pct"/>
          </w:tcPr>
          <w:p w14:paraId="7ABE25B9"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Apartment</w:t>
            </w:r>
          </w:p>
          <w:p w14:paraId="6BBA2982"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1 bed</w:t>
            </w:r>
          </w:p>
          <w:p w14:paraId="5FD75171"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1 resident</w:t>
            </w:r>
          </w:p>
        </w:tc>
        <w:tc>
          <w:tcPr>
            <w:tcW w:w="355" w:type="pct"/>
          </w:tcPr>
          <w:p w14:paraId="625C4792"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Apartment</w:t>
            </w:r>
          </w:p>
          <w:p w14:paraId="09329EFC"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beds</w:t>
            </w:r>
          </w:p>
          <w:p w14:paraId="7609CF15"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1 resident</w:t>
            </w:r>
          </w:p>
        </w:tc>
        <w:tc>
          <w:tcPr>
            <w:tcW w:w="355" w:type="pct"/>
          </w:tcPr>
          <w:p w14:paraId="715A58E7"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Apartment</w:t>
            </w:r>
          </w:p>
          <w:p w14:paraId="321194EC"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beds</w:t>
            </w:r>
          </w:p>
          <w:p w14:paraId="678AF713"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residents</w:t>
            </w:r>
          </w:p>
        </w:tc>
        <w:tc>
          <w:tcPr>
            <w:tcW w:w="355" w:type="pct"/>
          </w:tcPr>
          <w:p w14:paraId="59358FD5"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Apartment</w:t>
            </w:r>
          </w:p>
          <w:p w14:paraId="76DBC8D9"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3 beds</w:t>
            </w:r>
          </w:p>
          <w:p w14:paraId="68B5314E"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residents</w:t>
            </w:r>
          </w:p>
        </w:tc>
        <w:tc>
          <w:tcPr>
            <w:tcW w:w="355" w:type="pct"/>
          </w:tcPr>
          <w:p w14:paraId="0A315C93"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Villa Duplex</w:t>
            </w:r>
          </w:p>
          <w:p w14:paraId="22B921B6"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Townhouse</w:t>
            </w:r>
          </w:p>
          <w:p w14:paraId="334F0056"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1 resident</w:t>
            </w:r>
          </w:p>
        </w:tc>
        <w:tc>
          <w:tcPr>
            <w:tcW w:w="355" w:type="pct"/>
          </w:tcPr>
          <w:p w14:paraId="78CCA613"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Villa Duplex</w:t>
            </w:r>
          </w:p>
          <w:p w14:paraId="5E0C2801"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Townhouse</w:t>
            </w:r>
          </w:p>
          <w:p w14:paraId="13678702"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residents</w:t>
            </w:r>
          </w:p>
        </w:tc>
        <w:tc>
          <w:tcPr>
            <w:tcW w:w="355" w:type="pct"/>
          </w:tcPr>
          <w:p w14:paraId="05B306A3"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Villa Duplex</w:t>
            </w:r>
          </w:p>
          <w:p w14:paraId="40124374"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Townhouse</w:t>
            </w:r>
          </w:p>
          <w:p w14:paraId="17B28160"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3 residents</w:t>
            </w:r>
          </w:p>
        </w:tc>
        <w:tc>
          <w:tcPr>
            <w:tcW w:w="355" w:type="pct"/>
          </w:tcPr>
          <w:p w14:paraId="3619F73F"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House</w:t>
            </w:r>
          </w:p>
          <w:p w14:paraId="1D2F0EA5"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2 residents</w:t>
            </w:r>
          </w:p>
        </w:tc>
        <w:tc>
          <w:tcPr>
            <w:tcW w:w="355" w:type="pct"/>
          </w:tcPr>
          <w:p w14:paraId="315192DB"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House</w:t>
            </w:r>
          </w:p>
          <w:p w14:paraId="217B96E7"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3 residents</w:t>
            </w:r>
          </w:p>
        </w:tc>
        <w:tc>
          <w:tcPr>
            <w:tcW w:w="355" w:type="pct"/>
          </w:tcPr>
          <w:p w14:paraId="1D58F05D"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Group Home</w:t>
            </w:r>
          </w:p>
          <w:p w14:paraId="7809EE75"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4 residents</w:t>
            </w:r>
          </w:p>
        </w:tc>
        <w:tc>
          <w:tcPr>
            <w:tcW w:w="355" w:type="pct"/>
          </w:tcPr>
          <w:p w14:paraId="300DF411"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Group Home</w:t>
            </w:r>
          </w:p>
          <w:p w14:paraId="225909DE"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5 residents</w:t>
            </w:r>
          </w:p>
        </w:tc>
        <w:tc>
          <w:tcPr>
            <w:tcW w:w="275" w:type="pct"/>
          </w:tcPr>
          <w:p w14:paraId="4CDC4D62" w14:textId="77777777" w:rsidR="002C29DE" w:rsidRPr="004A30E1" w:rsidRDefault="002C29DE" w:rsidP="00F829BA">
            <w:pPr>
              <w:spacing w:before="60" w:after="60" w:line="200" w:lineRule="atLeast"/>
              <w:jc w:val="center"/>
              <w:rPr>
                <w:rFonts w:eastAsia="Times New Roman" w:cs="Arial"/>
                <w:b w:val="0"/>
                <w:sz w:val="14"/>
                <w:szCs w:val="14"/>
                <w:lang w:eastAsia="en-AU"/>
              </w:rPr>
            </w:pPr>
            <w:r w:rsidRPr="004A30E1">
              <w:rPr>
                <w:rFonts w:eastAsia="Times New Roman" w:cs="Arial"/>
                <w:sz w:val="14"/>
                <w:szCs w:val="14"/>
                <w:lang w:eastAsia="en-AU"/>
              </w:rPr>
              <w:t>Legacy</w:t>
            </w:r>
          </w:p>
        </w:tc>
      </w:tr>
      <w:tr w:rsidR="002C29DE" w:rsidRPr="00657A6B" w14:paraId="49ADDADC"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C70ED45" w14:textId="77777777" w:rsidR="002C29DE" w:rsidRPr="004A30E1" w:rsidRDefault="002C29DE" w:rsidP="00B27662">
            <w:pPr>
              <w:spacing w:before="60" w:after="60" w:line="200" w:lineRule="atLeast"/>
              <w:rPr>
                <w:rFonts w:eastAsia="Times New Roman" w:cs="Arial"/>
                <w:color w:val="000000"/>
                <w:sz w:val="14"/>
                <w:szCs w:val="14"/>
                <w:lang w:eastAsia="en-AU"/>
              </w:rPr>
            </w:pPr>
            <w:r w:rsidRPr="004A30E1">
              <w:rPr>
                <w:rFonts w:eastAsia="Times New Roman" w:cs="Arial"/>
                <w:color w:val="000000"/>
                <w:sz w:val="14"/>
                <w:szCs w:val="14"/>
                <w:lang w:eastAsia="en-AU"/>
              </w:rPr>
              <w:t>Median Capital City</w:t>
            </w:r>
          </w:p>
        </w:tc>
        <w:tc>
          <w:tcPr>
            <w:tcW w:w="355" w:type="pct"/>
            <w:noWrap/>
            <w:vAlign w:val="center"/>
          </w:tcPr>
          <w:p w14:paraId="134B693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4F10A4F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vAlign w:val="center"/>
          </w:tcPr>
          <w:p w14:paraId="4C95A23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vAlign w:val="center"/>
          </w:tcPr>
          <w:p w14:paraId="237C4BC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7273F58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659FD70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4009C37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vAlign w:val="center"/>
          </w:tcPr>
          <w:p w14:paraId="519BCF5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616D4DA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39483FA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23BFCB6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275" w:type="pct"/>
            <w:vAlign w:val="center"/>
          </w:tcPr>
          <w:p w14:paraId="0FEB1C6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r>
      <w:tr w:rsidR="00573723" w:rsidRPr="00573723" w14:paraId="12CCDE0E" w14:textId="77777777" w:rsidTr="00D30617">
        <w:trPr>
          <w:trHeight w:val="240"/>
        </w:trPr>
        <w:tc>
          <w:tcPr>
            <w:tcW w:w="744" w:type="pct"/>
            <w:noWrap/>
            <w:vAlign w:val="center"/>
          </w:tcPr>
          <w:p w14:paraId="212BBB0C" w14:textId="6B83D6DA" w:rsidR="00573723" w:rsidRPr="00573723" w:rsidRDefault="00573723" w:rsidP="00B27662">
            <w:pPr>
              <w:spacing w:before="60" w:after="60" w:line="200" w:lineRule="atLeast"/>
              <w:contextualSpacing/>
              <w:rPr>
                <w:rFonts w:cs="Arial"/>
                <w:b/>
                <w:bCs/>
                <w:color w:val="000000"/>
                <w:sz w:val="14"/>
                <w:szCs w:val="14"/>
              </w:rPr>
            </w:pPr>
            <w:r w:rsidRPr="00573723">
              <w:rPr>
                <w:rFonts w:cs="Arial"/>
                <w:b/>
                <w:bCs/>
                <w:color w:val="000000"/>
                <w:sz w:val="14"/>
                <w:szCs w:val="14"/>
              </w:rPr>
              <w:t>ACT</w:t>
            </w:r>
          </w:p>
        </w:tc>
        <w:tc>
          <w:tcPr>
            <w:tcW w:w="355" w:type="pct"/>
            <w:noWrap/>
            <w:vAlign w:val="center"/>
          </w:tcPr>
          <w:p w14:paraId="25B373EF"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7073509E"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vAlign w:val="center"/>
          </w:tcPr>
          <w:p w14:paraId="12E8B177"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vAlign w:val="center"/>
          </w:tcPr>
          <w:p w14:paraId="03ECE3A6"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31E5FA5F"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5EC2E8A6"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766415D9"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vAlign w:val="center"/>
          </w:tcPr>
          <w:p w14:paraId="78A71519"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3CE1563F"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2BB67399"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117D7DB7"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275" w:type="pct"/>
            <w:vAlign w:val="center"/>
          </w:tcPr>
          <w:p w14:paraId="164C93C0" w14:textId="77777777" w:rsidR="00573723" w:rsidRPr="00573723" w:rsidRDefault="00573723" w:rsidP="00B27662">
            <w:pPr>
              <w:spacing w:before="60" w:after="60" w:line="200" w:lineRule="atLeast"/>
              <w:contextualSpacing/>
              <w:jc w:val="center"/>
              <w:rPr>
                <w:rFonts w:cs="Arial"/>
                <w:b/>
                <w:bCs/>
                <w:color w:val="000000"/>
                <w:sz w:val="14"/>
                <w:szCs w:val="14"/>
              </w:rPr>
            </w:pPr>
          </w:p>
        </w:tc>
      </w:tr>
      <w:tr w:rsidR="00B27662" w:rsidRPr="00657A6B" w14:paraId="5FF92D36"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2DB20749" w14:textId="3BD64E59"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Australian Capital Territory</w:t>
            </w:r>
          </w:p>
        </w:tc>
        <w:tc>
          <w:tcPr>
            <w:tcW w:w="355" w:type="pct"/>
            <w:noWrap/>
            <w:vAlign w:val="center"/>
          </w:tcPr>
          <w:p w14:paraId="21CE3B6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7FCAE8D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26535FF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6794605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423FCD0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24A8877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7060B8F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49A5B1E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74A7C03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6285E62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45DA6C6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275" w:type="pct"/>
            <w:vAlign w:val="center"/>
          </w:tcPr>
          <w:p w14:paraId="677DCB9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r>
      <w:tr w:rsidR="00573723" w:rsidRPr="00573723" w14:paraId="37C4C9FE" w14:textId="77777777" w:rsidTr="00D30617">
        <w:trPr>
          <w:trHeight w:val="240"/>
        </w:trPr>
        <w:tc>
          <w:tcPr>
            <w:tcW w:w="744" w:type="pct"/>
            <w:noWrap/>
            <w:vAlign w:val="center"/>
          </w:tcPr>
          <w:p w14:paraId="41FC85A1" w14:textId="79A63F52" w:rsidR="00573723" w:rsidRPr="00573723" w:rsidRDefault="00573723" w:rsidP="00B27662">
            <w:pPr>
              <w:spacing w:before="60" w:after="60" w:line="200" w:lineRule="atLeast"/>
              <w:contextualSpacing/>
              <w:rPr>
                <w:rFonts w:cs="Arial"/>
                <w:b/>
                <w:bCs/>
                <w:color w:val="000000"/>
                <w:sz w:val="14"/>
                <w:szCs w:val="14"/>
              </w:rPr>
            </w:pPr>
            <w:r w:rsidRPr="00573723">
              <w:rPr>
                <w:rFonts w:cs="Arial"/>
                <w:b/>
                <w:bCs/>
                <w:color w:val="000000"/>
                <w:sz w:val="14"/>
                <w:szCs w:val="14"/>
              </w:rPr>
              <w:t>NSW</w:t>
            </w:r>
          </w:p>
        </w:tc>
        <w:tc>
          <w:tcPr>
            <w:tcW w:w="355" w:type="pct"/>
            <w:noWrap/>
            <w:vAlign w:val="center"/>
          </w:tcPr>
          <w:p w14:paraId="0F9F4470"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6C113315"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vAlign w:val="center"/>
          </w:tcPr>
          <w:p w14:paraId="6AE1A7E2"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vAlign w:val="center"/>
          </w:tcPr>
          <w:p w14:paraId="6DF281A9"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0B651447"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3FC7A037"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685A2F33"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vAlign w:val="center"/>
          </w:tcPr>
          <w:p w14:paraId="66D1B3D5"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15ECD955"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3A5A5B62"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355" w:type="pct"/>
            <w:noWrap/>
            <w:vAlign w:val="center"/>
          </w:tcPr>
          <w:p w14:paraId="37709FB6" w14:textId="77777777" w:rsidR="00573723" w:rsidRPr="00573723" w:rsidRDefault="00573723" w:rsidP="00B27662">
            <w:pPr>
              <w:spacing w:before="60" w:after="60" w:line="200" w:lineRule="atLeast"/>
              <w:contextualSpacing/>
              <w:jc w:val="center"/>
              <w:rPr>
                <w:rFonts w:cs="Arial"/>
                <w:b/>
                <w:bCs/>
                <w:color w:val="000000"/>
                <w:sz w:val="14"/>
                <w:szCs w:val="14"/>
              </w:rPr>
            </w:pPr>
          </w:p>
        </w:tc>
        <w:tc>
          <w:tcPr>
            <w:tcW w:w="275" w:type="pct"/>
            <w:vAlign w:val="center"/>
          </w:tcPr>
          <w:p w14:paraId="76ABCC2D" w14:textId="77777777" w:rsidR="00573723" w:rsidRPr="00573723" w:rsidRDefault="00573723" w:rsidP="00B27662">
            <w:pPr>
              <w:spacing w:before="60" w:after="60" w:line="200" w:lineRule="atLeast"/>
              <w:contextualSpacing/>
              <w:jc w:val="center"/>
              <w:rPr>
                <w:rFonts w:cs="Arial"/>
                <w:b/>
                <w:bCs/>
                <w:color w:val="000000"/>
                <w:sz w:val="14"/>
                <w:szCs w:val="14"/>
              </w:rPr>
            </w:pPr>
          </w:p>
        </w:tc>
      </w:tr>
      <w:tr w:rsidR="00573723" w:rsidRPr="00657A6B" w14:paraId="3D3A7F04"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5484F06" w14:textId="79D82AAA"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Capital Region</w:t>
            </w:r>
          </w:p>
        </w:tc>
        <w:tc>
          <w:tcPr>
            <w:tcW w:w="355" w:type="pct"/>
            <w:noWrap/>
            <w:vAlign w:val="center"/>
          </w:tcPr>
          <w:p w14:paraId="720C944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67A19F2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3E63143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7A0AC67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noWrap/>
            <w:vAlign w:val="center"/>
          </w:tcPr>
          <w:p w14:paraId="0A6D7AB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25094EB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711E927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3CE57EA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4B379E2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2FBB632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42D7F4A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275" w:type="pct"/>
            <w:vAlign w:val="center"/>
          </w:tcPr>
          <w:p w14:paraId="71D2C0C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r>
      <w:tr w:rsidR="00573723" w:rsidRPr="00657A6B" w14:paraId="3D3192E1" w14:textId="77777777" w:rsidTr="00D30617">
        <w:trPr>
          <w:trHeight w:val="240"/>
        </w:trPr>
        <w:tc>
          <w:tcPr>
            <w:tcW w:w="744" w:type="pct"/>
            <w:noWrap/>
            <w:vAlign w:val="center"/>
          </w:tcPr>
          <w:p w14:paraId="08278583" w14:textId="74E9C1F4"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Central Coast</w:t>
            </w:r>
          </w:p>
        </w:tc>
        <w:tc>
          <w:tcPr>
            <w:tcW w:w="355" w:type="pct"/>
            <w:noWrap/>
            <w:vAlign w:val="center"/>
          </w:tcPr>
          <w:p w14:paraId="6F39A9E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1237454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vAlign w:val="center"/>
          </w:tcPr>
          <w:p w14:paraId="6D6895B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vAlign w:val="center"/>
          </w:tcPr>
          <w:p w14:paraId="60449C2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noWrap/>
            <w:vAlign w:val="center"/>
          </w:tcPr>
          <w:p w14:paraId="43270B4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4BE8D32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3DFA2F2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41EFC1C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25EA14F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2032EC2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5C9A2BE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275" w:type="pct"/>
            <w:vAlign w:val="center"/>
          </w:tcPr>
          <w:p w14:paraId="2193C67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573723" w:rsidRPr="00657A6B" w14:paraId="47018822"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31DC9ECD" w14:textId="46C293C5"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Central West</w:t>
            </w:r>
          </w:p>
        </w:tc>
        <w:tc>
          <w:tcPr>
            <w:tcW w:w="355" w:type="pct"/>
            <w:noWrap/>
            <w:vAlign w:val="center"/>
          </w:tcPr>
          <w:p w14:paraId="77C4E8E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5826C16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61D55E3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518C0B6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noWrap/>
            <w:vAlign w:val="center"/>
          </w:tcPr>
          <w:p w14:paraId="049DEA0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3926C05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1EADA83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vAlign w:val="center"/>
          </w:tcPr>
          <w:p w14:paraId="071C15D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5B7D846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794C89C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084F746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275" w:type="pct"/>
            <w:vAlign w:val="center"/>
          </w:tcPr>
          <w:p w14:paraId="6B30B7A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r>
      <w:tr w:rsidR="00573723" w:rsidRPr="00657A6B" w14:paraId="377430A4" w14:textId="77777777" w:rsidTr="00D30617">
        <w:trPr>
          <w:trHeight w:val="240"/>
        </w:trPr>
        <w:tc>
          <w:tcPr>
            <w:tcW w:w="744" w:type="pct"/>
            <w:noWrap/>
            <w:vAlign w:val="center"/>
          </w:tcPr>
          <w:p w14:paraId="20D068E1" w14:textId="31ABB639"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Coffs Harbour - Grafton</w:t>
            </w:r>
          </w:p>
        </w:tc>
        <w:tc>
          <w:tcPr>
            <w:tcW w:w="355" w:type="pct"/>
            <w:noWrap/>
            <w:vAlign w:val="center"/>
          </w:tcPr>
          <w:p w14:paraId="7654421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19799CE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6985AE5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487F6BE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noWrap/>
            <w:vAlign w:val="center"/>
          </w:tcPr>
          <w:p w14:paraId="5B5B13E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5018158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46FDEEB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16BC088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469FC3F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7A2C9E0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1CB8976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275" w:type="pct"/>
            <w:vAlign w:val="center"/>
          </w:tcPr>
          <w:p w14:paraId="7095A1F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r>
      <w:tr w:rsidR="00573723" w:rsidRPr="00657A6B" w14:paraId="4AB2FFB6"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F7AD339" w14:textId="237A7164"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Far West and Orana</w:t>
            </w:r>
          </w:p>
        </w:tc>
        <w:tc>
          <w:tcPr>
            <w:tcW w:w="355" w:type="pct"/>
            <w:noWrap/>
            <w:vAlign w:val="center"/>
          </w:tcPr>
          <w:p w14:paraId="2606352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noWrap/>
            <w:vAlign w:val="center"/>
          </w:tcPr>
          <w:p w14:paraId="573123E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133B4AD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64B389A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55" w:type="pct"/>
            <w:noWrap/>
            <w:vAlign w:val="center"/>
          </w:tcPr>
          <w:p w14:paraId="56B49A3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698C316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4251047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3924B88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50C7B31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182F2F7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653D7A9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275" w:type="pct"/>
            <w:vAlign w:val="center"/>
          </w:tcPr>
          <w:p w14:paraId="0295DFA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573723" w:rsidRPr="00657A6B" w14:paraId="78DBE7C4" w14:textId="77777777" w:rsidTr="00D30617">
        <w:trPr>
          <w:trHeight w:val="240"/>
        </w:trPr>
        <w:tc>
          <w:tcPr>
            <w:tcW w:w="744" w:type="pct"/>
            <w:noWrap/>
            <w:vAlign w:val="center"/>
          </w:tcPr>
          <w:p w14:paraId="5008B95E" w14:textId="48869427"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Hunter Valley excl</w:t>
            </w:r>
            <w:r w:rsidR="00D30617">
              <w:rPr>
                <w:rFonts w:cs="Arial"/>
                <w:color w:val="000000"/>
                <w:sz w:val="14"/>
                <w:szCs w:val="14"/>
              </w:rPr>
              <w:t xml:space="preserve">. </w:t>
            </w:r>
            <w:r w:rsidRPr="004A30E1">
              <w:rPr>
                <w:rFonts w:cs="Arial"/>
                <w:color w:val="000000"/>
                <w:sz w:val="14"/>
                <w:szCs w:val="14"/>
              </w:rPr>
              <w:t>Newcastle</w:t>
            </w:r>
          </w:p>
        </w:tc>
        <w:tc>
          <w:tcPr>
            <w:tcW w:w="355" w:type="pct"/>
            <w:noWrap/>
            <w:vAlign w:val="center"/>
          </w:tcPr>
          <w:p w14:paraId="79BC2A3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42AD068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02E054D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73248AB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noWrap/>
            <w:vAlign w:val="center"/>
          </w:tcPr>
          <w:p w14:paraId="5BEB301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68A061A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6BD0380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2E038E3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597383B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3F90ABA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2C159A3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275" w:type="pct"/>
            <w:vAlign w:val="center"/>
          </w:tcPr>
          <w:p w14:paraId="53C99EB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r>
      <w:tr w:rsidR="00573723" w:rsidRPr="00657A6B" w14:paraId="7B973A2F"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27573700" w14:textId="20DDAFD6"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Illawarra</w:t>
            </w:r>
          </w:p>
        </w:tc>
        <w:tc>
          <w:tcPr>
            <w:tcW w:w="355" w:type="pct"/>
            <w:noWrap/>
            <w:vAlign w:val="center"/>
          </w:tcPr>
          <w:p w14:paraId="57E5CAF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25A79ED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vAlign w:val="center"/>
          </w:tcPr>
          <w:p w14:paraId="2A85CB1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vAlign w:val="center"/>
          </w:tcPr>
          <w:p w14:paraId="69CE010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noWrap/>
            <w:vAlign w:val="center"/>
          </w:tcPr>
          <w:p w14:paraId="1F0A868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71D7646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6F336CD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vAlign w:val="center"/>
          </w:tcPr>
          <w:p w14:paraId="22E3D24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19066A4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2627C4A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5EB0814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275" w:type="pct"/>
            <w:vAlign w:val="center"/>
          </w:tcPr>
          <w:p w14:paraId="345D551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r>
      <w:tr w:rsidR="00573723" w:rsidRPr="00657A6B" w14:paraId="22302F56" w14:textId="77777777" w:rsidTr="00D30617">
        <w:trPr>
          <w:trHeight w:val="240"/>
        </w:trPr>
        <w:tc>
          <w:tcPr>
            <w:tcW w:w="744" w:type="pct"/>
            <w:noWrap/>
            <w:vAlign w:val="center"/>
          </w:tcPr>
          <w:p w14:paraId="73A0188E" w14:textId="73AF69E6"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Mid North Coast</w:t>
            </w:r>
          </w:p>
        </w:tc>
        <w:tc>
          <w:tcPr>
            <w:tcW w:w="355" w:type="pct"/>
            <w:noWrap/>
            <w:vAlign w:val="center"/>
          </w:tcPr>
          <w:p w14:paraId="5FDAE69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6BCDE59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54ED691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32E5307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noWrap/>
            <w:vAlign w:val="center"/>
          </w:tcPr>
          <w:p w14:paraId="1D80CC9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7134F59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17BED26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vAlign w:val="center"/>
          </w:tcPr>
          <w:p w14:paraId="0E99F7B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43C0A92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512530A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1AC946F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275" w:type="pct"/>
            <w:vAlign w:val="center"/>
          </w:tcPr>
          <w:p w14:paraId="36B3938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r>
      <w:tr w:rsidR="00573723" w:rsidRPr="00657A6B" w14:paraId="235C6EC6"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2D94C90A" w14:textId="2B7E8F7F"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Murray</w:t>
            </w:r>
          </w:p>
        </w:tc>
        <w:tc>
          <w:tcPr>
            <w:tcW w:w="355" w:type="pct"/>
            <w:noWrap/>
            <w:vAlign w:val="center"/>
          </w:tcPr>
          <w:p w14:paraId="3FF1537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281B8CA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43EF40F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4C9B8E2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noWrap/>
            <w:vAlign w:val="center"/>
          </w:tcPr>
          <w:p w14:paraId="06A9733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2DB6DBC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5B1A3B5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vAlign w:val="center"/>
          </w:tcPr>
          <w:p w14:paraId="1863F8A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4E46523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7ACDE3D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47ABC99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275" w:type="pct"/>
            <w:vAlign w:val="center"/>
          </w:tcPr>
          <w:p w14:paraId="2460745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573723" w:rsidRPr="00657A6B" w14:paraId="6512D0AC" w14:textId="77777777" w:rsidTr="00D30617">
        <w:trPr>
          <w:trHeight w:val="240"/>
        </w:trPr>
        <w:tc>
          <w:tcPr>
            <w:tcW w:w="744" w:type="pct"/>
            <w:noWrap/>
            <w:vAlign w:val="center"/>
          </w:tcPr>
          <w:p w14:paraId="2C125FBF" w14:textId="3153C731"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New England and </w:t>
            </w:r>
            <w:proofErr w:type="gramStart"/>
            <w:r w:rsidRPr="004A30E1">
              <w:rPr>
                <w:rFonts w:cs="Arial"/>
                <w:color w:val="000000"/>
                <w:sz w:val="14"/>
                <w:szCs w:val="14"/>
              </w:rPr>
              <w:t>North West</w:t>
            </w:r>
            <w:proofErr w:type="gramEnd"/>
          </w:p>
        </w:tc>
        <w:tc>
          <w:tcPr>
            <w:tcW w:w="355" w:type="pct"/>
            <w:noWrap/>
            <w:vAlign w:val="center"/>
          </w:tcPr>
          <w:p w14:paraId="57EFF69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2BD4787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111D629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2F5CF98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noWrap/>
            <w:vAlign w:val="center"/>
          </w:tcPr>
          <w:p w14:paraId="1CDD776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773974B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723F7E5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vAlign w:val="center"/>
          </w:tcPr>
          <w:p w14:paraId="08DE1B1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4BC1C1E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6337B8F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6BC0C37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275" w:type="pct"/>
            <w:vAlign w:val="center"/>
          </w:tcPr>
          <w:p w14:paraId="5D1761E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573723" w:rsidRPr="00657A6B" w14:paraId="61B591CF"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1DDC51D2" w14:textId="72D29E22"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Newcastle </w:t>
            </w:r>
            <w:r w:rsidR="00D30617">
              <w:rPr>
                <w:rFonts w:cs="Arial"/>
                <w:color w:val="000000"/>
                <w:sz w:val="14"/>
                <w:szCs w:val="14"/>
              </w:rPr>
              <w:t>&amp;</w:t>
            </w:r>
            <w:r w:rsidRPr="004A30E1">
              <w:rPr>
                <w:rFonts w:cs="Arial"/>
                <w:color w:val="000000"/>
                <w:sz w:val="14"/>
                <w:szCs w:val="14"/>
              </w:rPr>
              <w:t xml:space="preserve"> Lake Macquarie</w:t>
            </w:r>
          </w:p>
        </w:tc>
        <w:tc>
          <w:tcPr>
            <w:tcW w:w="355" w:type="pct"/>
            <w:noWrap/>
            <w:vAlign w:val="center"/>
          </w:tcPr>
          <w:p w14:paraId="283B980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1143AA2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vAlign w:val="center"/>
          </w:tcPr>
          <w:p w14:paraId="6BE40FD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vAlign w:val="center"/>
          </w:tcPr>
          <w:p w14:paraId="2741356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noWrap/>
            <w:vAlign w:val="center"/>
          </w:tcPr>
          <w:p w14:paraId="0BAA792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25F7752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noWrap/>
            <w:vAlign w:val="center"/>
          </w:tcPr>
          <w:p w14:paraId="215585A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68F410A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762FEC7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278ED57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noWrap/>
            <w:vAlign w:val="center"/>
          </w:tcPr>
          <w:p w14:paraId="2D9F05A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275" w:type="pct"/>
            <w:vAlign w:val="center"/>
          </w:tcPr>
          <w:p w14:paraId="48A7A01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r>
      <w:tr w:rsidR="00573723" w:rsidRPr="00657A6B" w14:paraId="51A7B541" w14:textId="77777777" w:rsidTr="00D30617">
        <w:trPr>
          <w:trHeight w:val="240"/>
        </w:trPr>
        <w:tc>
          <w:tcPr>
            <w:tcW w:w="744" w:type="pct"/>
            <w:noWrap/>
            <w:vAlign w:val="center"/>
          </w:tcPr>
          <w:p w14:paraId="0DA78AEB" w14:textId="581EDC09"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Richmond </w:t>
            </w:r>
            <w:r w:rsidR="00BB6E62">
              <w:rPr>
                <w:rFonts w:cs="Arial"/>
                <w:color w:val="000000"/>
                <w:sz w:val="14"/>
                <w:szCs w:val="14"/>
              </w:rPr>
              <w:t>–</w:t>
            </w:r>
            <w:r w:rsidRPr="004A30E1">
              <w:rPr>
                <w:rFonts w:cs="Arial"/>
                <w:color w:val="000000"/>
                <w:sz w:val="14"/>
                <w:szCs w:val="14"/>
              </w:rPr>
              <w:t xml:space="preserve"> Tweed</w:t>
            </w:r>
          </w:p>
        </w:tc>
        <w:tc>
          <w:tcPr>
            <w:tcW w:w="355" w:type="pct"/>
            <w:noWrap/>
            <w:vAlign w:val="center"/>
          </w:tcPr>
          <w:p w14:paraId="6F890F3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781AAE5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32A014E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424ECA2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noWrap/>
            <w:vAlign w:val="center"/>
          </w:tcPr>
          <w:p w14:paraId="63ADBA5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1AD19D3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76889D5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72082CE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3EB06DB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116DFBC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43616D5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275" w:type="pct"/>
            <w:vAlign w:val="center"/>
          </w:tcPr>
          <w:p w14:paraId="0BAB9CB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573723" w:rsidRPr="00657A6B" w14:paraId="51B1A58F"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29E14EDD" w14:textId="2E680F40"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Riverina</w:t>
            </w:r>
          </w:p>
        </w:tc>
        <w:tc>
          <w:tcPr>
            <w:tcW w:w="355" w:type="pct"/>
            <w:noWrap/>
            <w:vAlign w:val="center"/>
          </w:tcPr>
          <w:p w14:paraId="439B3C5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3567B1F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66227BE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53F8822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noWrap/>
            <w:vAlign w:val="center"/>
          </w:tcPr>
          <w:p w14:paraId="7FA6945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3496D7C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19E1C4D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vAlign w:val="center"/>
          </w:tcPr>
          <w:p w14:paraId="05493F2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6607925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4B867DD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019626E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275" w:type="pct"/>
            <w:vAlign w:val="center"/>
          </w:tcPr>
          <w:p w14:paraId="785E38B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r>
      <w:tr w:rsidR="00573723" w:rsidRPr="00657A6B" w14:paraId="3C618E9A" w14:textId="77777777" w:rsidTr="00D30617">
        <w:trPr>
          <w:trHeight w:val="240"/>
        </w:trPr>
        <w:tc>
          <w:tcPr>
            <w:tcW w:w="744" w:type="pct"/>
            <w:noWrap/>
            <w:vAlign w:val="center"/>
          </w:tcPr>
          <w:p w14:paraId="27293A70" w14:textId="276E692A"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Southern Highlands </w:t>
            </w:r>
            <w:r w:rsidR="00D30617">
              <w:rPr>
                <w:rFonts w:cs="Arial"/>
                <w:color w:val="000000"/>
                <w:sz w:val="14"/>
                <w:szCs w:val="14"/>
              </w:rPr>
              <w:t>&amp;</w:t>
            </w:r>
            <w:r w:rsidRPr="004A30E1">
              <w:rPr>
                <w:rFonts w:cs="Arial"/>
                <w:color w:val="000000"/>
                <w:sz w:val="14"/>
                <w:szCs w:val="14"/>
              </w:rPr>
              <w:t xml:space="preserve"> Shoalhaven</w:t>
            </w:r>
          </w:p>
        </w:tc>
        <w:tc>
          <w:tcPr>
            <w:tcW w:w="355" w:type="pct"/>
            <w:noWrap/>
            <w:vAlign w:val="center"/>
          </w:tcPr>
          <w:p w14:paraId="73B3AC3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4EE25F1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5D660C1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2EEA539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noWrap/>
            <w:vAlign w:val="center"/>
          </w:tcPr>
          <w:p w14:paraId="6E9609D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0D04879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01D1DFA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vAlign w:val="center"/>
          </w:tcPr>
          <w:p w14:paraId="6B7DEDE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591D51E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54DCBDC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3368419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275" w:type="pct"/>
            <w:vAlign w:val="center"/>
          </w:tcPr>
          <w:p w14:paraId="41AA468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r>
      <w:tr w:rsidR="00573723" w:rsidRPr="00657A6B" w14:paraId="31C33B8C"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05A87BB2" w14:textId="70C17B41"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Baulkham Hills and Hawkesbury</w:t>
            </w:r>
          </w:p>
        </w:tc>
        <w:tc>
          <w:tcPr>
            <w:tcW w:w="355" w:type="pct"/>
            <w:noWrap/>
            <w:vAlign w:val="center"/>
          </w:tcPr>
          <w:p w14:paraId="2B9E15A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noWrap/>
            <w:vAlign w:val="center"/>
          </w:tcPr>
          <w:p w14:paraId="6AB1BE7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3FE600A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75B2E8F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6B9F583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5B07265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55" w:type="pct"/>
            <w:noWrap/>
            <w:vAlign w:val="center"/>
          </w:tcPr>
          <w:p w14:paraId="3C56D00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55" w:type="pct"/>
            <w:vAlign w:val="center"/>
          </w:tcPr>
          <w:p w14:paraId="6976FF5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152DCCC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noWrap/>
            <w:vAlign w:val="center"/>
          </w:tcPr>
          <w:p w14:paraId="1915958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55" w:type="pct"/>
            <w:noWrap/>
            <w:vAlign w:val="center"/>
          </w:tcPr>
          <w:p w14:paraId="6C17495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275" w:type="pct"/>
            <w:vAlign w:val="center"/>
          </w:tcPr>
          <w:p w14:paraId="5464955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1.13</w:t>
            </w:r>
          </w:p>
        </w:tc>
      </w:tr>
      <w:tr w:rsidR="00573723" w:rsidRPr="00657A6B" w14:paraId="2EDFC9E0" w14:textId="77777777" w:rsidTr="00D30617">
        <w:trPr>
          <w:trHeight w:val="240"/>
        </w:trPr>
        <w:tc>
          <w:tcPr>
            <w:tcW w:w="744" w:type="pct"/>
            <w:noWrap/>
            <w:vAlign w:val="center"/>
          </w:tcPr>
          <w:p w14:paraId="29D04220" w14:textId="74610043"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Blacktown</w:t>
            </w:r>
          </w:p>
        </w:tc>
        <w:tc>
          <w:tcPr>
            <w:tcW w:w="355" w:type="pct"/>
            <w:noWrap/>
            <w:vAlign w:val="center"/>
          </w:tcPr>
          <w:p w14:paraId="35859E6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621B2BB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vAlign w:val="center"/>
          </w:tcPr>
          <w:p w14:paraId="4768D1D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vAlign w:val="center"/>
          </w:tcPr>
          <w:p w14:paraId="1B46EE1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0B2898B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2F76517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6920C8B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29C0863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59EAE51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2363AB2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41A8C98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275" w:type="pct"/>
            <w:vAlign w:val="center"/>
          </w:tcPr>
          <w:p w14:paraId="0349521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r>
      <w:tr w:rsidR="00573723" w:rsidRPr="00657A6B" w14:paraId="1CB0E936"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5A5057B7" w14:textId="56C71AA0"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City </w:t>
            </w:r>
            <w:r w:rsidR="00D30617">
              <w:rPr>
                <w:rFonts w:cs="Arial"/>
                <w:color w:val="000000"/>
                <w:sz w:val="14"/>
                <w:szCs w:val="14"/>
              </w:rPr>
              <w:t>&amp;</w:t>
            </w:r>
            <w:r w:rsidRPr="004A30E1">
              <w:rPr>
                <w:rFonts w:cs="Arial"/>
                <w:color w:val="000000"/>
                <w:sz w:val="14"/>
                <w:szCs w:val="14"/>
              </w:rPr>
              <w:t xml:space="preserve"> Inner South</w:t>
            </w:r>
          </w:p>
        </w:tc>
        <w:tc>
          <w:tcPr>
            <w:tcW w:w="355" w:type="pct"/>
            <w:noWrap/>
            <w:vAlign w:val="center"/>
          </w:tcPr>
          <w:p w14:paraId="5741E0F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1.20</w:t>
            </w:r>
          </w:p>
        </w:tc>
        <w:tc>
          <w:tcPr>
            <w:tcW w:w="355" w:type="pct"/>
            <w:noWrap/>
            <w:vAlign w:val="center"/>
          </w:tcPr>
          <w:p w14:paraId="155F791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55" w:type="pct"/>
            <w:vAlign w:val="center"/>
          </w:tcPr>
          <w:p w14:paraId="0AB5EEC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55" w:type="pct"/>
            <w:vAlign w:val="center"/>
          </w:tcPr>
          <w:p w14:paraId="0097213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noWrap/>
            <w:vAlign w:val="center"/>
          </w:tcPr>
          <w:p w14:paraId="40E10BC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1.76</w:t>
            </w:r>
          </w:p>
        </w:tc>
        <w:tc>
          <w:tcPr>
            <w:tcW w:w="355" w:type="pct"/>
            <w:noWrap/>
            <w:vAlign w:val="center"/>
          </w:tcPr>
          <w:p w14:paraId="148E776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2.25</w:t>
            </w:r>
          </w:p>
        </w:tc>
        <w:tc>
          <w:tcPr>
            <w:tcW w:w="355" w:type="pct"/>
            <w:noWrap/>
            <w:vAlign w:val="center"/>
          </w:tcPr>
          <w:p w14:paraId="3886F3F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2.53</w:t>
            </w:r>
          </w:p>
        </w:tc>
        <w:tc>
          <w:tcPr>
            <w:tcW w:w="355" w:type="pct"/>
            <w:vAlign w:val="center"/>
          </w:tcPr>
          <w:p w14:paraId="2C4962B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1.93</w:t>
            </w:r>
          </w:p>
        </w:tc>
        <w:tc>
          <w:tcPr>
            <w:tcW w:w="355" w:type="pct"/>
            <w:noWrap/>
            <w:vAlign w:val="center"/>
          </w:tcPr>
          <w:p w14:paraId="165D754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2.15</w:t>
            </w:r>
          </w:p>
        </w:tc>
        <w:tc>
          <w:tcPr>
            <w:tcW w:w="355" w:type="pct"/>
            <w:noWrap/>
            <w:vAlign w:val="center"/>
          </w:tcPr>
          <w:p w14:paraId="1A68FA5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2.31</w:t>
            </w:r>
          </w:p>
        </w:tc>
        <w:tc>
          <w:tcPr>
            <w:tcW w:w="355" w:type="pct"/>
            <w:noWrap/>
            <w:vAlign w:val="center"/>
          </w:tcPr>
          <w:p w14:paraId="485985E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2.53</w:t>
            </w:r>
          </w:p>
        </w:tc>
        <w:tc>
          <w:tcPr>
            <w:tcW w:w="275" w:type="pct"/>
            <w:vAlign w:val="center"/>
          </w:tcPr>
          <w:p w14:paraId="2D72804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2.53</w:t>
            </w:r>
          </w:p>
        </w:tc>
      </w:tr>
      <w:tr w:rsidR="00573723" w:rsidRPr="00657A6B" w14:paraId="777F50BE" w14:textId="77777777" w:rsidTr="00D30617">
        <w:trPr>
          <w:trHeight w:val="240"/>
        </w:trPr>
        <w:tc>
          <w:tcPr>
            <w:tcW w:w="744" w:type="pct"/>
            <w:noWrap/>
            <w:vAlign w:val="center"/>
          </w:tcPr>
          <w:p w14:paraId="49EF6AEC" w14:textId="7635FD38"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Eastern Suburbs</w:t>
            </w:r>
          </w:p>
        </w:tc>
        <w:tc>
          <w:tcPr>
            <w:tcW w:w="355" w:type="pct"/>
            <w:noWrap/>
            <w:vAlign w:val="center"/>
          </w:tcPr>
          <w:p w14:paraId="00E5C35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55" w:type="pct"/>
            <w:noWrap/>
            <w:vAlign w:val="center"/>
          </w:tcPr>
          <w:p w14:paraId="0982BD4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77A38E1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588E795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55" w:type="pct"/>
            <w:noWrap/>
            <w:vAlign w:val="center"/>
          </w:tcPr>
          <w:p w14:paraId="6CD18ED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1.63</w:t>
            </w:r>
          </w:p>
        </w:tc>
        <w:tc>
          <w:tcPr>
            <w:tcW w:w="355" w:type="pct"/>
            <w:noWrap/>
            <w:vAlign w:val="center"/>
          </w:tcPr>
          <w:p w14:paraId="3E629E1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2.04</w:t>
            </w:r>
          </w:p>
        </w:tc>
        <w:tc>
          <w:tcPr>
            <w:tcW w:w="355" w:type="pct"/>
            <w:noWrap/>
            <w:vAlign w:val="center"/>
          </w:tcPr>
          <w:p w14:paraId="685777C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2.27</w:t>
            </w:r>
          </w:p>
        </w:tc>
        <w:tc>
          <w:tcPr>
            <w:tcW w:w="355" w:type="pct"/>
            <w:vAlign w:val="center"/>
          </w:tcPr>
          <w:p w14:paraId="7E99DEB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1.78</w:t>
            </w:r>
          </w:p>
        </w:tc>
        <w:tc>
          <w:tcPr>
            <w:tcW w:w="355" w:type="pct"/>
            <w:noWrap/>
            <w:vAlign w:val="center"/>
          </w:tcPr>
          <w:p w14:paraId="7001BD6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1.96</w:t>
            </w:r>
          </w:p>
        </w:tc>
        <w:tc>
          <w:tcPr>
            <w:tcW w:w="355" w:type="pct"/>
            <w:noWrap/>
            <w:vAlign w:val="center"/>
          </w:tcPr>
          <w:p w14:paraId="0DCC687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2.09</w:t>
            </w:r>
          </w:p>
        </w:tc>
        <w:tc>
          <w:tcPr>
            <w:tcW w:w="355" w:type="pct"/>
            <w:noWrap/>
            <w:vAlign w:val="center"/>
          </w:tcPr>
          <w:p w14:paraId="75D193A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2.27</w:t>
            </w:r>
          </w:p>
        </w:tc>
        <w:tc>
          <w:tcPr>
            <w:tcW w:w="275" w:type="pct"/>
            <w:vAlign w:val="center"/>
          </w:tcPr>
          <w:p w14:paraId="041A140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2.27</w:t>
            </w:r>
          </w:p>
        </w:tc>
      </w:tr>
      <w:tr w:rsidR="00573723" w:rsidRPr="00657A6B" w14:paraId="1ADEDF27"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6A49810E" w14:textId="0A3FCFD3"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Inner </w:t>
            </w:r>
            <w:proofErr w:type="gramStart"/>
            <w:r w:rsidRPr="004A30E1">
              <w:rPr>
                <w:rFonts w:cs="Arial"/>
                <w:color w:val="000000"/>
                <w:sz w:val="14"/>
                <w:szCs w:val="14"/>
              </w:rPr>
              <w:t>South West</w:t>
            </w:r>
            <w:proofErr w:type="gramEnd"/>
          </w:p>
        </w:tc>
        <w:tc>
          <w:tcPr>
            <w:tcW w:w="355" w:type="pct"/>
            <w:noWrap/>
            <w:vAlign w:val="center"/>
          </w:tcPr>
          <w:p w14:paraId="20E8F5F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2431C71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24AEE76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64F09A3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7D59C9A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55" w:type="pct"/>
            <w:noWrap/>
            <w:vAlign w:val="center"/>
          </w:tcPr>
          <w:p w14:paraId="789943E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55" w:type="pct"/>
            <w:noWrap/>
            <w:vAlign w:val="center"/>
          </w:tcPr>
          <w:p w14:paraId="2ACE350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355" w:type="pct"/>
            <w:vAlign w:val="center"/>
          </w:tcPr>
          <w:p w14:paraId="43D4439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55" w:type="pct"/>
            <w:noWrap/>
            <w:vAlign w:val="center"/>
          </w:tcPr>
          <w:p w14:paraId="4132356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55" w:type="pct"/>
            <w:noWrap/>
            <w:vAlign w:val="center"/>
          </w:tcPr>
          <w:p w14:paraId="3E385F3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1.25</w:t>
            </w:r>
          </w:p>
        </w:tc>
        <w:tc>
          <w:tcPr>
            <w:tcW w:w="355" w:type="pct"/>
            <w:noWrap/>
            <w:vAlign w:val="center"/>
          </w:tcPr>
          <w:p w14:paraId="13A9281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275" w:type="pct"/>
            <w:vAlign w:val="center"/>
          </w:tcPr>
          <w:p w14:paraId="5B7461F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1.29</w:t>
            </w:r>
          </w:p>
        </w:tc>
      </w:tr>
      <w:tr w:rsidR="00573723" w:rsidRPr="00657A6B" w14:paraId="550548AC" w14:textId="77777777" w:rsidTr="00D30617">
        <w:trPr>
          <w:trHeight w:val="240"/>
        </w:trPr>
        <w:tc>
          <w:tcPr>
            <w:tcW w:w="744" w:type="pct"/>
            <w:noWrap/>
            <w:vAlign w:val="center"/>
          </w:tcPr>
          <w:p w14:paraId="7323AB43" w14:textId="27EDAD08"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Inner West</w:t>
            </w:r>
          </w:p>
        </w:tc>
        <w:tc>
          <w:tcPr>
            <w:tcW w:w="355" w:type="pct"/>
            <w:noWrap/>
            <w:vAlign w:val="center"/>
          </w:tcPr>
          <w:p w14:paraId="3A6E303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55" w:type="pct"/>
            <w:noWrap/>
            <w:vAlign w:val="center"/>
          </w:tcPr>
          <w:p w14:paraId="303C5FA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1.17</w:t>
            </w:r>
          </w:p>
        </w:tc>
        <w:tc>
          <w:tcPr>
            <w:tcW w:w="355" w:type="pct"/>
            <w:vAlign w:val="center"/>
          </w:tcPr>
          <w:p w14:paraId="172E9A4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1.17</w:t>
            </w:r>
          </w:p>
        </w:tc>
        <w:tc>
          <w:tcPr>
            <w:tcW w:w="355" w:type="pct"/>
            <w:vAlign w:val="center"/>
          </w:tcPr>
          <w:p w14:paraId="71E1855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noWrap/>
            <w:vAlign w:val="center"/>
          </w:tcPr>
          <w:p w14:paraId="73C6060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55" w:type="pct"/>
            <w:noWrap/>
            <w:vAlign w:val="center"/>
          </w:tcPr>
          <w:p w14:paraId="0EE1C15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1.59</w:t>
            </w:r>
          </w:p>
        </w:tc>
        <w:tc>
          <w:tcPr>
            <w:tcW w:w="355" w:type="pct"/>
            <w:noWrap/>
            <w:vAlign w:val="center"/>
          </w:tcPr>
          <w:p w14:paraId="05C3D4A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1.71</w:t>
            </w:r>
          </w:p>
        </w:tc>
        <w:tc>
          <w:tcPr>
            <w:tcW w:w="355" w:type="pct"/>
            <w:vAlign w:val="center"/>
          </w:tcPr>
          <w:p w14:paraId="44C178D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1.44</w:t>
            </w:r>
          </w:p>
        </w:tc>
        <w:tc>
          <w:tcPr>
            <w:tcW w:w="355" w:type="pct"/>
            <w:noWrap/>
            <w:vAlign w:val="center"/>
          </w:tcPr>
          <w:p w14:paraId="4D457AB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1.54</w:t>
            </w:r>
          </w:p>
        </w:tc>
        <w:tc>
          <w:tcPr>
            <w:tcW w:w="355" w:type="pct"/>
            <w:noWrap/>
            <w:vAlign w:val="center"/>
          </w:tcPr>
          <w:p w14:paraId="7D828C0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1.61</w:t>
            </w:r>
          </w:p>
        </w:tc>
        <w:tc>
          <w:tcPr>
            <w:tcW w:w="355" w:type="pct"/>
            <w:noWrap/>
            <w:vAlign w:val="center"/>
          </w:tcPr>
          <w:p w14:paraId="14440EC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1.72</w:t>
            </w:r>
          </w:p>
        </w:tc>
        <w:tc>
          <w:tcPr>
            <w:tcW w:w="275" w:type="pct"/>
            <w:vAlign w:val="center"/>
          </w:tcPr>
          <w:p w14:paraId="11F73DA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1.72</w:t>
            </w:r>
          </w:p>
        </w:tc>
      </w:tr>
      <w:tr w:rsidR="00573723" w:rsidRPr="00657A6B" w14:paraId="62B91EC5"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46C1C4E0" w14:textId="685F1935"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North Sydney </w:t>
            </w:r>
            <w:r w:rsidR="00D30617">
              <w:rPr>
                <w:rFonts w:cs="Arial"/>
                <w:color w:val="000000"/>
                <w:sz w:val="14"/>
                <w:szCs w:val="14"/>
              </w:rPr>
              <w:t>&amp;</w:t>
            </w:r>
            <w:r w:rsidRPr="004A30E1">
              <w:rPr>
                <w:rFonts w:cs="Arial"/>
                <w:color w:val="000000"/>
                <w:sz w:val="14"/>
                <w:szCs w:val="14"/>
              </w:rPr>
              <w:t xml:space="preserve"> Hornsby</w:t>
            </w:r>
          </w:p>
        </w:tc>
        <w:tc>
          <w:tcPr>
            <w:tcW w:w="355" w:type="pct"/>
            <w:noWrap/>
            <w:vAlign w:val="center"/>
          </w:tcPr>
          <w:p w14:paraId="12AAAFC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3926161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052993E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271B8C7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66E9582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1.25</w:t>
            </w:r>
          </w:p>
        </w:tc>
        <w:tc>
          <w:tcPr>
            <w:tcW w:w="355" w:type="pct"/>
            <w:noWrap/>
            <w:vAlign w:val="center"/>
          </w:tcPr>
          <w:p w14:paraId="20E7814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1.39</w:t>
            </w:r>
          </w:p>
        </w:tc>
        <w:tc>
          <w:tcPr>
            <w:tcW w:w="355" w:type="pct"/>
            <w:noWrap/>
            <w:vAlign w:val="center"/>
          </w:tcPr>
          <w:p w14:paraId="6C5626C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1.47</w:t>
            </w:r>
          </w:p>
        </w:tc>
        <w:tc>
          <w:tcPr>
            <w:tcW w:w="355" w:type="pct"/>
            <w:vAlign w:val="center"/>
          </w:tcPr>
          <w:p w14:paraId="40197DE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355" w:type="pct"/>
            <w:noWrap/>
            <w:vAlign w:val="center"/>
          </w:tcPr>
          <w:p w14:paraId="2D00AF6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55" w:type="pct"/>
            <w:noWrap/>
            <w:vAlign w:val="center"/>
          </w:tcPr>
          <w:p w14:paraId="0E561F7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1.41</w:t>
            </w:r>
          </w:p>
        </w:tc>
        <w:tc>
          <w:tcPr>
            <w:tcW w:w="355" w:type="pct"/>
            <w:noWrap/>
            <w:vAlign w:val="center"/>
          </w:tcPr>
          <w:p w14:paraId="19020DA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1.47</w:t>
            </w:r>
          </w:p>
        </w:tc>
        <w:tc>
          <w:tcPr>
            <w:tcW w:w="275" w:type="pct"/>
            <w:vAlign w:val="center"/>
          </w:tcPr>
          <w:p w14:paraId="7ED23E9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1.47</w:t>
            </w:r>
          </w:p>
        </w:tc>
      </w:tr>
      <w:tr w:rsidR="00573723" w:rsidRPr="00657A6B" w14:paraId="6FF4D752" w14:textId="77777777" w:rsidTr="00D30617">
        <w:trPr>
          <w:trHeight w:val="240"/>
        </w:trPr>
        <w:tc>
          <w:tcPr>
            <w:tcW w:w="744" w:type="pct"/>
            <w:noWrap/>
            <w:vAlign w:val="center"/>
          </w:tcPr>
          <w:p w14:paraId="72DE50A4" w14:textId="27D12294"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Northern Beaches</w:t>
            </w:r>
          </w:p>
        </w:tc>
        <w:tc>
          <w:tcPr>
            <w:tcW w:w="355" w:type="pct"/>
            <w:noWrap/>
            <w:vAlign w:val="center"/>
          </w:tcPr>
          <w:p w14:paraId="55C8A50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0D70DF2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3E2CD50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58F601F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70B5CA4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55" w:type="pct"/>
            <w:noWrap/>
            <w:vAlign w:val="center"/>
          </w:tcPr>
          <w:p w14:paraId="091CE69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1.30</w:t>
            </w:r>
          </w:p>
        </w:tc>
        <w:tc>
          <w:tcPr>
            <w:tcW w:w="355" w:type="pct"/>
            <w:noWrap/>
            <w:vAlign w:val="center"/>
          </w:tcPr>
          <w:p w14:paraId="34C6497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55" w:type="pct"/>
            <w:vAlign w:val="center"/>
          </w:tcPr>
          <w:p w14:paraId="35FDB06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55" w:type="pct"/>
            <w:noWrap/>
            <w:vAlign w:val="center"/>
          </w:tcPr>
          <w:p w14:paraId="606431A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1.27</w:t>
            </w:r>
          </w:p>
        </w:tc>
        <w:tc>
          <w:tcPr>
            <w:tcW w:w="355" w:type="pct"/>
            <w:noWrap/>
            <w:vAlign w:val="center"/>
          </w:tcPr>
          <w:p w14:paraId="7ED1F19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1.31</w:t>
            </w:r>
          </w:p>
        </w:tc>
        <w:tc>
          <w:tcPr>
            <w:tcW w:w="355" w:type="pct"/>
            <w:noWrap/>
            <w:vAlign w:val="center"/>
          </w:tcPr>
          <w:p w14:paraId="572F105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275" w:type="pct"/>
            <w:vAlign w:val="center"/>
          </w:tcPr>
          <w:p w14:paraId="4392C0A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1.36</w:t>
            </w:r>
          </w:p>
        </w:tc>
      </w:tr>
      <w:tr w:rsidR="00573723" w:rsidRPr="00657A6B" w14:paraId="48318176"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1EF56824" w14:textId="2E020DD7"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Outer </w:t>
            </w:r>
            <w:proofErr w:type="gramStart"/>
            <w:r w:rsidRPr="004A30E1">
              <w:rPr>
                <w:rFonts w:cs="Arial"/>
                <w:color w:val="000000"/>
                <w:sz w:val="14"/>
                <w:szCs w:val="14"/>
              </w:rPr>
              <w:t>South West</w:t>
            </w:r>
            <w:proofErr w:type="gramEnd"/>
          </w:p>
        </w:tc>
        <w:tc>
          <w:tcPr>
            <w:tcW w:w="355" w:type="pct"/>
            <w:noWrap/>
            <w:vAlign w:val="center"/>
          </w:tcPr>
          <w:p w14:paraId="47A8F09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37229D9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vAlign w:val="center"/>
          </w:tcPr>
          <w:p w14:paraId="460436F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vAlign w:val="center"/>
          </w:tcPr>
          <w:p w14:paraId="2ABD99C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noWrap/>
            <w:vAlign w:val="center"/>
          </w:tcPr>
          <w:p w14:paraId="46C0CD9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6D9C0E7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16E2F72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1C30F8A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1DC0C65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0785A1A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2C96E69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275" w:type="pct"/>
            <w:vAlign w:val="center"/>
          </w:tcPr>
          <w:p w14:paraId="3419432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573723" w:rsidRPr="00657A6B" w14:paraId="210306EB" w14:textId="77777777" w:rsidTr="00D30617">
        <w:trPr>
          <w:trHeight w:val="240"/>
        </w:trPr>
        <w:tc>
          <w:tcPr>
            <w:tcW w:w="744" w:type="pct"/>
            <w:noWrap/>
            <w:vAlign w:val="center"/>
          </w:tcPr>
          <w:p w14:paraId="2E406D5A" w14:textId="7F03F1D6"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lastRenderedPageBreak/>
              <w:t xml:space="preserve">Sydney </w:t>
            </w:r>
            <w:r w:rsidR="00BB6E62">
              <w:rPr>
                <w:rFonts w:cs="Arial"/>
                <w:color w:val="000000"/>
                <w:sz w:val="14"/>
                <w:szCs w:val="14"/>
              </w:rPr>
              <w:t>–</w:t>
            </w:r>
            <w:r w:rsidRPr="004A30E1">
              <w:rPr>
                <w:rFonts w:cs="Arial"/>
                <w:color w:val="000000"/>
                <w:sz w:val="14"/>
                <w:szCs w:val="14"/>
              </w:rPr>
              <w:t xml:space="preserve"> Outer West </w:t>
            </w:r>
            <w:r w:rsidR="00D30617">
              <w:rPr>
                <w:rFonts w:cs="Arial"/>
                <w:color w:val="000000"/>
                <w:sz w:val="14"/>
                <w:szCs w:val="14"/>
              </w:rPr>
              <w:t>&amp;</w:t>
            </w:r>
            <w:r w:rsidRPr="004A30E1">
              <w:rPr>
                <w:rFonts w:cs="Arial"/>
                <w:color w:val="000000"/>
                <w:sz w:val="14"/>
                <w:szCs w:val="14"/>
              </w:rPr>
              <w:t xml:space="preserve"> Blue Mountains</w:t>
            </w:r>
          </w:p>
        </w:tc>
        <w:tc>
          <w:tcPr>
            <w:tcW w:w="355" w:type="pct"/>
            <w:noWrap/>
            <w:vAlign w:val="center"/>
          </w:tcPr>
          <w:p w14:paraId="78AFD53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0C9439D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vAlign w:val="center"/>
          </w:tcPr>
          <w:p w14:paraId="2D7B94E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vAlign w:val="center"/>
          </w:tcPr>
          <w:p w14:paraId="790BD9F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noWrap/>
            <w:vAlign w:val="center"/>
          </w:tcPr>
          <w:p w14:paraId="56B61BE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2359E6F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4AFDFDA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0CF8AF6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3B6EFEE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2C35CBF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26DFB49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275" w:type="pct"/>
            <w:vAlign w:val="center"/>
          </w:tcPr>
          <w:p w14:paraId="6F1F5B6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573723" w:rsidRPr="00657A6B" w14:paraId="72AF59BC"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0C2D2058" w14:textId="1BEDA951"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Parramatta</w:t>
            </w:r>
          </w:p>
        </w:tc>
        <w:tc>
          <w:tcPr>
            <w:tcW w:w="355" w:type="pct"/>
            <w:noWrap/>
            <w:vAlign w:val="center"/>
          </w:tcPr>
          <w:p w14:paraId="3A3E819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0AFDA15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vAlign w:val="center"/>
          </w:tcPr>
          <w:p w14:paraId="3F22941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vAlign w:val="center"/>
          </w:tcPr>
          <w:p w14:paraId="2C9907C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05CB748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6942D4E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55" w:type="pct"/>
            <w:noWrap/>
            <w:vAlign w:val="center"/>
          </w:tcPr>
          <w:p w14:paraId="43EDBA8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121940A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noWrap/>
            <w:vAlign w:val="center"/>
          </w:tcPr>
          <w:p w14:paraId="6DD32E2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55" w:type="pct"/>
            <w:noWrap/>
            <w:vAlign w:val="center"/>
          </w:tcPr>
          <w:p w14:paraId="599F3B7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1.14</w:t>
            </w:r>
          </w:p>
        </w:tc>
        <w:tc>
          <w:tcPr>
            <w:tcW w:w="355" w:type="pct"/>
            <w:noWrap/>
            <w:vAlign w:val="center"/>
          </w:tcPr>
          <w:p w14:paraId="4CB8B98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275" w:type="pct"/>
            <w:vAlign w:val="center"/>
          </w:tcPr>
          <w:p w14:paraId="65B1D7C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r>
      <w:tr w:rsidR="00573723" w:rsidRPr="00657A6B" w14:paraId="140BE546" w14:textId="77777777" w:rsidTr="00D30617">
        <w:trPr>
          <w:trHeight w:val="240"/>
        </w:trPr>
        <w:tc>
          <w:tcPr>
            <w:tcW w:w="744" w:type="pct"/>
            <w:noWrap/>
            <w:vAlign w:val="center"/>
          </w:tcPr>
          <w:p w14:paraId="4C1271D7" w14:textId="20F854D2"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Ryde</w:t>
            </w:r>
          </w:p>
        </w:tc>
        <w:tc>
          <w:tcPr>
            <w:tcW w:w="355" w:type="pct"/>
            <w:noWrap/>
            <w:vAlign w:val="center"/>
          </w:tcPr>
          <w:p w14:paraId="7AA6185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510106F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2F751CA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3AD9143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34E9BB9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1.17</w:t>
            </w:r>
          </w:p>
        </w:tc>
        <w:tc>
          <w:tcPr>
            <w:tcW w:w="355" w:type="pct"/>
            <w:noWrap/>
            <w:vAlign w:val="center"/>
          </w:tcPr>
          <w:p w14:paraId="05CDF3B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355" w:type="pct"/>
            <w:noWrap/>
            <w:vAlign w:val="center"/>
          </w:tcPr>
          <w:p w14:paraId="490A4F0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1.35</w:t>
            </w:r>
          </w:p>
        </w:tc>
        <w:tc>
          <w:tcPr>
            <w:tcW w:w="355" w:type="pct"/>
            <w:vAlign w:val="center"/>
          </w:tcPr>
          <w:p w14:paraId="2B8679D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1.21</w:t>
            </w:r>
          </w:p>
        </w:tc>
        <w:tc>
          <w:tcPr>
            <w:tcW w:w="355" w:type="pct"/>
            <w:noWrap/>
            <w:vAlign w:val="center"/>
          </w:tcPr>
          <w:p w14:paraId="60FCECB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1.26</w:t>
            </w:r>
          </w:p>
        </w:tc>
        <w:tc>
          <w:tcPr>
            <w:tcW w:w="355" w:type="pct"/>
            <w:noWrap/>
            <w:vAlign w:val="center"/>
          </w:tcPr>
          <w:p w14:paraId="621230D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1.30</w:t>
            </w:r>
          </w:p>
        </w:tc>
        <w:tc>
          <w:tcPr>
            <w:tcW w:w="355" w:type="pct"/>
            <w:noWrap/>
            <w:vAlign w:val="center"/>
          </w:tcPr>
          <w:p w14:paraId="6EE8E52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1.35</w:t>
            </w:r>
          </w:p>
        </w:tc>
        <w:tc>
          <w:tcPr>
            <w:tcW w:w="275" w:type="pct"/>
            <w:vAlign w:val="center"/>
          </w:tcPr>
          <w:p w14:paraId="77ABC75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1.35</w:t>
            </w:r>
          </w:p>
        </w:tc>
      </w:tr>
      <w:tr w:rsidR="00573723" w:rsidRPr="00657A6B" w14:paraId="09B8EDA9"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2767619C" w14:textId="6F42109A"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w:t>
            </w:r>
            <w:proofErr w:type="gramStart"/>
            <w:r w:rsidRPr="004A30E1">
              <w:rPr>
                <w:rFonts w:cs="Arial"/>
                <w:color w:val="000000"/>
                <w:sz w:val="14"/>
                <w:szCs w:val="14"/>
              </w:rPr>
              <w:t>South West</w:t>
            </w:r>
            <w:proofErr w:type="gramEnd"/>
          </w:p>
        </w:tc>
        <w:tc>
          <w:tcPr>
            <w:tcW w:w="355" w:type="pct"/>
            <w:noWrap/>
            <w:vAlign w:val="center"/>
          </w:tcPr>
          <w:p w14:paraId="4418537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74470C7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vAlign w:val="center"/>
          </w:tcPr>
          <w:p w14:paraId="64B6245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vAlign w:val="center"/>
          </w:tcPr>
          <w:p w14:paraId="3A9C37A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160EED2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55AD174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6C6319B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30DF802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0943B12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04EF26D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65B1D68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275" w:type="pct"/>
            <w:vAlign w:val="center"/>
          </w:tcPr>
          <w:p w14:paraId="727EE8E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r>
      <w:tr w:rsidR="00573723" w:rsidRPr="00657A6B" w14:paraId="56C0D30A" w14:textId="77777777" w:rsidTr="00D30617">
        <w:trPr>
          <w:trHeight w:val="240"/>
        </w:trPr>
        <w:tc>
          <w:tcPr>
            <w:tcW w:w="744" w:type="pct"/>
            <w:noWrap/>
            <w:vAlign w:val="center"/>
          </w:tcPr>
          <w:p w14:paraId="168231DB" w14:textId="62BD5896"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Sydney </w:t>
            </w:r>
            <w:r w:rsidR="00BB6E62">
              <w:rPr>
                <w:rFonts w:cs="Arial"/>
                <w:color w:val="000000"/>
                <w:sz w:val="14"/>
                <w:szCs w:val="14"/>
              </w:rPr>
              <w:t>–</w:t>
            </w:r>
            <w:r w:rsidRPr="004A30E1">
              <w:rPr>
                <w:rFonts w:cs="Arial"/>
                <w:color w:val="000000"/>
                <w:sz w:val="14"/>
                <w:szCs w:val="14"/>
              </w:rPr>
              <w:t xml:space="preserve"> Sutherland</w:t>
            </w:r>
          </w:p>
        </w:tc>
        <w:tc>
          <w:tcPr>
            <w:tcW w:w="355" w:type="pct"/>
            <w:noWrap/>
            <w:vAlign w:val="center"/>
          </w:tcPr>
          <w:p w14:paraId="1BBF60A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17EB7BB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3FF6439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658CF55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6BABF3F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55" w:type="pct"/>
            <w:noWrap/>
            <w:vAlign w:val="center"/>
          </w:tcPr>
          <w:p w14:paraId="3EBC7A1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55" w:type="pct"/>
            <w:noWrap/>
            <w:vAlign w:val="center"/>
          </w:tcPr>
          <w:p w14:paraId="5FA4B95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1.26</w:t>
            </w:r>
          </w:p>
        </w:tc>
        <w:tc>
          <w:tcPr>
            <w:tcW w:w="355" w:type="pct"/>
            <w:vAlign w:val="center"/>
          </w:tcPr>
          <w:p w14:paraId="4D66470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noWrap/>
            <w:vAlign w:val="center"/>
          </w:tcPr>
          <w:p w14:paraId="67BF688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1.20</w:t>
            </w:r>
          </w:p>
        </w:tc>
        <w:tc>
          <w:tcPr>
            <w:tcW w:w="355" w:type="pct"/>
            <w:noWrap/>
            <w:vAlign w:val="center"/>
          </w:tcPr>
          <w:p w14:paraId="351ACBF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1.23</w:t>
            </w:r>
          </w:p>
        </w:tc>
        <w:tc>
          <w:tcPr>
            <w:tcW w:w="355" w:type="pct"/>
            <w:noWrap/>
            <w:vAlign w:val="center"/>
          </w:tcPr>
          <w:p w14:paraId="60101F1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1.26</w:t>
            </w:r>
          </w:p>
        </w:tc>
        <w:tc>
          <w:tcPr>
            <w:tcW w:w="275" w:type="pct"/>
            <w:vAlign w:val="center"/>
          </w:tcPr>
          <w:p w14:paraId="6585BD6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1.26</w:t>
            </w:r>
          </w:p>
        </w:tc>
      </w:tr>
      <w:tr w:rsidR="00573723" w:rsidRPr="00657A6B" w14:paraId="5A86496E"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4871D456" w14:textId="4091C3D8" w:rsidR="00573723" w:rsidRPr="00573723" w:rsidRDefault="00573723" w:rsidP="00B27662">
            <w:pPr>
              <w:spacing w:before="60" w:after="60" w:line="200" w:lineRule="atLeast"/>
              <w:contextualSpacing/>
              <w:rPr>
                <w:rFonts w:cs="Arial"/>
                <w:b/>
                <w:bCs/>
                <w:color w:val="000000"/>
                <w:sz w:val="14"/>
                <w:szCs w:val="14"/>
              </w:rPr>
            </w:pPr>
            <w:r w:rsidRPr="00573723">
              <w:rPr>
                <w:rFonts w:cs="Arial"/>
                <w:b/>
                <w:bCs/>
                <w:color w:val="000000"/>
                <w:sz w:val="14"/>
                <w:szCs w:val="14"/>
              </w:rPr>
              <w:t>Northern Territory</w:t>
            </w:r>
          </w:p>
        </w:tc>
        <w:tc>
          <w:tcPr>
            <w:tcW w:w="355" w:type="pct"/>
            <w:noWrap/>
            <w:vAlign w:val="center"/>
          </w:tcPr>
          <w:p w14:paraId="51EBBD09"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5BBFF249"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6DBEC990"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4B477A7E"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1033243E"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15022AA7"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0F2B1120"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023CC4E8"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705AA84F"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60F7C919"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1CEAB24E" w14:textId="77777777" w:rsidR="00573723" w:rsidRPr="004A30E1" w:rsidRDefault="00573723" w:rsidP="00B27662">
            <w:pPr>
              <w:spacing w:before="60" w:after="60" w:line="200" w:lineRule="atLeast"/>
              <w:contextualSpacing/>
              <w:jc w:val="center"/>
              <w:rPr>
                <w:rFonts w:cs="Arial"/>
                <w:color w:val="000000"/>
                <w:sz w:val="14"/>
                <w:szCs w:val="14"/>
              </w:rPr>
            </w:pPr>
          </w:p>
        </w:tc>
        <w:tc>
          <w:tcPr>
            <w:tcW w:w="275" w:type="pct"/>
            <w:vAlign w:val="center"/>
          </w:tcPr>
          <w:p w14:paraId="72C7153A" w14:textId="77777777" w:rsidR="00573723" w:rsidRPr="004A30E1" w:rsidRDefault="00573723" w:rsidP="00B27662">
            <w:pPr>
              <w:spacing w:before="60" w:after="60" w:line="200" w:lineRule="atLeast"/>
              <w:contextualSpacing/>
              <w:jc w:val="center"/>
              <w:rPr>
                <w:rFonts w:cs="Arial"/>
                <w:color w:val="000000"/>
                <w:sz w:val="14"/>
                <w:szCs w:val="14"/>
              </w:rPr>
            </w:pPr>
          </w:p>
        </w:tc>
      </w:tr>
      <w:tr w:rsidR="00573723" w:rsidRPr="00657A6B" w14:paraId="334EC83D" w14:textId="77777777" w:rsidTr="00D30617">
        <w:trPr>
          <w:trHeight w:val="240"/>
        </w:trPr>
        <w:tc>
          <w:tcPr>
            <w:tcW w:w="744" w:type="pct"/>
            <w:noWrap/>
            <w:vAlign w:val="center"/>
          </w:tcPr>
          <w:p w14:paraId="3E6D1BAC" w14:textId="787FE293"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Darwin</w:t>
            </w:r>
          </w:p>
        </w:tc>
        <w:tc>
          <w:tcPr>
            <w:tcW w:w="355" w:type="pct"/>
            <w:noWrap/>
            <w:vAlign w:val="center"/>
          </w:tcPr>
          <w:p w14:paraId="7ACB64A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1.35</w:t>
            </w:r>
          </w:p>
        </w:tc>
        <w:tc>
          <w:tcPr>
            <w:tcW w:w="355" w:type="pct"/>
            <w:noWrap/>
            <w:vAlign w:val="center"/>
          </w:tcPr>
          <w:p w14:paraId="67E2673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55" w:type="pct"/>
            <w:vAlign w:val="center"/>
          </w:tcPr>
          <w:p w14:paraId="739D7F9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55" w:type="pct"/>
            <w:vAlign w:val="center"/>
          </w:tcPr>
          <w:p w14:paraId="7C33C36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1.41</w:t>
            </w:r>
          </w:p>
        </w:tc>
        <w:tc>
          <w:tcPr>
            <w:tcW w:w="355" w:type="pct"/>
            <w:noWrap/>
            <w:vAlign w:val="center"/>
          </w:tcPr>
          <w:p w14:paraId="68DD203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355" w:type="pct"/>
            <w:noWrap/>
            <w:vAlign w:val="center"/>
          </w:tcPr>
          <w:p w14:paraId="06299BF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1.26</w:t>
            </w:r>
          </w:p>
        </w:tc>
        <w:tc>
          <w:tcPr>
            <w:tcW w:w="355" w:type="pct"/>
            <w:noWrap/>
            <w:vAlign w:val="center"/>
          </w:tcPr>
          <w:p w14:paraId="0550751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1.28</w:t>
            </w:r>
          </w:p>
        </w:tc>
        <w:tc>
          <w:tcPr>
            <w:tcW w:w="355" w:type="pct"/>
            <w:vAlign w:val="center"/>
          </w:tcPr>
          <w:p w14:paraId="7AA80B6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1.21</w:t>
            </w:r>
          </w:p>
        </w:tc>
        <w:tc>
          <w:tcPr>
            <w:tcW w:w="355" w:type="pct"/>
            <w:noWrap/>
            <w:vAlign w:val="center"/>
          </w:tcPr>
          <w:p w14:paraId="1BCB574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55" w:type="pct"/>
            <w:noWrap/>
            <w:vAlign w:val="center"/>
          </w:tcPr>
          <w:p w14:paraId="62DFE9E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1.27</w:t>
            </w:r>
          </w:p>
        </w:tc>
        <w:tc>
          <w:tcPr>
            <w:tcW w:w="355" w:type="pct"/>
            <w:noWrap/>
            <w:vAlign w:val="center"/>
          </w:tcPr>
          <w:p w14:paraId="431C213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1.28</w:t>
            </w:r>
          </w:p>
        </w:tc>
        <w:tc>
          <w:tcPr>
            <w:tcW w:w="275" w:type="pct"/>
            <w:vAlign w:val="center"/>
          </w:tcPr>
          <w:p w14:paraId="2933624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1.28</w:t>
            </w:r>
          </w:p>
        </w:tc>
      </w:tr>
      <w:tr w:rsidR="00573723" w:rsidRPr="00657A6B" w14:paraId="4AA9EECA"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064A2B3" w14:textId="2E34489D"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Northern Territory </w:t>
            </w:r>
            <w:r w:rsidR="00BB6E62">
              <w:rPr>
                <w:rFonts w:cs="Arial"/>
                <w:color w:val="000000"/>
                <w:sz w:val="14"/>
                <w:szCs w:val="14"/>
              </w:rPr>
              <w:t>–</w:t>
            </w:r>
            <w:r w:rsidRPr="004A30E1">
              <w:rPr>
                <w:rFonts w:cs="Arial"/>
                <w:color w:val="000000"/>
                <w:sz w:val="14"/>
                <w:szCs w:val="14"/>
              </w:rPr>
              <w:t xml:space="preserve"> Outback</w:t>
            </w:r>
          </w:p>
        </w:tc>
        <w:tc>
          <w:tcPr>
            <w:tcW w:w="355" w:type="pct"/>
            <w:noWrap/>
            <w:vAlign w:val="center"/>
          </w:tcPr>
          <w:p w14:paraId="5FC2A55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1.39</w:t>
            </w:r>
          </w:p>
        </w:tc>
        <w:tc>
          <w:tcPr>
            <w:tcW w:w="355" w:type="pct"/>
            <w:noWrap/>
            <w:vAlign w:val="center"/>
          </w:tcPr>
          <w:p w14:paraId="494EAFD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1.40</w:t>
            </w:r>
          </w:p>
        </w:tc>
        <w:tc>
          <w:tcPr>
            <w:tcW w:w="355" w:type="pct"/>
            <w:vAlign w:val="center"/>
          </w:tcPr>
          <w:p w14:paraId="6ABC706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1.40</w:t>
            </w:r>
          </w:p>
        </w:tc>
        <w:tc>
          <w:tcPr>
            <w:tcW w:w="355" w:type="pct"/>
            <w:vAlign w:val="center"/>
          </w:tcPr>
          <w:p w14:paraId="5A31A43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1.47</w:t>
            </w:r>
          </w:p>
        </w:tc>
        <w:tc>
          <w:tcPr>
            <w:tcW w:w="355" w:type="pct"/>
            <w:noWrap/>
            <w:vAlign w:val="center"/>
          </w:tcPr>
          <w:p w14:paraId="3D76C38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1.29</w:t>
            </w:r>
          </w:p>
        </w:tc>
        <w:tc>
          <w:tcPr>
            <w:tcW w:w="355" w:type="pct"/>
            <w:noWrap/>
            <w:vAlign w:val="center"/>
          </w:tcPr>
          <w:p w14:paraId="1037E63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55" w:type="pct"/>
            <w:noWrap/>
            <w:vAlign w:val="center"/>
          </w:tcPr>
          <w:p w14:paraId="4B86989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55" w:type="pct"/>
            <w:vAlign w:val="center"/>
          </w:tcPr>
          <w:p w14:paraId="05992BA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55" w:type="pct"/>
            <w:noWrap/>
            <w:vAlign w:val="center"/>
          </w:tcPr>
          <w:p w14:paraId="602B979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55" w:type="pct"/>
            <w:noWrap/>
            <w:vAlign w:val="center"/>
          </w:tcPr>
          <w:p w14:paraId="0363E02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55" w:type="pct"/>
            <w:noWrap/>
            <w:vAlign w:val="center"/>
          </w:tcPr>
          <w:p w14:paraId="299B705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275" w:type="pct"/>
            <w:vAlign w:val="center"/>
          </w:tcPr>
          <w:p w14:paraId="4B31A59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1.24</w:t>
            </w:r>
          </w:p>
        </w:tc>
      </w:tr>
      <w:tr w:rsidR="00573723" w:rsidRPr="00657A6B" w14:paraId="41CAE291" w14:textId="77777777" w:rsidTr="00D30617">
        <w:trPr>
          <w:trHeight w:val="240"/>
        </w:trPr>
        <w:tc>
          <w:tcPr>
            <w:tcW w:w="744" w:type="pct"/>
            <w:noWrap/>
            <w:vAlign w:val="center"/>
          </w:tcPr>
          <w:p w14:paraId="5CD0AF1D" w14:textId="4A19CC8E" w:rsidR="00573723" w:rsidRPr="00573723" w:rsidRDefault="00573723" w:rsidP="00B27662">
            <w:pPr>
              <w:spacing w:before="60" w:after="60" w:line="200" w:lineRule="atLeast"/>
              <w:contextualSpacing/>
              <w:rPr>
                <w:rFonts w:cs="Arial"/>
                <w:b/>
                <w:bCs/>
                <w:color w:val="000000"/>
                <w:sz w:val="14"/>
                <w:szCs w:val="14"/>
              </w:rPr>
            </w:pPr>
            <w:r w:rsidRPr="00573723">
              <w:rPr>
                <w:rFonts w:cs="Arial"/>
                <w:b/>
                <w:bCs/>
                <w:color w:val="000000"/>
                <w:sz w:val="14"/>
                <w:szCs w:val="14"/>
              </w:rPr>
              <w:t>Queensland</w:t>
            </w:r>
          </w:p>
        </w:tc>
        <w:tc>
          <w:tcPr>
            <w:tcW w:w="355" w:type="pct"/>
            <w:noWrap/>
            <w:vAlign w:val="center"/>
          </w:tcPr>
          <w:p w14:paraId="4CDAC526"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7FCA25EE"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091E2795"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64E12604"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2C7C4BB5"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377139F1"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0DC8AE91"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66DDA63F"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603FBA38"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07D7CF70"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7D3DAE09" w14:textId="77777777" w:rsidR="00573723" w:rsidRPr="004A30E1" w:rsidRDefault="00573723" w:rsidP="00B27662">
            <w:pPr>
              <w:spacing w:before="60" w:after="60" w:line="200" w:lineRule="atLeast"/>
              <w:contextualSpacing/>
              <w:jc w:val="center"/>
              <w:rPr>
                <w:rFonts w:cs="Arial"/>
                <w:color w:val="000000"/>
                <w:sz w:val="14"/>
                <w:szCs w:val="14"/>
              </w:rPr>
            </w:pPr>
          </w:p>
        </w:tc>
        <w:tc>
          <w:tcPr>
            <w:tcW w:w="275" w:type="pct"/>
            <w:vAlign w:val="center"/>
          </w:tcPr>
          <w:p w14:paraId="424A91DF" w14:textId="77777777" w:rsidR="00573723" w:rsidRPr="004A30E1" w:rsidRDefault="00573723" w:rsidP="00B27662">
            <w:pPr>
              <w:spacing w:before="60" w:after="60" w:line="200" w:lineRule="atLeast"/>
              <w:contextualSpacing/>
              <w:jc w:val="center"/>
              <w:rPr>
                <w:rFonts w:cs="Arial"/>
                <w:color w:val="000000"/>
                <w:sz w:val="14"/>
                <w:szCs w:val="14"/>
              </w:rPr>
            </w:pPr>
          </w:p>
        </w:tc>
      </w:tr>
      <w:tr w:rsidR="00573723" w:rsidRPr="00657A6B" w14:paraId="2444FFC3"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43A94EB" w14:textId="7244D44D"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 xml:space="preserve">Brisbane </w:t>
            </w:r>
            <w:r w:rsidR="00BB6E62">
              <w:rPr>
                <w:rFonts w:cs="Arial"/>
                <w:color w:val="000000"/>
                <w:sz w:val="14"/>
                <w:szCs w:val="14"/>
              </w:rPr>
              <w:t>–</w:t>
            </w:r>
            <w:r w:rsidRPr="004A30E1">
              <w:rPr>
                <w:rFonts w:cs="Arial"/>
                <w:color w:val="000000"/>
                <w:sz w:val="14"/>
                <w:szCs w:val="14"/>
              </w:rPr>
              <w:t xml:space="preserve"> East</w:t>
            </w:r>
          </w:p>
        </w:tc>
        <w:tc>
          <w:tcPr>
            <w:tcW w:w="355" w:type="pct"/>
            <w:noWrap/>
            <w:vAlign w:val="center"/>
          </w:tcPr>
          <w:p w14:paraId="066FFDE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116C243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7CB62CA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73DB878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47EB8BA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325878E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07221DF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vAlign w:val="center"/>
          </w:tcPr>
          <w:p w14:paraId="42E4587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4D23590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601B1C0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0B10665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275" w:type="pct"/>
            <w:vAlign w:val="center"/>
          </w:tcPr>
          <w:p w14:paraId="0F32A08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573723" w:rsidRPr="00657A6B" w14:paraId="4E35E8A2" w14:textId="77777777" w:rsidTr="00D30617">
        <w:trPr>
          <w:trHeight w:val="240"/>
        </w:trPr>
        <w:tc>
          <w:tcPr>
            <w:tcW w:w="744" w:type="pct"/>
            <w:noWrap/>
            <w:vAlign w:val="center"/>
          </w:tcPr>
          <w:p w14:paraId="06148F78" w14:textId="47C0F771"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 xml:space="preserve">Brisbane </w:t>
            </w:r>
            <w:r w:rsidR="00BB6E62">
              <w:rPr>
                <w:rFonts w:cs="Arial"/>
                <w:color w:val="000000"/>
                <w:sz w:val="14"/>
                <w:szCs w:val="14"/>
              </w:rPr>
              <w:t>–</w:t>
            </w:r>
            <w:r w:rsidRPr="004A30E1">
              <w:rPr>
                <w:rFonts w:cs="Arial"/>
                <w:color w:val="000000"/>
                <w:sz w:val="14"/>
                <w:szCs w:val="14"/>
              </w:rPr>
              <w:t xml:space="preserve"> North</w:t>
            </w:r>
          </w:p>
        </w:tc>
        <w:tc>
          <w:tcPr>
            <w:tcW w:w="355" w:type="pct"/>
            <w:noWrap/>
            <w:vAlign w:val="center"/>
          </w:tcPr>
          <w:p w14:paraId="5DD0A7D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28C3B44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76E6F09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14A8959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227EA4E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6F88375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57BFB1C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vAlign w:val="center"/>
          </w:tcPr>
          <w:p w14:paraId="70145A3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57D6B76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6347550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42956FC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275" w:type="pct"/>
            <w:vAlign w:val="center"/>
          </w:tcPr>
          <w:p w14:paraId="79EE837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r>
      <w:tr w:rsidR="00573723" w:rsidRPr="00657A6B" w14:paraId="6B01485D"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052A737C" w14:textId="7828A101"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 xml:space="preserve">Brisbane </w:t>
            </w:r>
            <w:r w:rsidR="00BB6E62">
              <w:rPr>
                <w:rFonts w:cs="Arial"/>
                <w:color w:val="000000"/>
                <w:sz w:val="14"/>
                <w:szCs w:val="14"/>
              </w:rPr>
              <w:t>–</w:t>
            </w:r>
            <w:r w:rsidRPr="004A30E1">
              <w:rPr>
                <w:rFonts w:cs="Arial"/>
                <w:color w:val="000000"/>
                <w:sz w:val="14"/>
                <w:szCs w:val="14"/>
              </w:rPr>
              <w:t xml:space="preserve"> South</w:t>
            </w:r>
          </w:p>
        </w:tc>
        <w:tc>
          <w:tcPr>
            <w:tcW w:w="355" w:type="pct"/>
            <w:noWrap/>
            <w:vAlign w:val="center"/>
          </w:tcPr>
          <w:p w14:paraId="489D0D5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4C15FD1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029BAC4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292C235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1D547F6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4DA83EC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4A7D202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3D47331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6F7EBDC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6C44959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1E2C01E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275" w:type="pct"/>
            <w:vAlign w:val="center"/>
          </w:tcPr>
          <w:p w14:paraId="19519D0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r>
      <w:tr w:rsidR="00573723" w:rsidRPr="00657A6B" w14:paraId="5264E247" w14:textId="77777777" w:rsidTr="00D30617">
        <w:trPr>
          <w:trHeight w:val="240"/>
        </w:trPr>
        <w:tc>
          <w:tcPr>
            <w:tcW w:w="744" w:type="pct"/>
            <w:noWrap/>
            <w:vAlign w:val="center"/>
          </w:tcPr>
          <w:p w14:paraId="2B42148B" w14:textId="562BBC0C"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 xml:space="preserve">Brisbane </w:t>
            </w:r>
            <w:r w:rsidR="00BB6E62">
              <w:rPr>
                <w:rFonts w:cs="Arial"/>
                <w:color w:val="000000"/>
                <w:sz w:val="14"/>
                <w:szCs w:val="14"/>
              </w:rPr>
              <w:t>–</w:t>
            </w:r>
            <w:r w:rsidRPr="004A30E1">
              <w:rPr>
                <w:rFonts w:cs="Arial"/>
                <w:color w:val="000000"/>
                <w:sz w:val="14"/>
                <w:szCs w:val="14"/>
              </w:rPr>
              <w:t xml:space="preserve"> West</w:t>
            </w:r>
          </w:p>
        </w:tc>
        <w:tc>
          <w:tcPr>
            <w:tcW w:w="355" w:type="pct"/>
            <w:noWrap/>
            <w:vAlign w:val="center"/>
          </w:tcPr>
          <w:p w14:paraId="211ADC9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1E8E046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494C5C1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11764C7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0260C7E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55E1ABC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4D86E5D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4B2CCBC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1091E37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47CF133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6E21AC9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275" w:type="pct"/>
            <w:vAlign w:val="center"/>
          </w:tcPr>
          <w:p w14:paraId="1CE6840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573723" w:rsidRPr="00657A6B" w14:paraId="300ACD1D"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0349ABCB" w14:textId="2EF77E00"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Brisbane Inner City</w:t>
            </w:r>
          </w:p>
        </w:tc>
        <w:tc>
          <w:tcPr>
            <w:tcW w:w="355" w:type="pct"/>
            <w:noWrap/>
            <w:vAlign w:val="center"/>
          </w:tcPr>
          <w:p w14:paraId="3C5030B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6B6A79A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vAlign w:val="center"/>
          </w:tcPr>
          <w:p w14:paraId="6ECA1F4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vAlign w:val="center"/>
          </w:tcPr>
          <w:p w14:paraId="5B200E8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77D9985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71B56EB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5866005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5C27953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7594651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58F7758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2864A93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275" w:type="pct"/>
            <w:vAlign w:val="center"/>
          </w:tcPr>
          <w:p w14:paraId="38BC6F6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r>
      <w:tr w:rsidR="00573723" w:rsidRPr="00657A6B" w14:paraId="10419CE1" w14:textId="77777777" w:rsidTr="00D30617">
        <w:trPr>
          <w:trHeight w:val="240"/>
        </w:trPr>
        <w:tc>
          <w:tcPr>
            <w:tcW w:w="744" w:type="pct"/>
            <w:noWrap/>
            <w:vAlign w:val="center"/>
          </w:tcPr>
          <w:p w14:paraId="296B8D54" w14:textId="67A98922"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Cairns</w:t>
            </w:r>
          </w:p>
        </w:tc>
        <w:tc>
          <w:tcPr>
            <w:tcW w:w="355" w:type="pct"/>
            <w:noWrap/>
            <w:vAlign w:val="center"/>
          </w:tcPr>
          <w:p w14:paraId="1E19A76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55" w:type="pct"/>
            <w:noWrap/>
            <w:vAlign w:val="center"/>
          </w:tcPr>
          <w:p w14:paraId="59381D1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58C0F32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7D3D7D1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55" w:type="pct"/>
            <w:noWrap/>
            <w:vAlign w:val="center"/>
          </w:tcPr>
          <w:p w14:paraId="3AF54F6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6FF3C6C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761CDDF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4C7D00C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7293083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0DAE00F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6768C4F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275" w:type="pct"/>
            <w:vAlign w:val="center"/>
          </w:tcPr>
          <w:p w14:paraId="39586C5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r>
      <w:tr w:rsidR="00573723" w:rsidRPr="00657A6B" w14:paraId="40EDF162"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402C1198" w14:textId="5515DEB4"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 xml:space="preserve">Darling Downs </w:t>
            </w:r>
            <w:r w:rsidR="00BB6E62">
              <w:rPr>
                <w:rFonts w:cs="Arial"/>
                <w:color w:val="000000"/>
                <w:sz w:val="14"/>
                <w:szCs w:val="14"/>
              </w:rPr>
              <w:t>–</w:t>
            </w:r>
            <w:r w:rsidRPr="004A30E1">
              <w:rPr>
                <w:rFonts w:cs="Arial"/>
                <w:color w:val="000000"/>
                <w:sz w:val="14"/>
                <w:szCs w:val="14"/>
              </w:rPr>
              <w:t xml:space="preserve"> Maranoa</w:t>
            </w:r>
          </w:p>
        </w:tc>
        <w:tc>
          <w:tcPr>
            <w:tcW w:w="355" w:type="pct"/>
            <w:noWrap/>
            <w:vAlign w:val="center"/>
          </w:tcPr>
          <w:p w14:paraId="75ABD45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5BFE5C4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4826289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7AF10AA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0C3310B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1E15518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55" w:type="pct"/>
            <w:noWrap/>
            <w:vAlign w:val="center"/>
          </w:tcPr>
          <w:p w14:paraId="32E4F34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0.85</w:t>
            </w:r>
          </w:p>
        </w:tc>
        <w:tc>
          <w:tcPr>
            <w:tcW w:w="355" w:type="pct"/>
            <w:vAlign w:val="center"/>
          </w:tcPr>
          <w:p w14:paraId="145662E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511C3B6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noWrap/>
            <w:vAlign w:val="center"/>
          </w:tcPr>
          <w:p w14:paraId="431F232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0.87</w:t>
            </w:r>
          </w:p>
        </w:tc>
        <w:tc>
          <w:tcPr>
            <w:tcW w:w="355" w:type="pct"/>
            <w:noWrap/>
            <w:vAlign w:val="center"/>
          </w:tcPr>
          <w:p w14:paraId="1C944F0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0.85</w:t>
            </w:r>
          </w:p>
        </w:tc>
        <w:tc>
          <w:tcPr>
            <w:tcW w:w="275" w:type="pct"/>
            <w:vAlign w:val="center"/>
          </w:tcPr>
          <w:p w14:paraId="00A7D04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0.85</w:t>
            </w:r>
          </w:p>
        </w:tc>
      </w:tr>
      <w:tr w:rsidR="00573723" w:rsidRPr="00657A6B" w14:paraId="77F1412F" w14:textId="77777777" w:rsidTr="00D30617">
        <w:trPr>
          <w:trHeight w:val="240"/>
        </w:trPr>
        <w:tc>
          <w:tcPr>
            <w:tcW w:w="744" w:type="pct"/>
            <w:noWrap/>
            <w:vAlign w:val="center"/>
          </w:tcPr>
          <w:p w14:paraId="03522249" w14:textId="641672CF"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Fitzroy</w:t>
            </w:r>
          </w:p>
        </w:tc>
        <w:tc>
          <w:tcPr>
            <w:tcW w:w="355" w:type="pct"/>
            <w:noWrap/>
            <w:vAlign w:val="center"/>
          </w:tcPr>
          <w:p w14:paraId="00F9F5C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55" w:type="pct"/>
            <w:noWrap/>
            <w:vAlign w:val="center"/>
          </w:tcPr>
          <w:p w14:paraId="1055BF8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44A1D41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0F53321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55" w:type="pct"/>
            <w:noWrap/>
            <w:vAlign w:val="center"/>
          </w:tcPr>
          <w:p w14:paraId="05B541F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15B0A7F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3528F65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vAlign w:val="center"/>
          </w:tcPr>
          <w:p w14:paraId="7F7F3D3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4F5D8B5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52B6EFA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4F14C73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275" w:type="pct"/>
            <w:vAlign w:val="center"/>
          </w:tcPr>
          <w:p w14:paraId="6B2B51E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r>
      <w:tr w:rsidR="00573723" w:rsidRPr="00657A6B" w14:paraId="4EB6A0DF"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D5EB277" w14:textId="4C3F6583"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Gold Coast</w:t>
            </w:r>
          </w:p>
        </w:tc>
        <w:tc>
          <w:tcPr>
            <w:tcW w:w="355" w:type="pct"/>
            <w:noWrap/>
            <w:vAlign w:val="center"/>
          </w:tcPr>
          <w:p w14:paraId="34F16BF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2CC738B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71D6E25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5BB565F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591495A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05BE365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6D372EB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vAlign w:val="center"/>
          </w:tcPr>
          <w:p w14:paraId="790852D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4F5FB23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2545B2C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7DE8C70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275" w:type="pct"/>
            <w:vAlign w:val="center"/>
          </w:tcPr>
          <w:p w14:paraId="6629052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r>
      <w:tr w:rsidR="00573723" w:rsidRPr="00657A6B" w14:paraId="0F14E910" w14:textId="77777777" w:rsidTr="00D30617">
        <w:trPr>
          <w:trHeight w:val="240"/>
        </w:trPr>
        <w:tc>
          <w:tcPr>
            <w:tcW w:w="744" w:type="pct"/>
            <w:noWrap/>
            <w:vAlign w:val="center"/>
          </w:tcPr>
          <w:p w14:paraId="4F467BB4" w14:textId="37262529"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Ipswich</w:t>
            </w:r>
          </w:p>
        </w:tc>
        <w:tc>
          <w:tcPr>
            <w:tcW w:w="355" w:type="pct"/>
            <w:noWrap/>
            <w:vAlign w:val="center"/>
          </w:tcPr>
          <w:p w14:paraId="5E04896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6F18D6B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26F111B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0940F24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1B9C012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4AE55A8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55" w:type="pct"/>
            <w:noWrap/>
            <w:vAlign w:val="center"/>
          </w:tcPr>
          <w:p w14:paraId="5BCF0F0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0.84</w:t>
            </w:r>
          </w:p>
        </w:tc>
        <w:tc>
          <w:tcPr>
            <w:tcW w:w="355" w:type="pct"/>
            <w:vAlign w:val="center"/>
          </w:tcPr>
          <w:p w14:paraId="3180C13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3381E30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0.87</w:t>
            </w:r>
          </w:p>
        </w:tc>
        <w:tc>
          <w:tcPr>
            <w:tcW w:w="355" w:type="pct"/>
            <w:noWrap/>
            <w:vAlign w:val="center"/>
          </w:tcPr>
          <w:p w14:paraId="18EF614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55" w:type="pct"/>
            <w:noWrap/>
            <w:vAlign w:val="center"/>
          </w:tcPr>
          <w:p w14:paraId="3273C38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0.83</w:t>
            </w:r>
          </w:p>
        </w:tc>
        <w:tc>
          <w:tcPr>
            <w:tcW w:w="275" w:type="pct"/>
            <w:vAlign w:val="center"/>
          </w:tcPr>
          <w:p w14:paraId="1E21BB2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0.83</w:t>
            </w:r>
          </w:p>
        </w:tc>
      </w:tr>
      <w:tr w:rsidR="00573723" w:rsidRPr="00657A6B" w14:paraId="05891E5E"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303DB8E5" w14:textId="77E4F31C"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 xml:space="preserve">Logan </w:t>
            </w:r>
            <w:r w:rsidR="00BB6E62">
              <w:rPr>
                <w:rFonts w:cs="Arial"/>
                <w:color w:val="000000"/>
                <w:sz w:val="14"/>
                <w:szCs w:val="14"/>
              </w:rPr>
              <w:t>–</w:t>
            </w:r>
            <w:r w:rsidRPr="004A30E1">
              <w:rPr>
                <w:rFonts w:cs="Arial"/>
                <w:color w:val="000000"/>
                <w:sz w:val="14"/>
                <w:szCs w:val="14"/>
              </w:rPr>
              <w:t xml:space="preserve"> Beaudesert</w:t>
            </w:r>
          </w:p>
        </w:tc>
        <w:tc>
          <w:tcPr>
            <w:tcW w:w="355" w:type="pct"/>
            <w:noWrap/>
            <w:vAlign w:val="center"/>
          </w:tcPr>
          <w:p w14:paraId="4AEAF7D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3333CED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6593347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5B4FDC8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21CCA64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4312B25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noWrap/>
            <w:vAlign w:val="center"/>
          </w:tcPr>
          <w:p w14:paraId="3F50FD0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0.87</w:t>
            </w:r>
          </w:p>
        </w:tc>
        <w:tc>
          <w:tcPr>
            <w:tcW w:w="355" w:type="pct"/>
            <w:vAlign w:val="center"/>
          </w:tcPr>
          <w:p w14:paraId="21073F8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2E1CAC9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1D158CC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noWrap/>
            <w:vAlign w:val="center"/>
          </w:tcPr>
          <w:p w14:paraId="5EC5533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0.87</w:t>
            </w:r>
          </w:p>
        </w:tc>
        <w:tc>
          <w:tcPr>
            <w:tcW w:w="275" w:type="pct"/>
            <w:vAlign w:val="center"/>
          </w:tcPr>
          <w:p w14:paraId="5315C73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0.87</w:t>
            </w:r>
          </w:p>
        </w:tc>
      </w:tr>
      <w:tr w:rsidR="00573723" w:rsidRPr="00657A6B" w14:paraId="5EEE7A65" w14:textId="77777777" w:rsidTr="00D30617">
        <w:trPr>
          <w:trHeight w:val="240"/>
        </w:trPr>
        <w:tc>
          <w:tcPr>
            <w:tcW w:w="744" w:type="pct"/>
            <w:noWrap/>
            <w:vAlign w:val="center"/>
          </w:tcPr>
          <w:p w14:paraId="785EC041" w14:textId="54FE85D9"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Mackay</w:t>
            </w:r>
          </w:p>
        </w:tc>
        <w:tc>
          <w:tcPr>
            <w:tcW w:w="355" w:type="pct"/>
            <w:noWrap/>
            <w:vAlign w:val="center"/>
          </w:tcPr>
          <w:p w14:paraId="6602821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55" w:type="pct"/>
            <w:noWrap/>
            <w:vAlign w:val="center"/>
          </w:tcPr>
          <w:p w14:paraId="0945653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464936B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01C5D43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55" w:type="pct"/>
            <w:noWrap/>
            <w:vAlign w:val="center"/>
          </w:tcPr>
          <w:p w14:paraId="1D6C115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55E2D12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797F017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1867F77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678D63C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3639911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597F603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275" w:type="pct"/>
            <w:vAlign w:val="center"/>
          </w:tcPr>
          <w:p w14:paraId="069A0CE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r>
      <w:tr w:rsidR="00573723" w:rsidRPr="00657A6B" w14:paraId="4ADE5921"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DDA6B86" w14:textId="741E5322"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 xml:space="preserve">Moreton Bay </w:t>
            </w:r>
            <w:r w:rsidR="00BB6E62">
              <w:rPr>
                <w:rFonts w:cs="Arial"/>
                <w:color w:val="000000"/>
                <w:sz w:val="14"/>
                <w:szCs w:val="14"/>
              </w:rPr>
              <w:t>–</w:t>
            </w:r>
            <w:r w:rsidRPr="004A30E1">
              <w:rPr>
                <w:rFonts w:cs="Arial"/>
                <w:color w:val="000000"/>
                <w:sz w:val="14"/>
                <w:szCs w:val="14"/>
              </w:rPr>
              <w:t xml:space="preserve"> North</w:t>
            </w:r>
          </w:p>
        </w:tc>
        <w:tc>
          <w:tcPr>
            <w:tcW w:w="355" w:type="pct"/>
            <w:noWrap/>
            <w:vAlign w:val="center"/>
          </w:tcPr>
          <w:p w14:paraId="3F5BF70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4620B16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6F43229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7D93216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1075FDF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199D669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46768C7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vAlign w:val="center"/>
          </w:tcPr>
          <w:p w14:paraId="4CF7C5F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58725D8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367C261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53CD425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275" w:type="pct"/>
            <w:vAlign w:val="center"/>
          </w:tcPr>
          <w:p w14:paraId="0476566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573723" w:rsidRPr="00657A6B" w14:paraId="16FCA4DF" w14:textId="77777777" w:rsidTr="00D30617">
        <w:trPr>
          <w:trHeight w:val="240"/>
        </w:trPr>
        <w:tc>
          <w:tcPr>
            <w:tcW w:w="744" w:type="pct"/>
            <w:noWrap/>
            <w:vAlign w:val="center"/>
          </w:tcPr>
          <w:p w14:paraId="4F0E3668" w14:textId="1D778F9B"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 xml:space="preserve">Moreton Bay </w:t>
            </w:r>
            <w:r w:rsidR="00BB6E62">
              <w:rPr>
                <w:rFonts w:cs="Arial"/>
                <w:color w:val="000000"/>
                <w:sz w:val="14"/>
                <w:szCs w:val="14"/>
              </w:rPr>
              <w:t>–</w:t>
            </w:r>
            <w:r w:rsidRPr="004A30E1">
              <w:rPr>
                <w:rFonts w:cs="Arial"/>
                <w:color w:val="000000"/>
                <w:sz w:val="14"/>
                <w:szCs w:val="14"/>
              </w:rPr>
              <w:t xml:space="preserve"> South</w:t>
            </w:r>
          </w:p>
        </w:tc>
        <w:tc>
          <w:tcPr>
            <w:tcW w:w="355" w:type="pct"/>
            <w:noWrap/>
            <w:vAlign w:val="center"/>
          </w:tcPr>
          <w:p w14:paraId="6F4A117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078BF7D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1FAFBA3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338791E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72F5B83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57A8F9A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087DAC2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vAlign w:val="center"/>
          </w:tcPr>
          <w:p w14:paraId="5842D22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1685D90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27E46CE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01321DE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275" w:type="pct"/>
            <w:vAlign w:val="center"/>
          </w:tcPr>
          <w:p w14:paraId="7AB1EDC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573723" w:rsidRPr="00657A6B" w14:paraId="1F39C124"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54DC478" w14:textId="6053345B"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Outback</w:t>
            </w:r>
          </w:p>
        </w:tc>
        <w:tc>
          <w:tcPr>
            <w:tcW w:w="355" w:type="pct"/>
            <w:noWrap/>
            <w:vAlign w:val="center"/>
          </w:tcPr>
          <w:p w14:paraId="4377180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noWrap/>
            <w:vAlign w:val="center"/>
          </w:tcPr>
          <w:p w14:paraId="4AE23FE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vAlign w:val="center"/>
          </w:tcPr>
          <w:p w14:paraId="64BB507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vAlign w:val="center"/>
          </w:tcPr>
          <w:p w14:paraId="010A0E1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55" w:type="pct"/>
            <w:noWrap/>
            <w:vAlign w:val="center"/>
          </w:tcPr>
          <w:p w14:paraId="79CB58A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0915DA4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266313A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vAlign w:val="center"/>
          </w:tcPr>
          <w:p w14:paraId="41F4F8C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6DF8DCB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7F37F39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208951D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275" w:type="pct"/>
            <w:vAlign w:val="center"/>
          </w:tcPr>
          <w:p w14:paraId="4F16229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r>
      <w:tr w:rsidR="00573723" w:rsidRPr="00657A6B" w14:paraId="3C64B285" w14:textId="77777777" w:rsidTr="00D30617">
        <w:trPr>
          <w:trHeight w:val="240"/>
        </w:trPr>
        <w:tc>
          <w:tcPr>
            <w:tcW w:w="744" w:type="pct"/>
            <w:noWrap/>
            <w:vAlign w:val="center"/>
          </w:tcPr>
          <w:p w14:paraId="05B34418" w14:textId="2CEFF002"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Sunshine Coast</w:t>
            </w:r>
          </w:p>
        </w:tc>
        <w:tc>
          <w:tcPr>
            <w:tcW w:w="355" w:type="pct"/>
            <w:noWrap/>
            <w:vAlign w:val="center"/>
          </w:tcPr>
          <w:p w14:paraId="4948012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6A61AE2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4062FEB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vAlign w:val="center"/>
          </w:tcPr>
          <w:p w14:paraId="30D25F3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119B855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1656411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060B6F2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vAlign w:val="center"/>
          </w:tcPr>
          <w:p w14:paraId="7FB3678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2096BF3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52337F4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1CA65A6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275" w:type="pct"/>
            <w:vAlign w:val="center"/>
          </w:tcPr>
          <w:p w14:paraId="34E7D1B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573723" w:rsidRPr="00657A6B" w14:paraId="5C1BC347"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E2160C5" w14:textId="0BD73EE4"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Toowoomba</w:t>
            </w:r>
          </w:p>
        </w:tc>
        <w:tc>
          <w:tcPr>
            <w:tcW w:w="355" w:type="pct"/>
            <w:noWrap/>
            <w:vAlign w:val="center"/>
          </w:tcPr>
          <w:p w14:paraId="618A583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1366BFC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67D8C71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025A3F8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5B44022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5B13390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0B80C95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vAlign w:val="center"/>
          </w:tcPr>
          <w:p w14:paraId="66B9071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6351DA3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562C65A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0044F8C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275" w:type="pct"/>
            <w:vAlign w:val="center"/>
          </w:tcPr>
          <w:p w14:paraId="710807A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573723" w:rsidRPr="00657A6B" w14:paraId="20A11C77" w14:textId="77777777" w:rsidTr="00D30617">
        <w:trPr>
          <w:trHeight w:val="240"/>
        </w:trPr>
        <w:tc>
          <w:tcPr>
            <w:tcW w:w="744" w:type="pct"/>
            <w:noWrap/>
            <w:vAlign w:val="center"/>
          </w:tcPr>
          <w:p w14:paraId="301F6904" w14:textId="5B947337"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Townsville</w:t>
            </w:r>
          </w:p>
        </w:tc>
        <w:tc>
          <w:tcPr>
            <w:tcW w:w="355" w:type="pct"/>
            <w:noWrap/>
            <w:vAlign w:val="center"/>
          </w:tcPr>
          <w:p w14:paraId="400C795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55" w:type="pct"/>
            <w:noWrap/>
            <w:vAlign w:val="center"/>
          </w:tcPr>
          <w:p w14:paraId="39981C5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1B83A9E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251A695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1.19</w:t>
            </w:r>
          </w:p>
        </w:tc>
        <w:tc>
          <w:tcPr>
            <w:tcW w:w="355" w:type="pct"/>
            <w:noWrap/>
            <w:vAlign w:val="center"/>
          </w:tcPr>
          <w:p w14:paraId="01475D8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29DC161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7B47D7C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0E2DE2D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1163555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2ACE26F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41BA110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275" w:type="pct"/>
            <w:vAlign w:val="center"/>
          </w:tcPr>
          <w:p w14:paraId="1A2BE29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r>
      <w:tr w:rsidR="00573723" w:rsidRPr="00657A6B" w14:paraId="333EC505"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5FCDD7FF" w14:textId="6914DC45"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Wide Bay</w:t>
            </w:r>
          </w:p>
        </w:tc>
        <w:tc>
          <w:tcPr>
            <w:tcW w:w="355" w:type="pct"/>
            <w:noWrap/>
            <w:vAlign w:val="center"/>
          </w:tcPr>
          <w:p w14:paraId="76E4388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2C58E27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68F5BAA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3605E84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1BAC458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3AF346A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noWrap/>
            <w:vAlign w:val="center"/>
          </w:tcPr>
          <w:p w14:paraId="21EB020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55" w:type="pct"/>
            <w:vAlign w:val="center"/>
          </w:tcPr>
          <w:p w14:paraId="4FB9ED0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2AC73CF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noWrap/>
            <w:vAlign w:val="center"/>
          </w:tcPr>
          <w:p w14:paraId="387AF9F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55" w:type="pct"/>
            <w:noWrap/>
            <w:vAlign w:val="center"/>
          </w:tcPr>
          <w:p w14:paraId="60D46CF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275" w:type="pct"/>
            <w:vAlign w:val="center"/>
          </w:tcPr>
          <w:p w14:paraId="50644F3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r>
      <w:tr w:rsidR="00573723" w:rsidRPr="00657A6B" w14:paraId="250D7F86" w14:textId="77777777" w:rsidTr="00D30617">
        <w:trPr>
          <w:trHeight w:val="240"/>
        </w:trPr>
        <w:tc>
          <w:tcPr>
            <w:tcW w:w="744" w:type="pct"/>
            <w:noWrap/>
            <w:vAlign w:val="center"/>
          </w:tcPr>
          <w:p w14:paraId="1A2B16B1" w14:textId="61957D98" w:rsidR="00573723" w:rsidRPr="00573723" w:rsidRDefault="00573723" w:rsidP="00B27662">
            <w:pPr>
              <w:keepNext/>
              <w:spacing w:before="60" w:after="60" w:line="200" w:lineRule="atLeast"/>
              <w:contextualSpacing/>
              <w:rPr>
                <w:rFonts w:cs="Arial"/>
                <w:b/>
                <w:bCs/>
                <w:color w:val="000000"/>
                <w:sz w:val="14"/>
                <w:szCs w:val="14"/>
              </w:rPr>
            </w:pPr>
            <w:r w:rsidRPr="00573723">
              <w:rPr>
                <w:rFonts w:cs="Arial"/>
                <w:b/>
                <w:bCs/>
                <w:color w:val="000000"/>
                <w:sz w:val="14"/>
                <w:szCs w:val="14"/>
              </w:rPr>
              <w:lastRenderedPageBreak/>
              <w:t>South Australia</w:t>
            </w:r>
          </w:p>
        </w:tc>
        <w:tc>
          <w:tcPr>
            <w:tcW w:w="355" w:type="pct"/>
            <w:noWrap/>
            <w:vAlign w:val="center"/>
          </w:tcPr>
          <w:p w14:paraId="02125680"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148D29F2"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068EDA4C"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315954A0"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4B104EBF"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4BA9E04F"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4F0F1841"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1122627D"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6F2905F6"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13D6A32F"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2C3EFC72" w14:textId="77777777" w:rsidR="00573723" w:rsidRPr="004A30E1" w:rsidRDefault="00573723" w:rsidP="00B27662">
            <w:pPr>
              <w:spacing w:before="60" w:after="60" w:line="200" w:lineRule="atLeast"/>
              <w:contextualSpacing/>
              <w:jc w:val="center"/>
              <w:rPr>
                <w:rFonts w:cs="Arial"/>
                <w:color w:val="000000"/>
                <w:sz w:val="14"/>
                <w:szCs w:val="14"/>
              </w:rPr>
            </w:pPr>
          </w:p>
        </w:tc>
        <w:tc>
          <w:tcPr>
            <w:tcW w:w="275" w:type="pct"/>
            <w:vAlign w:val="center"/>
          </w:tcPr>
          <w:p w14:paraId="07676800" w14:textId="77777777" w:rsidR="00573723" w:rsidRPr="004A30E1" w:rsidRDefault="00573723" w:rsidP="00B27662">
            <w:pPr>
              <w:spacing w:before="60" w:after="60" w:line="200" w:lineRule="atLeast"/>
              <w:contextualSpacing/>
              <w:jc w:val="center"/>
              <w:rPr>
                <w:rFonts w:cs="Arial"/>
                <w:color w:val="000000"/>
                <w:sz w:val="14"/>
                <w:szCs w:val="14"/>
              </w:rPr>
            </w:pPr>
          </w:p>
        </w:tc>
      </w:tr>
      <w:tr w:rsidR="00573723" w:rsidRPr="00657A6B" w14:paraId="26936BD0"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0A192FD4" w14:textId="68F7413A" w:rsidR="002C29DE" w:rsidRPr="004A30E1" w:rsidRDefault="002C29DE" w:rsidP="00B27662">
            <w:pPr>
              <w:keepNext/>
              <w:spacing w:before="60" w:after="60" w:line="200" w:lineRule="atLeast"/>
              <w:contextualSpacing/>
              <w:rPr>
                <w:rFonts w:cs="Arial"/>
                <w:color w:val="000000"/>
                <w:sz w:val="14"/>
                <w:szCs w:val="14"/>
              </w:rPr>
            </w:pPr>
            <w:r w:rsidRPr="004A30E1">
              <w:rPr>
                <w:rFonts w:cs="Arial"/>
                <w:color w:val="000000"/>
                <w:sz w:val="14"/>
                <w:szCs w:val="14"/>
              </w:rPr>
              <w:t xml:space="preserve">Adelaide </w:t>
            </w:r>
            <w:r w:rsidR="00BB6E62">
              <w:rPr>
                <w:rFonts w:cs="Arial"/>
                <w:color w:val="000000"/>
                <w:sz w:val="14"/>
                <w:szCs w:val="14"/>
              </w:rPr>
              <w:t>–</w:t>
            </w:r>
            <w:r w:rsidRPr="004A30E1">
              <w:rPr>
                <w:rFonts w:cs="Arial"/>
                <w:color w:val="000000"/>
                <w:sz w:val="14"/>
                <w:szCs w:val="14"/>
              </w:rPr>
              <w:t xml:space="preserve"> Central and Hills</w:t>
            </w:r>
          </w:p>
        </w:tc>
        <w:tc>
          <w:tcPr>
            <w:tcW w:w="355" w:type="pct"/>
            <w:noWrap/>
            <w:vAlign w:val="center"/>
          </w:tcPr>
          <w:p w14:paraId="034C97C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2C679D3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1E07EEE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3163DD5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5F2E536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0F4179B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5DE84F2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34308E6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45D441C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7AECAE9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64F27FE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275" w:type="pct"/>
            <w:vAlign w:val="center"/>
          </w:tcPr>
          <w:p w14:paraId="4622228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r>
      <w:tr w:rsidR="00573723" w:rsidRPr="00657A6B" w14:paraId="1DAC7851" w14:textId="77777777" w:rsidTr="00D30617">
        <w:trPr>
          <w:trHeight w:val="240"/>
        </w:trPr>
        <w:tc>
          <w:tcPr>
            <w:tcW w:w="744" w:type="pct"/>
            <w:noWrap/>
            <w:vAlign w:val="center"/>
          </w:tcPr>
          <w:p w14:paraId="009BCB14" w14:textId="1BDCA1F2" w:rsidR="002C29DE" w:rsidRPr="004A30E1" w:rsidRDefault="002C29DE" w:rsidP="00B27662">
            <w:pPr>
              <w:keepNext/>
              <w:spacing w:before="60" w:after="60" w:line="200" w:lineRule="atLeast"/>
              <w:contextualSpacing/>
              <w:rPr>
                <w:rFonts w:cs="Arial"/>
                <w:color w:val="000000"/>
                <w:sz w:val="14"/>
                <w:szCs w:val="14"/>
              </w:rPr>
            </w:pPr>
            <w:r w:rsidRPr="004A30E1">
              <w:rPr>
                <w:rFonts w:cs="Arial"/>
                <w:color w:val="000000"/>
                <w:sz w:val="14"/>
                <w:szCs w:val="14"/>
              </w:rPr>
              <w:t xml:space="preserve">Adelaide </w:t>
            </w:r>
            <w:r w:rsidR="00BB6E62">
              <w:rPr>
                <w:rFonts w:cs="Arial"/>
                <w:color w:val="000000"/>
                <w:sz w:val="14"/>
                <w:szCs w:val="14"/>
              </w:rPr>
              <w:t>–</w:t>
            </w:r>
            <w:r w:rsidRPr="004A30E1">
              <w:rPr>
                <w:rFonts w:cs="Arial"/>
                <w:color w:val="000000"/>
                <w:sz w:val="14"/>
                <w:szCs w:val="14"/>
              </w:rPr>
              <w:t xml:space="preserve"> North</w:t>
            </w:r>
          </w:p>
        </w:tc>
        <w:tc>
          <w:tcPr>
            <w:tcW w:w="355" w:type="pct"/>
            <w:noWrap/>
            <w:vAlign w:val="center"/>
          </w:tcPr>
          <w:p w14:paraId="73CA80C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3ABC1DB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5DCC50B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0240690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7C09D30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1FF1E18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1D65E01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vAlign w:val="center"/>
          </w:tcPr>
          <w:p w14:paraId="6853C43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709AC88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7D0C6B8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60866E7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275" w:type="pct"/>
            <w:vAlign w:val="center"/>
          </w:tcPr>
          <w:p w14:paraId="2048A34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r>
      <w:tr w:rsidR="00573723" w:rsidRPr="00657A6B" w14:paraId="284CB470"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C9084A1" w14:textId="225675A0" w:rsidR="002C29DE" w:rsidRPr="004A30E1" w:rsidRDefault="002C29DE" w:rsidP="00B27662">
            <w:pPr>
              <w:keepNext/>
              <w:spacing w:before="60" w:after="60" w:line="200" w:lineRule="atLeast"/>
              <w:contextualSpacing/>
              <w:rPr>
                <w:rFonts w:cs="Arial"/>
                <w:color w:val="000000"/>
                <w:sz w:val="14"/>
                <w:szCs w:val="14"/>
              </w:rPr>
            </w:pPr>
            <w:r w:rsidRPr="004A30E1">
              <w:rPr>
                <w:rFonts w:cs="Arial"/>
                <w:color w:val="000000"/>
                <w:sz w:val="14"/>
                <w:szCs w:val="14"/>
              </w:rPr>
              <w:t xml:space="preserve">Adelaide </w:t>
            </w:r>
            <w:r w:rsidR="00BB6E62">
              <w:rPr>
                <w:rFonts w:cs="Arial"/>
                <w:color w:val="000000"/>
                <w:sz w:val="14"/>
                <w:szCs w:val="14"/>
              </w:rPr>
              <w:t>–</w:t>
            </w:r>
            <w:r w:rsidRPr="004A30E1">
              <w:rPr>
                <w:rFonts w:cs="Arial"/>
                <w:color w:val="000000"/>
                <w:sz w:val="14"/>
                <w:szCs w:val="14"/>
              </w:rPr>
              <w:t xml:space="preserve"> South</w:t>
            </w:r>
          </w:p>
        </w:tc>
        <w:tc>
          <w:tcPr>
            <w:tcW w:w="355" w:type="pct"/>
            <w:noWrap/>
            <w:vAlign w:val="center"/>
          </w:tcPr>
          <w:p w14:paraId="4F3D001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72391F8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147BB8E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6971C37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4C63CF7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2C1B0D6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24DD137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vAlign w:val="center"/>
          </w:tcPr>
          <w:p w14:paraId="50406BC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5274CB2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65A260A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2163879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275" w:type="pct"/>
            <w:vAlign w:val="center"/>
          </w:tcPr>
          <w:p w14:paraId="0255954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r>
      <w:tr w:rsidR="00573723" w:rsidRPr="00657A6B" w14:paraId="2EF7787F" w14:textId="77777777" w:rsidTr="00D30617">
        <w:trPr>
          <w:trHeight w:val="240"/>
        </w:trPr>
        <w:tc>
          <w:tcPr>
            <w:tcW w:w="744" w:type="pct"/>
            <w:noWrap/>
            <w:vAlign w:val="center"/>
          </w:tcPr>
          <w:p w14:paraId="21B2F8E5" w14:textId="7E679B9D"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 xml:space="preserve">Adelaide </w:t>
            </w:r>
            <w:r w:rsidR="00BB6E62">
              <w:rPr>
                <w:rFonts w:cs="Arial"/>
                <w:color w:val="000000"/>
                <w:sz w:val="14"/>
                <w:szCs w:val="14"/>
              </w:rPr>
              <w:t>–</w:t>
            </w:r>
            <w:r w:rsidRPr="004A30E1">
              <w:rPr>
                <w:rFonts w:cs="Arial"/>
                <w:color w:val="000000"/>
                <w:sz w:val="14"/>
                <w:szCs w:val="14"/>
              </w:rPr>
              <w:t xml:space="preserve"> West</w:t>
            </w:r>
          </w:p>
        </w:tc>
        <w:tc>
          <w:tcPr>
            <w:tcW w:w="355" w:type="pct"/>
            <w:noWrap/>
            <w:vAlign w:val="center"/>
          </w:tcPr>
          <w:p w14:paraId="6A03294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1652881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773ACBC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25A8050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39D4D94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35A0FB9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7BE0DEE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7CD3C78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6399E20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21800C1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485DA6E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275" w:type="pct"/>
            <w:vAlign w:val="center"/>
          </w:tcPr>
          <w:p w14:paraId="4BD7C04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573723" w:rsidRPr="00657A6B" w14:paraId="57745A2A"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66D675C7" w14:textId="57419B77"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Bar</w:t>
            </w:r>
            <w:r w:rsidR="00B27662">
              <w:rPr>
                <w:rFonts w:cs="Arial"/>
                <w:color w:val="000000"/>
                <w:sz w:val="14"/>
                <w:szCs w:val="14"/>
              </w:rPr>
              <w:t xml:space="preserve">ossa </w:t>
            </w:r>
            <w:r w:rsidR="00BB6E62">
              <w:rPr>
                <w:rFonts w:cs="Arial"/>
                <w:color w:val="000000"/>
                <w:sz w:val="14"/>
                <w:szCs w:val="14"/>
              </w:rPr>
              <w:t>–</w:t>
            </w:r>
            <w:r w:rsidR="00B27662">
              <w:rPr>
                <w:rFonts w:cs="Arial"/>
                <w:color w:val="000000"/>
                <w:sz w:val="14"/>
                <w:szCs w:val="14"/>
              </w:rPr>
              <w:t xml:space="preserve"> </w:t>
            </w:r>
            <w:r w:rsidRPr="004A30E1">
              <w:rPr>
                <w:rFonts w:cs="Arial"/>
                <w:color w:val="000000"/>
                <w:sz w:val="14"/>
                <w:szCs w:val="14"/>
              </w:rPr>
              <w:t xml:space="preserve">Yorke </w:t>
            </w:r>
            <w:r w:rsidR="00BB6E62">
              <w:rPr>
                <w:rFonts w:cs="Arial"/>
                <w:color w:val="000000"/>
                <w:sz w:val="14"/>
                <w:szCs w:val="14"/>
              </w:rPr>
              <w:t>–</w:t>
            </w:r>
            <w:r w:rsidRPr="004A30E1">
              <w:rPr>
                <w:rFonts w:cs="Arial"/>
                <w:color w:val="000000"/>
                <w:sz w:val="14"/>
                <w:szCs w:val="14"/>
              </w:rPr>
              <w:t xml:space="preserve"> Mid North</w:t>
            </w:r>
          </w:p>
        </w:tc>
        <w:tc>
          <w:tcPr>
            <w:tcW w:w="355" w:type="pct"/>
            <w:noWrap/>
            <w:vAlign w:val="center"/>
          </w:tcPr>
          <w:p w14:paraId="4C7144B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3066BA4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7005622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19925D2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1F0BD6C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243AE8E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noWrap/>
            <w:vAlign w:val="center"/>
          </w:tcPr>
          <w:p w14:paraId="0304EB1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55" w:type="pct"/>
            <w:vAlign w:val="center"/>
          </w:tcPr>
          <w:p w14:paraId="6EBC762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4F0E707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77FE81F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55" w:type="pct"/>
            <w:noWrap/>
            <w:vAlign w:val="center"/>
          </w:tcPr>
          <w:p w14:paraId="79CBD12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275" w:type="pct"/>
            <w:vAlign w:val="center"/>
          </w:tcPr>
          <w:p w14:paraId="1B24379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r>
      <w:tr w:rsidR="00573723" w:rsidRPr="00657A6B" w14:paraId="4811D723" w14:textId="77777777" w:rsidTr="00D30617">
        <w:trPr>
          <w:trHeight w:val="240"/>
        </w:trPr>
        <w:tc>
          <w:tcPr>
            <w:tcW w:w="744" w:type="pct"/>
            <w:noWrap/>
            <w:vAlign w:val="center"/>
          </w:tcPr>
          <w:p w14:paraId="25B3E8B5" w14:textId="3A7EC10E" w:rsidR="002C29DE" w:rsidRPr="004A30E1" w:rsidRDefault="002C29DE" w:rsidP="00B27662">
            <w:pPr>
              <w:spacing w:before="60" w:after="60" w:line="200" w:lineRule="atLeast"/>
              <w:contextualSpacing/>
              <w:rPr>
                <w:rFonts w:cs="Arial"/>
                <w:color w:val="000000"/>
                <w:sz w:val="14"/>
                <w:szCs w:val="14"/>
              </w:rPr>
            </w:pPr>
            <w:r w:rsidRPr="004A30E1">
              <w:rPr>
                <w:rFonts w:cs="Arial"/>
                <w:color w:val="000000"/>
                <w:sz w:val="14"/>
                <w:szCs w:val="14"/>
              </w:rPr>
              <w:t>Outback</w:t>
            </w:r>
          </w:p>
        </w:tc>
        <w:tc>
          <w:tcPr>
            <w:tcW w:w="355" w:type="pct"/>
            <w:noWrap/>
            <w:vAlign w:val="center"/>
          </w:tcPr>
          <w:p w14:paraId="01F32D5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55" w:type="pct"/>
            <w:noWrap/>
            <w:vAlign w:val="center"/>
          </w:tcPr>
          <w:p w14:paraId="692018C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55" w:type="pct"/>
            <w:vAlign w:val="center"/>
          </w:tcPr>
          <w:p w14:paraId="0F6496B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1.15</w:t>
            </w:r>
          </w:p>
        </w:tc>
        <w:tc>
          <w:tcPr>
            <w:tcW w:w="355" w:type="pct"/>
            <w:vAlign w:val="center"/>
          </w:tcPr>
          <w:p w14:paraId="20F7C3D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1.18</w:t>
            </w:r>
          </w:p>
        </w:tc>
        <w:tc>
          <w:tcPr>
            <w:tcW w:w="355" w:type="pct"/>
            <w:noWrap/>
            <w:vAlign w:val="center"/>
          </w:tcPr>
          <w:p w14:paraId="5C20567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5FA1BA6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5A7974A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007C5BE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3DDF23E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347062F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5691056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275" w:type="pct"/>
            <w:vAlign w:val="center"/>
          </w:tcPr>
          <w:p w14:paraId="148832C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573723" w:rsidRPr="00657A6B" w14:paraId="06829783"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6F772C6F" w14:textId="10D0EF73" w:rsidR="002C29DE" w:rsidRPr="004A30E1" w:rsidRDefault="002C29DE" w:rsidP="00B27662">
            <w:pPr>
              <w:spacing w:before="60" w:after="60" w:line="200" w:lineRule="atLeast"/>
              <w:contextualSpacing/>
              <w:rPr>
                <w:rFonts w:cs="Arial"/>
                <w:color w:val="000000"/>
                <w:sz w:val="14"/>
                <w:szCs w:val="14"/>
              </w:rPr>
            </w:pPr>
            <w:proofErr w:type="gramStart"/>
            <w:r w:rsidRPr="004A30E1">
              <w:rPr>
                <w:rFonts w:cs="Arial"/>
                <w:color w:val="000000"/>
                <w:sz w:val="14"/>
                <w:szCs w:val="14"/>
              </w:rPr>
              <w:t>South East</w:t>
            </w:r>
            <w:proofErr w:type="gramEnd"/>
          </w:p>
        </w:tc>
        <w:tc>
          <w:tcPr>
            <w:tcW w:w="355" w:type="pct"/>
            <w:noWrap/>
            <w:vAlign w:val="center"/>
          </w:tcPr>
          <w:p w14:paraId="49F08C8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2C4C91D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108349F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17BA057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5670738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330DF9C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noWrap/>
            <w:vAlign w:val="center"/>
          </w:tcPr>
          <w:p w14:paraId="3A35514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55" w:type="pct"/>
            <w:vAlign w:val="center"/>
          </w:tcPr>
          <w:p w14:paraId="2A7B7A1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5E079CC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6516184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55" w:type="pct"/>
            <w:noWrap/>
            <w:vAlign w:val="center"/>
          </w:tcPr>
          <w:p w14:paraId="1BAED03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275" w:type="pct"/>
            <w:vAlign w:val="center"/>
          </w:tcPr>
          <w:p w14:paraId="1C766EB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r>
      <w:tr w:rsidR="00573723" w:rsidRPr="00657A6B" w14:paraId="65D8292D" w14:textId="77777777" w:rsidTr="00D30617">
        <w:trPr>
          <w:trHeight w:val="240"/>
        </w:trPr>
        <w:tc>
          <w:tcPr>
            <w:tcW w:w="744" w:type="pct"/>
            <w:noWrap/>
            <w:vAlign w:val="center"/>
          </w:tcPr>
          <w:p w14:paraId="50B1CDBD" w14:textId="49E7330E" w:rsidR="00573723" w:rsidRPr="00573723" w:rsidRDefault="00573723" w:rsidP="00B27662">
            <w:pPr>
              <w:spacing w:before="60" w:after="60" w:line="200" w:lineRule="atLeast"/>
              <w:contextualSpacing/>
              <w:rPr>
                <w:rFonts w:cs="Arial"/>
                <w:b/>
                <w:bCs/>
                <w:color w:val="000000"/>
                <w:sz w:val="14"/>
                <w:szCs w:val="14"/>
              </w:rPr>
            </w:pPr>
            <w:r w:rsidRPr="00573723">
              <w:rPr>
                <w:rFonts w:cs="Arial"/>
                <w:b/>
                <w:bCs/>
                <w:color w:val="000000"/>
                <w:sz w:val="14"/>
                <w:szCs w:val="14"/>
              </w:rPr>
              <w:t>Tasmania</w:t>
            </w:r>
          </w:p>
        </w:tc>
        <w:tc>
          <w:tcPr>
            <w:tcW w:w="355" w:type="pct"/>
            <w:noWrap/>
            <w:vAlign w:val="center"/>
          </w:tcPr>
          <w:p w14:paraId="502EA007"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27BE1A9D"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430FCC5B"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501F984C"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67228242"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31EC1856"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496E6678"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2B5DF185"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4E0752AF"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09FBD579"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1D394AE4" w14:textId="77777777" w:rsidR="00573723" w:rsidRPr="004A30E1" w:rsidRDefault="00573723" w:rsidP="00B27662">
            <w:pPr>
              <w:spacing w:before="60" w:after="60" w:line="200" w:lineRule="atLeast"/>
              <w:contextualSpacing/>
              <w:jc w:val="center"/>
              <w:rPr>
                <w:rFonts w:cs="Arial"/>
                <w:color w:val="000000"/>
                <w:sz w:val="14"/>
                <w:szCs w:val="14"/>
              </w:rPr>
            </w:pPr>
          </w:p>
        </w:tc>
        <w:tc>
          <w:tcPr>
            <w:tcW w:w="275" w:type="pct"/>
            <w:vAlign w:val="center"/>
          </w:tcPr>
          <w:p w14:paraId="39FACEB1" w14:textId="77777777" w:rsidR="00573723" w:rsidRPr="004A30E1" w:rsidRDefault="00573723" w:rsidP="00B27662">
            <w:pPr>
              <w:spacing w:before="60" w:after="60" w:line="200" w:lineRule="atLeast"/>
              <w:contextualSpacing/>
              <w:jc w:val="center"/>
              <w:rPr>
                <w:rFonts w:cs="Arial"/>
                <w:color w:val="000000"/>
                <w:sz w:val="14"/>
                <w:szCs w:val="14"/>
              </w:rPr>
            </w:pPr>
          </w:p>
        </w:tc>
      </w:tr>
      <w:tr w:rsidR="00573723" w:rsidRPr="00657A6B" w14:paraId="7E859214"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5AFB2A12" w14:textId="7F6F7353"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Hobart</w:t>
            </w:r>
          </w:p>
        </w:tc>
        <w:tc>
          <w:tcPr>
            <w:tcW w:w="355" w:type="pct"/>
            <w:noWrap/>
            <w:vAlign w:val="center"/>
          </w:tcPr>
          <w:p w14:paraId="7089D83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7337BFF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vAlign w:val="center"/>
          </w:tcPr>
          <w:p w14:paraId="3CCC63C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vAlign w:val="center"/>
          </w:tcPr>
          <w:p w14:paraId="081CF60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5A1651F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255437A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2AE77B8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55" w:type="pct"/>
            <w:vAlign w:val="center"/>
          </w:tcPr>
          <w:p w14:paraId="0D7AA19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3495020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537AC16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275A222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275" w:type="pct"/>
            <w:vAlign w:val="center"/>
          </w:tcPr>
          <w:p w14:paraId="47DCD93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0.88</w:t>
            </w:r>
          </w:p>
        </w:tc>
      </w:tr>
      <w:tr w:rsidR="00573723" w:rsidRPr="00657A6B" w14:paraId="439B9AEB" w14:textId="77777777" w:rsidTr="00D30617">
        <w:trPr>
          <w:trHeight w:val="240"/>
        </w:trPr>
        <w:tc>
          <w:tcPr>
            <w:tcW w:w="744" w:type="pct"/>
            <w:noWrap/>
            <w:vAlign w:val="center"/>
          </w:tcPr>
          <w:p w14:paraId="65420293" w14:textId="71A82D63"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Launceston and </w:t>
            </w:r>
            <w:proofErr w:type="gramStart"/>
            <w:r w:rsidRPr="004A30E1">
              <w:rPr>
                <w:rFonts w:cs="Arial"/>
                <w:color w:val="000000"/>
                <w:sz w:val="14"/>
                <w:szCs w:val="14"/>
              </w:rPr>
              <w:t>North East</w:t>
            </w:r>
            <w:proofErr w:type="gramEnd"/>
          </w:p>
        </w:tc>
        <w:tc>
          <w:tcPr>
            <w:tcW w:w="355" w:type="pct"/>
            <w:noWrap/>
            <w:vAlign w:val="center"/>
          </w:tcPr>
          <w:p w14:paraId="30699E3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5EE8660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vAlign w:val="center"/>
          </w:tcPr>
          <w:p w14:paraId="149EC22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vAlign w:val="center"/>
          </w:tcPr>
          <w:p w14:paraId="298C3BE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noWrap/>
            <w:vAlign w:val="center"/>
          </w:tcPr>
          <w:p w14:paraId="03E3A51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4F40A9A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7EB9977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vAlign w:val="center"/>
          </w:tcPr>
          <w:p w14:paraId="30F5106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44839E5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085DE4F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1525B98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275" w:type="pct"/>
            <w:vAlign w:val="center"/>
          </w:tcPr>
          <w:p w14:paraId="634AB20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r>
      <w:tr w:rsidR="00573723" w:rsidRPr="00657A6B" w14:paraId="2E0EECEC"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4392F8F2" w14:textId="5BE22114" w:rsidR="002C29DE" w:rsidRPr="004A30E1" w:rsidRDefault="002C29DE" w:rsidP="00B27662">
            <w:pPr>
              <w:spacing w:before="60" w:after="60" w:line="200" w:lineRule="atLeast"/>
              <w:contextualSpacing/>
              <w:rPr>
                <w:rFonts w:eastAsia="Times New Roman" w:cs="Arial"/>
                <w:color w:val="000000"/>
                <w:sz w:val="14"/>
                <w:szCs w:val="14"/>
                <w:lang w:eastAsia="en-AU"/>
              </w:rPr>
            </w:pPr>
            <w:proofErr w:type="gramStart"/>
            <w:r w:rsidRPr="004A30E1">
              <w:rPr>
                <w:rFonts w:cs="Arial"/>
                <w:color w:val="000000"/>
                <w:sz w:val="14"/>
                <w:szCs w:val="14"/>
              </w:rPr>
              <w:t>South East</w:t>
            </w:r>
            <w:proofErr w:type="gramEnd"/>
          </w:p>
        </w:tc>
        <w:tc>
          <w:tcPr>
            <w:tcW w:w="355" w:type="pct"/>
            <w:noWrap/>
            <w:vAlign w:val="center"/>
          </w:tcPr>
          <w:p w14:paraId="7865320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5D3C454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6C398FE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7751663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noWrap/>
            <w:vAlign w:val="center"/>
          </w:tcPr>
          <w:p w14:paraId="08CBC7F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0CC3232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3529440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vAlign w:val="center"/>
          </w:tcPr>
          <w:p w14:paraId="0B23696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688E87D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3EFE995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484CEAE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275" w:type="pct"/>
            <w:vAlign w:val="center"/>
          </w:tcPr>
          <w:p w14:paraId="49DC936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r>
      <w:tr w:rsidR="00573723" w:rsidRPr="00657A6B" w14:paraId="4102211E" w14:textId="77777777" w:rsidTr="00D30617">
        <w:trPr>
          <w:trHeight w:val="240"/>
        </w:trPr>
        <w:tc>
          <w:tcPr>
            <w:tcW w:w="744" w:type="pct"/>
            <w:noWrap/>
            <w:vAlign w:val="center"/>
          </w:tcPr>
          <w:p w14:paraId="0DA3D6CE" w14:textId="0D1BEEAF"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West and </w:t>
            </w:r>
            <w:proofErr w:type="gramStart"/>
            <w:r w:rsidRPr="004A30E1">
              <w:rPr>
                <w:rFonts w:cs="Arial"/>
                <w:color w:val="000000"/>
                <w:sz w:val="14"/>
                <w:szCs w:val="14"/>
              </w:rPr>
              <w:t>North West</w:t>
            </w:r>
            <w:proofErr w:type="gramEnd"/>
          </w:p>
        </w:tc>
        <w:tc>
          <w:tcPr>
            <w:tcW w:w="355" w:type="pct"/>
            <w:noWrap/>
            <w:vAlign w:val="center"/>
          </w:tcPr>
          <w:p w14:paraId="617451B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46707C4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vAlign w:val="center"/>
          </w:tcPr>
          <w:p w14:paraId="645C879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vAlign w:val="center"/>
          </w:tcPr>
          <w:p w14:paraId="4CCB410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noWrap/>
            <w:vAlign w:val="center"/>
          </w:tcPr>
          <w:p w14:paraId="2C8A0C0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46FC064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4D8A22F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vAlign w:val="center"/>
          </w:tcPr>
          <w:p w14:paraId="476D498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46A9D4E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7C5938C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05E3C6C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275" w:type="pct"/>
            <w:vAlign w:val="center"/>
          </w:tcPr>
          <w:p w14:paraId="0E4D27F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r>
      <w:tr w:rsidR="00573723" w:rsidRPr="00657A6B" w14:paraId="7E1E0614"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304DB815" w14:textId="053A2F2A" w:rsidR="00573723" w:rsidRPr="00573723" w:rsidRDefault="00573723" w:rsidP="00B27662">
            <w:pPr>
              <w:spacing w:before="60" w:after="60" w:line="200" w:lineRule="atLeast"/>
              <w:contextualSpacing/>
              <w:rPr>
                <w:rFonts w:cs="Arial"/>
                <w:b/>
                <w:bCs/>
                <w:color w:val="000000"/>
                <w:sz w:val="14"/>
                <w:szCs w:val="14"/>
              </w:rPr>
            </w:pPr>
            <w:r w:rsidRPr="00573723">
              <w:rPr>
                <w:rFonts w:cs="Arial"/>
                <w:b/>
                <w:bCs/>
                <w:color w:val="000000"/>
                <w:sz w:val="14"/>
                <w:szCs w:val="14"/>
              </w:rPr>
              <w:t>Victoria</w:t>
            </w:r>
          </w:p>
        </w:tc>
        <w:tc>
          <w:tcPr>
            <w:tcW w:w="355" w:type="pct"/>
            <w:noWrap/>
            <w:vAlign w:val="center"/>
          </w:tcPr>
          <w:p w14:paraId="309BC4F6"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62DFE835"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42DC2719"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12D4CEDD"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0910B387"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60C40135"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5A6F2CD0"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76170A3D"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6CF0CED4"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6D3B80D7"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1ECAB29E" w14:textId="77777777" w:rsidR="00573723" w:rsidRPr="004A30E1" w:rsidRDefault="00573723" w:rsidP="00B27662">
            <w:pPr>
              <w:spacing w:before="60" w:after="60" w:line="200" w:lineRule="atLeast"/>
              <w:contextualSpacing/>
              <w:jc w:val="center"/>
              <w:rPr>
                <w:rFonts w:cs="Arial"/>
                <w:color w:val="000000"/>
                <w:sz w:val="14"/>
                <w:szCs w:val="14"/>
              </w:rPr>
            </w:pPr>
          </w:p>
        </w:tc>
        <w:tc>
          <w:tcPr>
            <w:tcW w:w="275" w:type="pct"/>
            <w:vAlign w:val="center"/>
          </w:tcPr>
          <w:p w14:paraId="61330A46" w14:textId="77777777" w:rsidR="00573723" w:rsidRPr="004A30E1" w:rsidRDefault="00573723" w:rsidP="00B27662">
            <w:pPr>
              <w:spacing w:before="60" w:after="60" w:line="200" w:lineRule="atLeast"/>
              <w:contextualSpacing/>
              <w:jc w:val="center"/>
              <w:rPr>
                <w:rFonts w:cs="Arial"/>
                <w:color w:val="000000"/>
                <w:sz w:val="14"/>
                <w:szCs w:val="14"/>
              </w:rPr>
            </w:pPr>
          </w:p>
        </w:tc>
      </w:tr>
      <w:tr w:rsidR="00573723" w:rsidRPr="00657A6B" w14:paraId="0BFE1212" w14:textId="77777777" w:rsidTr="00D30617">
        <w:trPr>
          <w:trHeight w:val="240"/>
        </w:trPr>
        <w:tc>
          <w:tcPr>
            <w:tcW w:w="744" w:type="pct"/>
            <w:noWrap/>
            <w:vAlign w:val="center"/>
          </w:tcPr>
          <w:p w14:paraId="09BD4A34" w14:textId="44EDD905"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Ballarat</w:t>
            </w:r>
          </w:p>
        </w:tc>
        <w:tc>
          <w:tcPr>
            <w:tcW w:w="355" w:type="pct"/>
            <w:noWrap/>
            <w:vAlign w:val="center"/>
          </w:tcPr>
          <w:p w14:paraId="3DD4594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1670B41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7CBA511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12C4CA2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228CE17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11B23FC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7E45ECA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vAlign w:val="center"/>
          </w:tcPr>
          <w:p w14:paraId="5B943BA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60C0404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4A6E540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059B97B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275" w:type="pct"/>
            <w:vAlign w:val="center"/>
          </w:tcPr>
          <w:p w14:paraId="3D193B2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573723" w:rsidRPr="00657A6B" w14:paraId="019DDADC"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2D07EF0B" w14:textId="73AB6716"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Bendigo</w:t>
            </w:r>
          </w:p>
        </w:tc>
        <w:tc>
          <w:tcPr>
            <w:tcW w:w="355" w:type="pct"/>
            <w:noWrap/>
            <w:vAlign w:val="center"/>
          </w:tcPr>
          <w:p w14:paraId="246A3CC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noWrap/>
            <w:vAlign w:val="center"/>
          </w:tcPr>
          <w:p w14:paraId="1AAB937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4343F90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21B5EE2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5B7EB2E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26A2F6A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54DC51B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vAlign w:val="center"/>
          </w:tcPr>
          <w:p w14:paraId="23386B9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4683847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3E7D036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5CF82EC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275" w:type="pct"/>
            <w:vAlign w:val="center"/>
          </w:tcPr>
          <w:p w14:paraId="38286B0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573723" w:rsidRPr="00657A6B" w14:paraId="62038173" w14:textId="77777777" w:rsidTr="00D30617">
        <w:trPr>
          <w:trHeight w:val="240"/>
        </w:trPr>
        <w:tc>
          <w:tcPr>
            <w:tcW w:w="744" w:type="pct"/>
            <w:noWrap/>
            <w:vAlign w:val="center"/>
          </w:tcPr>
          <w:p w14:paraId="1FE1E711" w14:textId="119EA1C5"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Geelong</w:t>
            </w:r>
          </w:p>
        </w:tc>
        <w:tc>
          <w:tcPr>
            <w:tcW w:w="355" w:type="pct"/>
            <w:noWrap/>
            <w:vAlign w:val="center"/>
          </w:tcPr>
          <w:p w14:paraId="386A330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5D35175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vAlign w:val="center"/>
          </w:tcPr>
          <w:p w14:paraId="58CDE4D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vAlign w:val="center"/>
          </w:tcPr>
          <w:p w14:paraId="6DD1ADD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20076D8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5802565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6CB6660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vAlign w:val="center"/>
          </w:tcPr>
          <w:p w14:paraId="2C75C78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3D7478E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384F479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5479D6C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275" w:type="pct"/>
            <w:vAlign w:val="center"/>
          </w:tcPr>
          <w:p w14:paraId="61324EB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r>
      <w:tr w:rsidR="00573723" w:rsidRPr="00657A6B" w14:paraId="092D3773"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3B89FBFC" w14:textId="0DB0AFE7"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Hume</w:t>
            </w:r>
          </w:p>
        </w:tc>
        <w:tc>
          <w:tcPr>
            <w:tcW w:w="355" w:type="pct"/>
            <w:noWrap/>
            <w:vAlign w:val="center"/>
          </w:tcPr>
          <w:p w14:paraId="3794B8E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5F86654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41E7920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6BDA1CD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2990449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1EA3ED0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11CA25A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vAlign w:val="center"/>
          </w:tcPr>
          <w:p w14:paraId="1312486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3F70C37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640714C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7EB4F5C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275" w:type="pct"/>
            <w:vAlign w:val="center"/>
          </w:tcPr>
          <w:p w14:paraId="7F44B05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573723" w:rsidRPr="00657A6B" w14:paraId="1263188F" w14:textId="77777777" w:rsidTr="00D30617">
        <w:trPr>
          <w:trHeight w:val="240"/>
        </w:trPr>
        <w:tc>
          <w:tcPr>
            <w:tcW w:w="744" w:type="pct"/>
            <w:noWrap/>
            <w:vAlign w:val="center"/>
          </w:tcPr>
          <w:p w14:paraId="26B4DB6B" w14:textId="1B3D5D69"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Latrobe </w:t>
            </w:r>
            <w:r w:rsidR="00BB6E62">
              <w:rPr>
                <w:rFonts w:cs="Arial"/>
                <w:color w:val="000000"/>
                <w:sz w:val="14"/>
                <w:szCs w:val="14"/>
              </w:rPr>
              <w:t>–</w:t>
            </w:r>
            <w:r w:rsidRPr="004A30E1">
              <w:rPr>
                <w:rFonts w:cs="Arial"/>
                <w:color w:val="000000"/>
                <w:sz w:val="14"/>
                <w:szCs w:val="14"/>
              </w:rPr>
              <w:t xml:space="preserve"> Gippsland</w:t>
            </w:r>
          </w:p>
        </w:tc>
        <w:tc>
          <w:tcPr>
            <w:tcW w:w="355" w:type="pct"/>
            <w:noWrap/>
            <w:vAlign w:val="center"/>
          </w:tcPr>
          <w:p w14:paraId="03526AE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0BDB909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vAlign w:val="center"/>
          </w:tcPr>
          <w:p w14:paraId="01458EB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vAlign w:val="center"/>
          </w:tcPr>
          <w:p w14:paraId="648138B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4C68EC0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703354A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noWrap/>
            <w:vAlign w:val="center"/>
          </w:tcPr>
          <w:p w14:paraId="7C44816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355" w:type="pct"/>
            <w:vAlign w:val="center"/>
          </w:tcPr>
          <w:p w14:paraId="6B24754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70B3F53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noWrap/>
            <w:vAlign w:val="center"/>
          </w:tcPr>
          <w:p w14:paraId="42D22EE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55" w:type="pct"/>
            <w:noWrap/>
            <w:vAlign w:val="center"/>
          </w:tcPr>
          <w:p w14:paraId="145DD5C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c>
          <w:tcPr>
            <w:tcW w:w="275" w:type="pct"/>
            <w:vAlign w:val="center"/>
          </w:tcPr>
          <w:p w14:paraId="6EDF94F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0.86</w:t>
            </w:r>
          </w:p>
        </w:tc>
      </w:tr>
      <w:tr w:rsidR="00573723" w:rsidRPr="00657A6B" w14:paraId="5B7459AC"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EB1E26A" w14:textId="42D24607"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Melbourne </w:t>
            </w:r>
            <w:r w:rsidR="00BB6E62">
              <w:rPr>
                <w:rFonts w:cs="Arial"/>
                <w:color w:val="000000"/>
                <w:sz w:val="14"/>
                <w:szCs w:val="14"/>
              </w:rPr>
              <w:t>–</w:t>
            </w:r>
            <w:r w:rsidRPr="004A30E1">
              <w:rPr>
                <w:rFonts w:cs="Arial"/>
                <w:color w:val="000000"/>
                <w:sz w:val="14"/>
                <w:szCs w:val="14"/>
              </w:rPr>
              <w:t xml:space="preserve"> Inner</w:t>
            </w:r>
          </w:p>
        </w:tc>
        <w:tc>
          <w:tcPr>
            <w:tcW w:w="355" w:type="pct"/>
            <w:noWrap/>
            <w:vAlign w:val="center"/>
          </w:tcPr>
          <w:p w14:paraId="0947ECC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27525F7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vAlign w:val="center"/>
          </w:tcPr>
          <w:p w14:paraId="1E25FAC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vAlign w:val="center"/>
          </w:tcPr>
          <w:p w14:paraId="321373C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2F4C481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55" w:type="pct"/>
            <w:noWrap/>
            <w:vAlign w:val="center"/>
          </w:tcPr>
          <w:p w14:paraId="1C76952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55" w:type="pct"/>
            <w:noWrap/>
            <w:vAlign w:val="center"/>
          </w:tcPr>
          <w:p w14:paraId="0C453AF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1.27</w:t>
            </w:r>
          </w:p>
        </w:tc>
        <w:tc>
          <w:tcPr>
            <w:tcW w:w="355" w:type="pct"/>
            <w:vAlign w:val="center"/>
          </w:tcPr>
          <w:p w14:paraId="56F2B20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noWrap/>
            <w:vAlign w:val="center"/>
          </w:tcPr>
          <w:p w14:paraId="37A469C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1.20</w:t>
            </w:r>
          </w:p>
        </w:tc>
        <w:tc>
          <w:tcPr>
            <w:tcW w:w="355" w:type="pct"/>
            <w:noWrap/>
            <w:vAlign w:val="center"/>
          </w:tcPr>
          <w:p w14:paraId="397B73E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1.23</w:t>
            </w:r>
          </w:p>
        </w:tc>
        <w:tc>
          <w:tcPr>
            <w:tcW w:w="355" w:type="pct"/>
            <w:noWrap/>
            <w:vAlign w:val="center"/>
          </w:tcPr>
          <w:p w14:paraId="50193E2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1.27</w:t>
            </w:r>
          </w:p>
        </w:tc>
        <w:tc>
          <w:tcPr>
            <w:tcW w:w="275" w:type="pct"/>
            <w:vAlign w:val="center"/>
          </w:tcPr>
          <w:p w14:paraId="7371451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1.27</w:t>
            </w:r>
          </w:p>
        </w:tc>
      </w:tr>
      <w:tr w:rsidR="00573723" w:rsidRPr="00657A6B" w14:paraId="6068EF96" w14:textId="77777777" w:rsidTr="00D30617">
        <w:trPr>
          <w:trHeight w:val="240"/>
        </w:trPr>
        <w:tc>
          <w:tcPr>
            <w:tcW w:w="744" w:type="pct"/>
            <w:noWrap/>
            <w:vAlign w:val="center"/>
          </w:tcPr>
          <w:p w14:paraId="19A0FEEB" w14:textId="6B754367"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Melbourne </w:t>
            </w:r>
            <w:r w:rsidR="00BB6E62">
              <w:rPr>
                <w:rFonts w:cs="Arial"/>
                <w:color w:val="000000"/>
                <w:sz w:val="14"/>
                <w:szCs w:val="14"/>
              </w:rPr>
              <w:t>–</w:t>
            </w:r>
            <w:r w:rsidRPr="004A30E1">
              <w:rPr>
                <w:rFonts w:cs="Arial"/>
                <w:color w:val="000000"/>
                <w:sz w:val="14"/>
                <w:szCs w:val="14"/>
              </w:rPr>
              <w:t xml:space="preserve"> Inner East</w:t>
            </w:r>
          </w:p>
        </w:tc>
        <w:tc>
          <w:tcPr>
            <w:tcW w:w="355" w:type="pct"/>
            <w:noWrap/>
            <w:vAlign w:val="center"/>
          </w:tcPr>
          <w:p w14:paraId="5060324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1575640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538BF82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3BBCABB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50137AD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165D812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55" w:type="pct"/>
            <w:noWrap/>
            <w:vAlign w:val="center"/>
          </w:tcPr>
          <w:p w14:paraId="1C2F606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1.14</w:t>
            </w:r>
          </w:p>
        </w:tc>
        <w:tc>
          <w:tcPr>
            <w:tcW w:w="355" w:type="pct"/>
            <w:vAlign w:val="center"/>
          </w:tcPr>
          <w:p w14:paraId="6090FBB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3516A30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1.10</w:t>
            </w:r>
          </w:p>
        </w:tc>
        <w:tc>
          <w:tcPr>
            <w:tcW w:w="355" w:type="pct"/>
            <w:noWrap/>
            <w:vAlign w:val="center"/>
          </w:tcPr>
          <w:p w14:paraId="407A33A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55" w:type="pct"/>
            <w:noWrap/>
            <w:vAlign w:val="center"/>
          </w:tcPr>
          <w:p w14:paraId="2B1CE9F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1.14</w:t>
            </w:r>
          </w:p>
        </w:tc>
        <w:tc>
          <w:tcPr>
            <w:tcW w:w="275" w:type="pct"/>
            <w:vAlign w:val="center"/>
          </w:tcPr>
          <w:p w14:paraId="0F4836B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1.14</w:t>
            </w:r>
          </w:p>
        </w:tc>
      </w:tr>
      <w:tr w:rsidR="00573723" w:rsidRPr="00657A6B" w14:paraId="2B852C46"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34BC4228" w14:textId="1B957246"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Melbourne </w:t>
            </w:r>
            <w:r w:rsidR="00BB6E62">
              <w:rPr>
                <w:rFonts w:cs="Arial"/>
                <w:color w:val="000000"/>
                <w:sz w:val="14"/>
                <w:szCs w:val="14"/>
              </w:rPr>
              <w:t>–</w:t>
            </w:r>
            <w:r w:rsidRPr="004A30E1">
              <w:rPr>
                <w:rFonts w:cs="Arial"/>
                <w:color w:val="000000"/>
                <w:sz w:val="14"/>
                <w:szCs w:val="14"/>
              </w:rPr>
              <w:t xml:space="preserve"> Inner South</w:t>
            </w:r>
          </w:p>
        </w:tc>
        <w:tc>
          <w:tcPr>
            <w:tcW w:w="355" w:type="pct"/>
            <w:noWrap/>
            <w:vAlign w:val="center"/>
          </w:tcPr>
          <w:p w14:paraId="3542CB4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noWrap/>
            <w:vAlign w:val="center"/>
          </w:tcPr>
          <w:p w14:paraId="5E7C447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605B90D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33D0CC3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6C365B3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7C55A6D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55" w:type="pct"/>
            <w:noWrap/>
            <w:vAlign w:val="center"/>
          </w:tcPr>
          <w:p w14:paraId="7CEE74E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355" w:type="pct"/>
            <w:vAlign w:val="center"/>
          </w:tcPr>
          <w:p w14:paraId="6308747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noWrap/>
            <w:vAlign w:val="center"/>
          </w:tcPr>
          <w:p w14:paraId="56683D3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55" w:type="pct"/>
            <w:noWrap/>
            <w:vAlign w:val="center"/>
          </w:tcPr>
          <w:p w14:paraId="78012DD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1.14</w:t>
            </w:r>
          </w:p>
        </w:tc>
        <w:tc>
          <w:tcPr>
            <w:tcW w:w="355" w:type="pct"/>
            <w:noWrap/>
            <w:vAlign w:val="center"/>
          </w:tcPr>
          <w:p w14:paraId="60494AA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c>
          <w:tcPr>
            <w:tcW w:w="275" w:type="pct"/>
            <w:vAlign w:val="center"/>
          </w:tcPr>
          <w:p w14:paraId="76C2D57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1.16</w:t>
            </w:r>
          </w:p>
        </w:tc>
      </w:tr>
      <w:tr w:rsidR="00573723" w:rsidRPr="00657A6B" w14:paraId="2C3F9263" w14:textId="77777777" w:rsidTr="00D30617">
        <w:trPr>
          <w:trHeight w:val="240"/>
        </w:trPr>
        <w:tc>
          <w:tcPr>
            <w:tcW w:w="744" w:type="pct"/>
            <w:noWrap/>
            <w:vAlign w:val="center"/>
          </w:tcPr>
          <w:p w14:paraId="2F0049AE" w14:textId="6F5C2687"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Melbourne </w:t>
            </w:r>
            <w:r w:rsidR="00BB6E62">
              <w:rPr>
                <w:rFonts w:cs="Arial"/>
                <w:color w:val="000000"/>
                <w:sz w:val="14"/>
                <w:szCs w:val="14"/>
              </w:rPr>
              <w:t>–</w:t>
            </w:r>
            <w:r w:rsidRPr="004A30E1">
              <w:rPr>
                <w:rFonts w:cs="Arial"/>
                <w:color w:val="000000"/>
                <w:sz w:val="14"/>
                <w:szCs w:val="14"/>
              </w:rPr>
              <w:t xml:space="preserve"> </w:t>
            </w:r>
            <w:proofErr w:type="gramStart"/>
            <w:r w:rsidRPr="004A30E1">
              <w:rPr>
                <w:rFonts w:cs="Arial"/>
                <w:color w:val="000000"/>
                <w:sz w:val="14"/>
                <w:szCs w:val="14"/>
              </w:rPr>
              <w:t>North East</w:t>
            </w:r>
            <w:proofErr w:type="gramEnd"/>
          </w:p>
        </w:tc>
        <w:tc>
          <w:tcPr>
            <w:tcW w:w="355" w:type="pct"/>
            <w:noWrap/>
            <w:vAlign w:val="center"/>
          </w:tcPr>
          <w:p w14:paraId="3917604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50D5ED0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vAlign w:val="center"/>
          </w:tcPr>
          <w:p w14:paraId="39F3A9F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vAlign w:val="center"/>
          </w:tcPr>
          <w:p w14:paraId="53CD5DC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089443D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3AFC263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7652D6E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vAlign w:val="center"/>
          </w:tcPr>
          <w:p w14:paraId="630B74B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4988B89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1D1E503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2EF86C9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275" w:type="pct"/>
            <w:vAlign w:val="center"/>
          </w:tcPr>
          <w:p w14:paraId="0B6B3E3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r>
      <w:tr w:rsidR="00573723" w:rsidRPr="00657A6B" w14:paraId="6702F207"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1DDFACD8" w14:textId="3535F45D"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Melbourne </w:t>
            </w:r>
            <w:r w:rsidR="00BB6E62">
              <w:rPr>
                <w:rFonts w:cs="Arial"/>
                <w:color w:val="000000"/>
                <w:sz w:val="14"/>
                <w:szCs w:val="14"/>
              </w:rPr>
              <w:t>–</w:t>
            </w:r>
            <w:r w:rsidRPr="004A30E1">
              <w:rPr>
                <w:rFonts w:cs="Arial"/>
                <w:color w:val="000000"/>
                <w:sz w:val="14"/>
                <w:szCs w:val="14"/>
              </w:rPr>
              <w:t xml:space="preserve"> </w:t>
            </w:r>
            <w:proofErr w:type="gramStart"/>
            <w:r w:rsidRPr="004A30E1">
              <w:rPr>
                <w:rFonts w:cs="Arial"/>
                <w:color w:val="000000"/>
                <w:sz w:val="14"/>
                <w:szCs w:val="14"/>
              </w:rPr>
              <w:t>North West</w:t>
            </w:r>
            <w:proofErr w:type="gramEnd"/>
          </w:p>
        </w:tc>
        <w:tc>
          <w:tcPr>
            <w:tcW w:w="355" w:type="pct"/>
            <w:noWrap/>
            <w:vAlign w:val="center"/>
          </w:tcPr>
          <w:p w14:paraId="28F69BE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17C6F68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vAlign w:val="center"/>
          </w:tcPr>
          <w:p w14:paraId="46EC998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vAlign w:val="center"/>
          </w:tcPr>
          <w:p w14:paraId="7DCB570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7CD709E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60A3B2B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030C018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vAlign w:val="center"/>
          </w:tcPr>
          <w:p w14:paraId="7EA46DB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0511EA1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1B4F22D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45F876C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275" w:type="pct"/>
            <w:vAlign w:val="center"/>
          </w:tcPr>
          <w:p w14:paraId="67F2C1D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573723" w:rsidRPr="00657A6B" w14:paraId="31FC6034" w14:textId="77777777" w:rsidTr="00D30617">
        <w:trPr>
          <w:trHeight w:val="240"/>
        </w:trPr>
        <w:tc>
          <w:tcPr>
            <w:tcW w:w="744" w:type="pct"/>
            <w:noWrap/>
            <w:vAlign w:val="center"/>
          </w:tcPr>
          <w:p w14:paraId="770BD4BA" w14:textId="140B9DC2"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Melbourne </w:t>
            </w:r>
            <w:r w:rsidR="00BB6E62">
              <w:rPr>
                <w:rFonts w:cs="Arial"/>
                <w:color w:val="000000"/>
                <w:sz w:val="14"/>
                <w:szCs w:val="14"/>
              </w:rPr>
              <w:t>–</w:t>
            </w:r>
            <w:r w:rsidRPr="004A30E1">
              <w:rPr>
                <w:rFonts w:cs="Arial"/>
                <w:color w:val="000000"/>
                <w:sz w:val="14"/>
                <w:szCs w:val="14"/>
              </w:rPr>
              <w:t xml:space="preserve"> Outer East</w:t>
            </w:r>
          </w:p>
        </w:tc>
        <w:tc>
          <w:tcPr>
            <w:tcW w:w="355" w:type="pct"/>
            <w:noWrap/>
            <w:vAlign w:val="center"/>
          </w:tcPr>
          <w:p w14:paraId="1BECC9C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6605817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7C45094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7F81A81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2C1B006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22EA6AB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160CFAC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vAlign w:val="center"/>
          </w:tcPr>
          <w:p w14:paraId="0AFC4C6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0C0CBFA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60220DA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157306F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275" w:type="pct"/>
            <w:vAlign w:val="center"/>
          </w:tcPr>
          <w:p w14:paraId="78DF84F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r>
      <w:tr w:rsidR="00573723" w:rsidRPr="00657A6B" w14:paraId="1333AE2B"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3A038388" w14:textId="23CAC877"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Melbourne </w:t>
            </w:r>
            <w:r w:rsidR="00BB6E62">
              <w:rPr>
                <w:rFonts w:cs="Arial"/>
                <w:color w:val="000000"/>
                <w:sz w:val="14"/>
                <w:szCs w:val="14"/>
              </w:rPr>
              <w:t>–</w:t>
            </w:r>
            <w:r w:rsidRPr="004A30E1">
              <w:rPr>
                <w:rFonts w:cs="Arial"/>
                <w:color w:val="000000"/>
                <w:sz w:val="14"/>
                <w:szCs w:val="14"/>
              </w:rPr>
              <w:t xml:space="preserve"> </w:t>
            </w:r>
            <w:proofErr w:type="gramStart"/>
            <w:r w:rsidRPr="004A30E1">
              <w:rPr>
                <w:rFonts w:cs="Arial"/>
                <w:color w:val="000000"/>
                <w:sz w:val="14"/>
                <w:szCs w:val="14"/>
              </w:rPr>
              <w:t>South East</w:t>
            </w:r>
            <w:proofErr w:type="gramEnd"/>
          </w:p>
        </w:tc>
        <w:tc>
          <w:tcPr>
            <w:tcW w:w="355" w:type="pct"/>
            <w:noWrap/>
            <w:vAlign w:val="center"/>
          </w:tcPr>
          <w:p w14:paraId="33D9CDA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45B4347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vAlign w:val="center"/>
          </w:tcPr>
          <w:p w14:paraId="2D4CE80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vAlign w:val="center"/>
          </w:tcPr>
          <w:p w14:paraId="7A6D727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53CCFB9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noWrap/>
            <w:vAlign w:val="center"/>
          </w:tcPr>
          <w:p w14:paraId="79DDEC2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51BAB6B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03007D3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44CFC48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71B32EF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021D5B8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275" w:type="pct"/>
            <w:vAlign w:val="center"/>
          </w:tcPr>
          <w:p w14:paraId="3B4CFA8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r>
      <w:tr w:rsidR="00573723" w:rsidRPr="00657A6B" w14:paraId="43E19397" w14:textId="77777777" w:rsidTr="00D30617">
        <w:trPr>
          <w:trHeight w:val="240"/>
        </w:trPr>
        <w:tc>
          <w:tcPr>
            <w:tcW w:w="744" w:type="pct"/>
            <w:noWrap/>
            <w:vAlign w:val="center"/>
          </w:tcPr>
          <w:p w14:paraId="40AD56AD" w14:textId="06B2D165"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Melbourne </w:t>
            </w:r>
            <w:r w:rsidR="00BB6E62">
              <w:rPr>
                <w:rFonts w:cs="Arial"/>
                <w:color w:val="000000"/>
                <w:sz w:val="14"/>
                <w:szCs w:val="14"/>
              </w:rPr>
              <w:t>–</w:t>
            </w:r>
            <w:r w:rsidRPr="004A30E1">
              <w:rPr>
                <w:rFonts w:cs="Arial"/>
                <w:color w:val="000000"/>
                <w:sz w:val="14"/>
                <w:szCs w:val="14"/>
              </w:rPr>
              <w:t xml:space="preserve"> West</w:t>
            </w:r>
          </w:p>
        </w:tc>
        <w:tc>
          <w:tcPr>
            <w:tcW w:w="355" w:type="pct"/>
            <w:noWrap/>
            <w:vAlign w:val="center"/>
          </w:tcPr>
          <w:p w14:paraId="54E3076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249F20F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vAlign w:val="center"/>
          </w:tcPr>
          <w:p w14:paraId="07C00F2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vAlign w:val="center"/>
          </w:tcPr>
          <w:p w14:paraId="6E111A5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212C3BA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noWrap/>
            <w:vAlign w:val="center"/>
          </w:tcPr>
          <w:p w14:paraId="38F9F4A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682B62D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vAlign w:val="center"/>
          </w:tcPr>
          <w:p w14:paraId="637C9AF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3E51D80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64D9B71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0F520E2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275" w:type="pct"/>
            <w:vAlign w:val="center"/>
          </w:tcPr>
          <w:p w14:paraId="59F5C05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r>
      <w:tr w:rsidR="00573723" w:rsidRPr="00657A6B" w14:paraId="7792DCC6"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3FE7DF99" w14:textId="1DB7B023"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Mornington Peninsula</w:t>
            </w:r>
          </w:p>
        </w:tc>
        <w:tc>
          <w:tcPr>
            <w:tcW w:w="355" w:type="pct"/>
            <w:noWrap/>
            <w:vAlign w:val="center"/>
          </w:tcPr>
          <w:p w14:paraId="3D79BEF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029F96B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vAlign w:val="center"/>
          </w:tcPr>
          <w:p w14:paraId="3F64EE6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vAlign w:val="center"/>
          </w:tcPr>
          <w:p w14:paraId="1E1AA0B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7E93646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7780269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0A55B19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vAlign w:val="center"/>
          </w:tcPr>
          <w:p w14:paraId="148AF15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315A016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64F5BCD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425A62D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275" w:type="pct"/>
            <w:vAlign w:val="center"/>
          </w:tcPr>
          <w:p w14:paraId="208DB62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573723" w:rsidRPr="00657A6B" w14:paraId="2BEDB392" w14:textId="77777777" w:rsidTr="00D30617">
        <w:trPr>
          <w:trHeight w:val="240"/>
        </w:trPr>
        <w:tc>
          <w:tcPr>
            <w:tcW w:w="744" w:type="pct"/>
            <w:noWrap/>
            <w:vAlign w:val="center"/>
          </w:tcPr>
          <w:p w14:paraId="582C7E81" w14:textId="2AECE111" w:rsidR="002C29DE" w:rsidRPr="004A30E1" w:rsidRDefault="002C29DE" w:rsidP="00B27662">
            <w:pPr>
              <w:spacing w:before="60" w:after="60" w:line="200" w:lineRule="atLeast"/>
              <w:contextualSpacing/>
              <w:rPr>
                <w:rFonts w:eastAsia="Times New Roman" w:cs="Arial"/>
                <w:color w:val="000000"/>
                <w:sz w:val="14"/>
                <w:szCs w:val="14"/>
                <w:lang w:eastAsia="en-AU"/>
              </w:rPr>
            </w:pPr>
            <w:proofErr w:type="gramStart"/>
            <w:r w:rsidRPr="004A30E1">
              <w:rPr>
                <w:rFonts w:cs="Arial"/>
                <w:color w:val="000000"/>
                <w:sz w:val="14"/>
                <w:szCs w:val="14"/>
              </w:rPr>
              <w:t>North West</w:t>
            </w:r>
            <w:proofErr w:type="gramEnd"/>
          </w:p>
        </w:tc>
        <w:tc>
          <w:tcPr>
            <w:tcW w:w="355" w:type="pct"/>
            <w:noWrap/>
            <w:vAlign w:val="center"/>
          </w:tcPr>
          <w:p w14:paraId="3DFE0E5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567882D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684008C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7B9EC87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157D39D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noWrap/>
            <w:vAlign w:val="center"/>
          </w:tcPr>
          <w:p w14:paraId="002111B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0FB1C28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355" w:type="pct"/>
            <w:vAlign w:val="center"/>
          </w:tcPr>
          <w:p w14:paraId="318039C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1F34E70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4B90E1B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355" w:type="pct"/>
            <w:noWrap/>
            <w:vAlign w:val="center"/>
          </w:tcPr>
          <w:p w14:paraId="1031382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0.88</w:t>
            </w:r>
          </w:p>
        </w:tc>
        <w:tc>
          <w:tcPr>
            <w:tcW w:w="275" w:type="pct"/>
            <w:vAlign w:val="center"/>
          </w:tcPr>
          <w:p w14:paraId="4B44DD6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0.88</w:t>
            </w:r>
          </w:p>
        </w:tc>
      </w:tr>
      <w:tr w:rsidR="00573723" w:rsidRPr="00657A6B" w14:paraId="719AD4AE"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590EC001" w14:textId="5C832569"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Shepparton</w:t>
            </w:r>
          </w:p>
        </w:tc>
        <w:tc>
          <w:tcPr>
            <w:tcW w:w="355" w:type="pct"/>
            <w:noWrap/>
            <w:vAlign w:val="center"/>
          </w:tcPr>
          <w:p w14:paraId="25E8C9A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6E8C8C4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20EDF7E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644D163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7C5B058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4AEF6D3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5E3EF11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vAlign w:val="center"/>
          </w:tcPr>
          <w:p w14:paraId="2FB2D13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7A114C7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04AEC25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0.91</w:t>
            </w:r>
          </w:p>
        </w:tc>
        <w:tc>
          <w:tcPr>
            <w:tcW w:w="355" w:type="pct"/>
            <w:noWrap/>
            <w:vAlign w:val="center"/>
          </w:tcPr>
          <w:p w14:paraId="3F61CF6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275" w:type="pct"/>
            <w:vAlign w:val="center"/>
          </w:tcPr>
          <w:p w14:paraId="265DA54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r>
      <w:tr w:rsidR="00573723" w:rsidRPr="00657A6B" w14:paraId="4AC47B6C" w14:textId="77777777" w:rsidTr="00D30617">
        <w:trPr>
          <w:trHeight w:val="240"/>
        </w:trPr>
        <w:tc>
          <w:tcPr>
            <w:tcW w:w="744" w:type="pct"/>
            <w:noWrap/>
            <w:vAlign w:val="center"/>
          </w:tcPr>
          <w:p w14:paraId="5BDE1E61" w14:textId="5F287575"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Warrnambool </w:t>
            </w:r>
            <w:r w:rsidR="00D30617">
              <w:rPr>
                <w:rFonts w:cs="Arial"/>
                <w:color w:val="000000"/>
                <w:sz w:val="14"/>
                <w:szCs w:val="14"/>
              </w:rPr>
              <w:t>&amp;</w:t>
            </w:r>
            <w:r w:rsidRPr="004A30E1">
              <w:rPr>
                <w:rFonts w:cs="Arial"/>
                <w:color w:val="000000"/>
                <w:sz w:val="14"/>
                <w:szCs w:val="14"/>
              </w:rPr>
              <w:t xml:space="preserve"> </w:t>
            </w:r>
            <w:proofErr w:type="gramStart"/>
            <w:r w:rsidRPr="004A30E1">
              <w:rPr>
                <w:rFonts w:cs="Arial"/>
                <w:color w:val="000000"/>
                <w:sz w:val="14"/>
                <w:szCs w:val="14"/>
              </w:rPr>
              <w:t>South West</w:t>
            </w:r>
            <w:proofErr w:type="gramEnd"/>
          </w:p>
        </w:tc>
        <w:tc>
          <w:tcPr>
            <w:tcW w:w="355" w:type="pct"/>
            <w:noWrap/>
            <w:vAlign w:val="center"/>
          </w:tcPr>
          <w:p w14:paraId="7340632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0828A8F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1AE5A3A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76C50F4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00E89C3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76BDE07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6D582F8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0.89</w:t>
            </w:r>
          </w:p>
        </w:tc>
        <w:tc>
          <w:tcPr>
            <w:tcW w:w="355" w:type="pct"/>
            <w:vAlign w:val="center"/>
          </w:tcPr>
          <w:p w14:paraId="6B25648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0.94</w:t>
            </w:r>
          </w:p>
        </w:tc>
        <w:tc>
          <w:tcPr>
            <w:tcW w:w="355" w:type="pct"/>
            <w:noWrap/>
            <w:vAlign w:val="center"/>
          </w:tcPr>
          <w:p w14:paraId="148E785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0.93</w:t>
            </w:r>
          </w:p>
        </w:tc>
        <w:tc>
          <w:tcPr>
            <w:tcW w:w="355" w:type="pct"/>
            <w:noWrap/>
            <w:vAlign w:val="center"/>
          </w:tcPr>
          <w:p w14:paraId="38AA9D3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0.92</w:t>
            </w:r>
          </w:p>
        </w:tc>
        <w:tc>
          <w:tcPr>
            <w:tcW w:w="355" w:type="pct"/>
            <w:noWrap/>
            <w:vAlign w:val="center"/>
          </w:tcPr>
          <w:p w14:paraId="045DD5A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c>
          <w:tcPr>
            <w:tcW w:w="275" w:type="pct"/>
            <w:vAlign w:val="center"/>
          </w:tcPr>
          <w:p w14:paraId="1EDACBA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0.90</w:t>
            </w:r>
          </w:p>
        </w:tc>
      </w:tr>
      <w:tr w:rsidR="00573723" w:rsidRPr="00657A6B" w14:paraId="3F13B86F"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3A601563" w14:textId="14982589" w:rsidR="00573723" w:rsidRPr="00B27662" w:rsidRDefault="00573723" w:rsidP="00B27662">
            <w:pPr>
              <w:spacing w:before="60" w:after="60" w:line="200" w:lineRule="atLeast"/>
              <w:contextualSpacing/>
              <w:rPr>
                <w:rFonts w:cs="Arial"/>
                <w:b/>
                <w:bCs/>
                <w:color w:val="000000"/>
                <w:sz w:val="14"/>
                <w:szCs w:val="14"/>
              </w:rPr>
            </w:pPr>
            <w:r w:rsidRPr="00B27662">
              <w:rPr>
                <w:rFonts w:cs="Arial"/>
                <w:b/>
                <w:bCs/>
                <w:color w:val="000000"/>
                <w:sz w:val="14"/>
                <w:szCs w:val="14"/>
              </w:rPr>
              <w:lastRenderedPageBreak/>
              <w:t>Western Australia</w:t>
            </w:r>
          </w:p>
        </w:tc>
        <w:tc>
          <w:tcPr>
            <w:tcW w:w="355" w:type="pct"/>
            <w:noWrap/>
            <w:vAlign w:val="center"/>
          </w:tcPr>
          <w:p w14:paraId="13214318"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7E17B82C"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6F01629F"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23316AAB"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39D5F42B"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6004EB7D"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37CAFA65"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vAlign w:val="center"/>
          </w:tcPr>
          <w:p w14:paraId="00F4C252"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48CF7E28"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5B27B17A" w14:textId="77777777" w:rsidR="00573723" w:rsidRPr="004A30E1" w:rsidRDefault="00573723" w:rsidP="00B27662">
            <w:pPr>
              <w:spacing w:before="60" w:after="60" w:line="200" w:lineRule="atLeast"/>
              <w:contextualSpacing/>
              <w:jc w:val="center"/>
              <w:rPr>
                <w:rFonts w:cs="Arial"/>
                <w:color w:val="000000"/>
                <w:sz w:val="14"/>
                <w:szCs w:val="14"/>
              </w:rPr>
            </w:pPr>
          </w:p>
        </w:tc>
        <w:tc>
          <w:tcPr>
            <w:tcW w:w="355" w:type="pct"/>
            <w:noWrap/>
            <w:vAlign w:val="center"/>
          </w:tcPr>
          <w:p w14:paraId="1CD07EAC" w14:textId="77777777" w:rsidR="00573723" w:rsidRPr="004A30E1" w:rsidRDefault="00573723" w:rsidP="00B27662">
            <w:pPr>
              <w:spacing w:before="60" w:after="60" w:line="200" w:lineRule="atLeast"/>
              <w:contextualSpacing/>
              <w:jc w:val="center"/>
              <w:rPr>
                <w:rFonts w:cs="Arial"/>
                <w:color w:val="000000"/>
                <w:sz w:val="14"/>
                <w:szCs w:val="14"/>
              </w:rPr>
            </w:pPr>
          </w:p>
        </w:tc>
        <w:tc>
          <w:tcPr>
            <w:tcW w:w="275" w:type="pct"/>
            <w:vAlign w:val="center"/>
          </w:tcPr>
          <w:p w14:paraId="05984ECD" w14:textId="77777777" w:rsidR="00573723" w:rsidRPr="004A30E1" w:rsidRDefault="00573723" w:rsidP="00B27662">
            <w:pPr>
              <w:spacing w:before="60" w:after="60" w:line="200" w:lineRule="atLeast"/>
              <w:contextualSpacing/>
              <w:jc w:val="center"/>
              <w:rPr>
                <w:rFonts w:cs="Arial"/>
                <w:color w:val="000000"/>
                <w:sz w:val="14"/>
                <w:szCs w:val="14"/>
              </w:rPr>
            </w:pPr>
          </w:p>
        </w:tc>
      </w:tr>
      <w:tr w:rsidR="00573723" w:rsidRPr="00657A6B" w14:paraId="27B8C990" w14:textId="77777777" w:rsidTr="00D30617">
        <w:trPr>
          <w:trHeight w:val="240"/>
        </w:trPr>
        <w:tc>
          <w:tcPr>
            <w:tcW w:w="744" w:type="pct"/>
            <w:noWrap/>
            <w:vAlign w:val="center"/>
          </w:tcPr>
          <w:p w14:paraId="6EBFB453" w14:textId="1D8313BF"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Bunbury</w:t>
            </w:r>
          </w:p>
        </w:tc>
        <w:tc>
          <w:tcPr>
            <w:tcW w:w="355" w:type="pct"/>
            <w:noWrap/>
            <w:vAlign w:val="center"/>
          </w:tcPr>
          <w:p w14:paraId="4B75C90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55" w:type="pct"/>
            <w:noWrap/>
            <w:vAlign w:val="center"/>
          </w:tcPr>
          <w:p w14:paraId="00AE6C4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55" w:type="pct"/>
            <w:vAlign w:val="center"/>
          </w:tcPr>
          <w:p w14:paraId="3E7C01D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55" w:type="pct"/>
            <w:vAlign w:val="center"/>
          </w:tcPr>
          <w:p w14:paraId="365F2AC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1.14</w:t>
            </w:r>
          </w:p>
        </w:tc>
        <w:tc>
          <w:tcPr>
            <w:tcW w:w="355" w:type="pct"/>
            <w:noWrap/>
            <w:vAlign w:val="center"/>
          </w:tcPr>
          <w:p w14:paraId="7BF84CB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noWrap/>
            <w:vAlign w:val="center"/>
          </w:tcPr>
          <w:p w14:paraId="7FA4B69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6CFDA71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59FF9D9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3E4D259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30A7B7C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2D41D6F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275" w:type="pct"/>
            <w:vAlign w:val="center"/>
          </w:tcPr>
          <w:p w14:paraId="51E05F6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573723" w:rsidRPr="00657A6B" w14:paraId="5B62A9F7"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7719564D" w14:textId="489952F7"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Mandurah</w:t>
            </w:r>
          </w:p>
        </w:tc>
        <w:tc>
          <w:tcPr>
            <w:tcW w:w="355" w:type="pct"/>
            <w:noWrap/>
            <w:vAlign w:val="center"/>
          </w:tcPr>
          <w:p w14:paraId="2210C2A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780781A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vAlign w:val="center"/>
          </w:tcPr>
          <w:p w14:paraId="5306352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vAlign w:val="center"/>
          </w:tcPr>
          <w:p w14:paraId="3032875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1D7FE55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4E8DD2F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31E2DC1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355" w:type="pct"/>
            <w:vAlign w:val="center"/>
          </w:tcPr>
          <w:p w14:paraId="67233FF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4E58E09C"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42AD9544"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18442E51"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c>
          <w:tcPr>
            <w:tcW w:w="275" w:type="pct"/>
            <w:vAlign w:val="center"/>
          </w:tcPr>
          <w:p w14:paraId="0AB1A06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0.96</w:t>
            </w:r>
          </w:p>
        </w:tc>
      </w:tr>
      <w:tr w:rsidR="00573723" w:rsidRPr="00657A6B" w14:paraId="71DCEC81" w14:textId="77777777" w:rsidTr="00D30617">
        <w:trPr>
          <w:trHeight w:val="240"/>
        </w:trPr>
        <w:tc>
          <w:tcPr>
            <w:tcW w:w="744" w:type="pct"/>
            <w:noWrap/>
            <w:vAlign w:val="center"/>
          </w:tcPr>
          <w:p w14:paraId="521586BC" w14:textId="7D6ECD0A"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Outback</w:t>
            </w:r>
          </w:p>
        </w:tc>
        <w:tc>
          <w:tcPr>
            <w:tcW w:w="355" w:type="pct"/>
            <w:noWrap/>
            <w:vAlign w:val="center"/>
          </w:tcPr>
          <w:p w14:paraId="1EDEB3F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1.20</w:t>
            </w:r>
          </w:p>
        </w:tc>
        <w:tc>
          <w:tcPr>
            <w:tcW w:w="355" w:type="pct"/>
            <w:noWrap/>
            <w:vAlign w:val="center"/>
          </w:tcPr>
          <w:p w14:paraId="60ABB4A5"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1.21</w:t>
            </w:r>
          </w:p>
        </w:tc>
        <w:tc>
          <w:tcPr>
            <w:tcW w:w="355" w:type="pct"/>
            <w:vAlign w:val="center"/>
          </w:tcPr>
          <w:p w14:paraId="363DFF9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1.21</w:t>
            </w:r>
          </w:p>
        </w:tc>
        <w:tc>
          <w:tcPr>
            <w:tcW w:w="355" w:type="pct"/>
            <w:vAlign w:val="center"/>
          </w:tcPr>
          <w:p w14:paraId="038277E2"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1.24</w:t>
            </w:r>
          </w:p>
        </w:tc>
        <w:tc>
          <w:tcPr>
            <w:tcW w:w="355" w:type="pct"/>
            <w:noWrap/>
            <w:vAlign w:val="center"/>
          </w:tcPr>
          <w:p w14:paraId="3F3DC589"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1.12</w:t>
            </w:r>
          </w:p>
        </w:tc>
        <w:tc>
          <w:tcPr>
            <w:tcW w:w="355" w:type="pct"/>
            <w:noWrap/>
            <w:vAlign w:val="center"/>
          </w:tcPr>
          <w:p w14:paraId="3FCFE798"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25F48F5B"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322C676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6C88CAD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56DA78D0"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1659B42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275" w:type="pct"/>
            <w:vAlign w:val="center"/>
          </w:tcPr>
          <w:p w14:paraId="0A6222C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r>
      <w:tr w:rsidR="00B27662" w:rsidRPr="00657A6B" w14:paraId="03352802"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5E6E057C" w14:textId="49BE7047" w:rsidR="00B27662" w:rsidRPr="004A30E1" w:rsidRDefault="00B27662"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Perth </w:t>
            </w:r>
            <w:r w:rsidR="00BB6E62">
              <w:rPr>
                <w:rFonts w:cs="Arial"/>
                <w:color w:val="000000"/>
                <w:sz w:val="14"/>
                <w:szCs w:val="14"/>
              </w:rPr>
              <w:t>–</w:t>
            </w:r>
            <w:r w:rsidRPr="004A30E1">
              <w:rPr>
                <w:rFonts w:cs="Arial"/>
                <w:color w:val="000000"/>
                <w:sz w:val="14"/>
                <w:szCs w:val="14"/>
              </w:rPr>
              <w:t xml:space="preserve"> Inner</w:t>
            </w:r>
          </w:p>
        </w:tc>
        <w:tc>
          <w:tcPr>
            <w:tcW w:w="355" w:type="pct"/>
            <w:noWrap/>
            <w:vAlign w:val="center"/>
          </w:tcPr>
          <w:p w14:paraId="3DD55637"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3C595299"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vAlign w:val="center"/>
          </w:tcPr>
          <w:p w14:paraId="49C29086"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vAlign w:val="center"/>
          </w:tcPr>
          <w:p w14:paraId="482F2F75"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1.07</w:t>
            </w:r>
          </w:p>
        </w:tc>
        <w:tc>
          <w:tcPr>
            <w:tcW w:w="355" w:type="pct"/>
            <w:noWrap/>
            <w:vAlign w:val="center"/>
          </w:tcPr>
          <w:p w14:paraId="553C7FFB"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1.22</w:t>
            </w:r>
          </w:p>
        </w:tc>
        <w:tc>
          <w:tcPr>
            <w:tcW w:w="355" w:type="pct"/>
            <w:noWrap/>
            <w:vAlign w:val="center"/>
          </w:tcPr>
          <w:p w14:paraId="0D06B048"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1.34</w:t>
            </w:r>
          </w:p>
        </w:tc>
        <w:tc>
          <w:tcPr>
            <w:tcW w:w="355" w:type="pct"/>
            <w:noWrap/>
            <w:vAlign w:val="center"/>
          </w:tcPr>
          <w:p w14:paraId="54A56371"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1.42</w:t>
            </w:r>
          </w:p>
        </w:tc>
        <w:tc>
          <w:tcPr>
            <w:tcW w:w="355" w:type="pct"/>
            <w:vAlign w:val="center"/>
          </w:tcPr>
          <w:p w14:paraId="67E4C31C"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1.26</w:t>
            </w:r>
          </w:p>
        </w:tc>
        <w:tc>
          <w:tcPr>
            <w:tcW w:w="355" w:type="pct"/>
            <w:noWrap/>
            <w:vAlign w:val="center"/>
          </w:tcPr>
          <w:p w14:paraId="4E1DF9F0"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1.32</w:t>
            </w:r>
          </w:p>
        </w:tc>
        <w:tc>
          <w:tcPr>
            <w:tcW w:w="355" w:type="pct"/>
            <w:noWrap/>
            <w:vAlign w:val="center"/>
          </w:tcPr>
          <w:p w14:paraId="6F0A542F"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1.36</w:t>
            </w:r>
          </w:p>
        </w:tc>
        <w:tc>
          <w:tcPr>
            <w:tcW w:w="355" w:type="pct"/>
            <w:noWrap/>
            <w:vAlign w:val="center"/>
          </w:tcPr>
          <w:p w14:paraId="7A4C93C5"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1.42</w:t>
            </w:r>
          </w:p>
        </w:tc>
        <w:tc>
          <w:tcPr>
            <w:tcW w:w="275" w:type="pct"/>
            <w:vAlign w:val="center"/>
          </w:tcPr>
          <w:p w14:paraId="66CDE0C7"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1.42</w:t>
            </w:r>
          </w:p>
        </w:tc>
      </w:tr>
      <w:tr w:rsidR="00B27662" w:rsidRPr="00657A6B" w14:paraId="39164373" w14:textId="77777777" w:rsidTr="00D30617">
        <w:trPr>
          <w:trHeight w:val="240"/>
        </w:trPr>
        <w:tc>
          <w:tcPr>
            <w:tcW w:w="744" w:type="pct"/>
            <w:noWrap/>
            <w:vAlign w:val="center"/>
          </w:tcPr>
          <w:p w14:paraId="294C95EA" w14:textId="7FE160F7" w:rsidR="00B27662" w:rsidRPr="004A30E1" w:rsidRDefault="00B27662"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Perth </w:t>
            </w:r>
            <w:r w:rsidR="00BB6E62">
              <w:rPr>
                <w:rFonts w:cs="Arial"/>
                <w:color w:val="000000"/>
                <w:sz w:val="14"/>
                <w:szCs w:val="14"/>
              </w:rPr>
              <w:t>–</w:t>
            </w:r>
            <w:r w:rsidRPr="004A30E1">
              <w:rPr>
                <w:rFonts w:cs="Arial"/>
                <w:color w:val="000000"/>
                <w:sz w:val="14"/>
                <w:szCs w:val="14"/>
              </w:rPr>
              <w:t xml:space="preserve"> </w:t>
            </w:r>
            <w:proofErr w:type="gramStart"/>
            <w:r w:rsidRPr="004A30E1">
              <w:rPr>
                <w:rFonts w:cs="Arial"/>
                <w:color w:val="000000"/>
                <w:sz w:val="14"/>
                <w:szCs w:val="14"/>
              </w:rPr>
              <w:t>North East</w:t>
            </w:r>
            <w:proofErr w:type="gramEnd"/>
          </w:p>
        </w:tc>
        <w:tc>
          <w:tcPr>
            <w:tcW w:w="355" w:type="pct"/>
            <w:noWrap/>
            <w:vAlign w:val="center"/>
          </w:tcPr>
          <w:p w14:paraId="7A200CE5"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3A9BAAB2"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00F05219"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1E8A3DFC"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3878A92A"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1.01</w:t>
            </w:r>
          </w:p>
        </w:tc>
        <w:tc>
          <w:tcPr>
            <w:tcW w:w="355" w:type="pct"/>
            <w:noWrap/>
            <w:vAlign w:val="center"/>
          </w:tcPr>
          <w:p w14:paraId="07FE9394"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4C70525B"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355" w:type="pct"/>
            <w:vAlign w:val="center"/>
          </w:tcPr>
          <w:p w14:paraId="0C1452BD"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02B6E2CC"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3D27602F"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1.00</w:t>
            </w:r>
          </w:p>
        </w:tc>
        <w:tc>
          <w:tcPr>
            <w:tcW w:w="355" w:type="pct"/>
            <w:noWrap/>
            <w:vAlign w:val="center"/>
          </w:tcPr>
          <w:p w14:paraId="2AA1CE22"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c>
          <w:tcPr>
            <w:tcW w:w="275" w:type="pct"/>
            <w:vAlign w:val="center"/>
          </w:tcPr>
          <w:p w14:paraId="1C6DBDC7"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0.99</w:t>
            </w:r>
          </w:p>
        </w:tc>
      </w:tr>
      <w:tr w:rsidR="00B27662" w:rsidRPr="00657A6B" w14:paraId="48D045BC"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2626698C" w14:textId="5600C9CB" w:rsidR="00B27662" w:rsidRPr="004A30E1" w:rsidRDefault="00B27662"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Perth </w:t>
            </w:r>
            <w:r w:rsidR="00BB6E62">
              <w:rPr>
                <w:rFonts w:cs="Arial"/>
                <w:color w:val="000000"/>
                <w:sz w:val="14"/>
                <w:szCs w:val="14"/>
              </w:rPr>
              <w:t>–</w:t>
            </w:r>
            <w:r w:rsidRPr="004A30E1">
              <w:rPr>
                <w:rFonts w:cs="Arial"/>
                <w:color w:val="000000"/>
                <w:sz w:val="14"/>
                <w:szCs w:val="14"/>
              </w:rPr>
              <w:t xml:space="preserve"> </w:t>
            </w:r>
            <w:proofErr w:type="gramStart"/>
            <w:r w:rsidRPr="004A30E1">
              <w:rPr>
                <w:rFonts w:cs="Arial"/>
                <w:color w:val="000000"/>
                <w:sz w:val="14"/>
                <w:szCs w:val="14"/>
              </w:rPr>
              <w:t>North West</w:t>
            </w:r>
            <w:proofErr w:type="gramEnd"/>
          </w:p>
        </w:tc>
        <w:tc>
          <w:tcPr>
            <w:tcW w:w="355" w:type="pct"/>
            <w:noWrap/>
            <w:vAlign w:val="center"/>
          </w:tcPr>
          <w:p w14:paraId="2AABE060"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1ECB856A"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vAlign w:val="center"/>
          </w:tcPr>
          <w:p w14:paraId="00C9F260"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vAlign w:val="center"/>
          </w:tcPr>
          <w:p w14:paraId="5E640F8F"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3FB5D41E"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3D9748CF"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6FD0F2BB"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vAlign w:val="center"/>
          </w:tcPr>
          <w:p w14:paraId="3DFCDF5A"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29115D6F"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1A3A27B8"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441280C1"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275" w:type="pct"/>
            <w:vAlign w:val="center"/>
          </w:tcPr>
          <w:p w14:paraId="14E24DD3"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r>
      <w:tr w:rsidR="00B27662" w:rsidRPr="00657A6B" w14:paraId="5B36DF63" w14:textId="77777777" w:rsidTr="00D30617">
        <w:trPr>
          <w:trHeight w:val="240"/>
        </w:trPr>
        <w:tc>
          <w:tcPr>
            <w:tcW w:w="744" w:type="pct"/>
            <w:noWrap/>
            <w:vAlign w:val="center"/>
          </w:tcPr>
          <w:p w14:paraId="79100BF8" w14:textId="787B09E5" w:rsidR="00B27662" w:rsidRPr="004A30E1" w:rsidRDefault="00B27662"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Perth </w:t>
            </w:r>
            <w:r w:rsidR="00BB6E62">
              <w:rPr>
                <w:rFonts w:cs="Arial"/>
                <w:color w:val="000000"/>
                <w:sz w:val="14"/>
                <w:szCs w:val="14"/>
              </w:rPr>
              <w:t>–</w:t>
            </w:r>
            <w:r w:rsidRPr="004A30E1">
              <w:rPr>
                <w:rFonts w:cs="Arial"/>
                <w:color w:val="000000"/>
                <w:sz w:val="14"/>
                <w:szCs w:val="14"/>
              </w:rPr>
              <w:t xml:space="preserve"> </w:t>
            </w:r>
            <w:proofErr w:type="gramStart"/>
            <w:r w:rsidRPr="004A30E1">
              <w:rPr>
                <w:rFonts w:cs="Arial"/>
                <w:color w:val="000000"/>
                <w:sz w:val="14"/>
                <w:szCs w:val="14"/>
              </w:rPr>
              <w:t>South East</w:t>
            </w:r>
            <w:proofErr w:type="gramEnd"/>
          </w:p>
        </w:tc>
        <w:tc>
          <w:tcPr>
            <w:tcW w:w="355" w:type="pct"/>
            <w:noWrap/>
            <w:vAlign w:val="center"/>
          </w:tcPr>
          <w:p w14:paraId="77A81EA7"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noWrap/>
            <w:vAlign w:val="center"/>
          </w:tcPr>
          <w:p w14:paraId="07ACECB9"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10023905"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1.08</w:t>
            </w:r>
          </w:p>
        </w:tc>
        <w:tc>
          <w:tcPr>
            <w:tcW w:w="355" w:type="pct"/>
            <w:vAlign w:val="center"/>
          </w:tcPr>
          <w:p w14:paraId="4052370E"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1.09</w:t>
            </w:r>
          </w:p>
        </w:tc>
        <w:tc>
          <w:tcPr>
            <w:tcW w:w="355" w:type="pct"/>
            <w:noWrap/>
            <w:vAlign w:val="center"/>
          </w:tcPr>
          <w:p w14:paraId="2D16DD71"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613A0B38"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0ACD5503"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vAlign w:val="center"/>
          </w:tcPr>
          <w:p w14:paraId="02431CA0"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noWrap/>
            <w:vAlign w:val="center"/>
          </w:tcPr>
          <w:p w14:paraId="63ADD301"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1.05</w:t>
            </w:r>
          </w:p>
        </w:tc>
        <w:tc>
          <w:tcPr>
            <w:tcW w:w="355" w:type="pct"/>
            <w:noWrap/>
            <w:vAlign w:val="center"/>
          </w:tcPr>
          <w:p w14:paraId="1E84C601"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355" w:type="pct"/>
            <w:noWrap/>
            <w:vAlign w:val="center"/>
          </w:tcPr>
          <w:p w14:paraId="66ACC969"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c>
          <w:tcPr>
            <w:tcW w:w="275" w:type="pct"/>
            <w:vAlign w:val="center"/>
          </w:tcPr>
          <w:p w14:paraId="0DB7B211"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1.06</w:t>
            </w:r>
          </w:p>
        </w:tc>
      </w:tr>
      <w:tr w:rsidR="00B27662" w:rsidRPr="00657A6B" w14:paraId="7B74E6B6" w14:textId="77777777" w:rsidTr="00D30617">
        <w:trPr>
          <w:cnfStyle w:val="000000100000" w:firstRow="0" w:lastRow="0" w:firstColumn="0" w:lastColumn="0" w:oddVBand="0" w:evenVBand="0" w:oddHBand="1" w:evenHBand="0" w:firstRowFirstColumn="0" w:firstRowLastColumn="0" w:lastRowFirstColumn="0" w:lastRowLastColumn="0"/>
          <w:trHeight w:val="240"/>
        </w:trPr>
        <w:tc>
          <w:tcPr>
            <w:tcW w:w="744" w:type="pct"/>
            <w:noWrap/>
            <w:vAlign w:val="center"/>
          </w:tcPr>
          <w:p w14:paraId="6324AF0E" w14:textId="2361172B" w:rsidR="00B27662" w:rsidRPr="004A30E1" w:rsidRDefault="00B27662"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 xml:space="preserve">Perth </w:t>
            </w:r>
            <w:r w:rsidR="00BB6E62">
              <w:rPr>
                <w:rFonts w:cs="Arial"/>
                <w:color w:val="000000"/>
                <w:sz w:val="14"/>
                <w:szCs w:val="14"/>
              </w:rPr>
              <w:t>–</w:t>
            </w:r>
            <w:r w:rsidRPr="004A30E1">
              <w:rPr>
                <w:rFonts w:cs="Arial"/>
                <w:color w:val="000000"/>
                <w:sz w:val="14"/>
                <w:szCs w:val="14"/>
              </w:rPr>
              <w:t xml:space="preserve"> </w:t>
            </w:r>
            <w:proofErr w:type="gramStart"/>
            <w:r w:rsidRPr="004A30E1">
              <w:rPr>
                <w:rFonts w:cs="Arial"/>
                <w:color w:val="000000"/>
                <w:sz w:val="14"/>
                <w:szCs w:val="14"/>
              </w:rPr>
              <w:t>South West</w:t>
            </w:r>
            <w:proofErr w:type="gramEnd"/>
          </w:p>
        </w:tc>
        <w:tc>
          <w:tcPr>
            <w:tcW w:w="355" w:type="pct"/>
            <w:noWrap/>
            <w:vAlign w:val="center"/>
          </w:tcPr>
          <w:p w14:paraId="115CA0FA"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29985816"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5477FF7C"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vAlign w:val="center"/>
          </w:tcPr>
          <w:p w14:paraId="1A911A6E"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1.04</w:t>
            </w:r>
          </w:p>
        </w:tc>
        <w:tc>
          <w:tcPr>
            <w:tcW w:w="355" w:type="pct"/>
            <w:noWrap/>
            <w:vAlign w:val="center"/>
          </w:tcPr>
          <w:p w14:paraId="4BAFB465"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2EA856A4"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0B10A427"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vAlign w:val="center"/>
          </w:tcPr>
          <w:p w14:paraId="18762617"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07A0037F"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20B2C906"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355" w:type="pct"/>
            <w:noWrap/>
            <w:vAlign w:val="center"/>
          </w:tcPr>
          <w:p w14:paraId="05D6B344"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c>
          <w:tcPr>
            <w:tcW w:w="275" w:type="pct"/>
            <w:vAlign w:val="center"/>
          </w:tcPr>
          <w:p w14:paraId="18A7E124" w14:textId="77777777" w:rsidR="00B27662" w:rsidRPr="004A30E1" w:rsidRDefault="00B27662" w:rsidP="00B27662">
            <w:pPr>
              <w:spacing w:before="60" w:after="60" w:line="200" w:lineRule="atLeast"/>
              <w:contextualSpacing/>
              <w:jc w:val="center"/>
              <w:rPr>
                <w:rFonts w:cs="Arial"/>
                <w:color w:val="000000"/>
                <w:sz w:val="14"/>
                <w:szCs w:val="14"/>
              </w:rPr>
            </w:pPr>
            <w:r w:rsidRPr="004A30E1">
              <w:rPr>
                <w:rFonts w:cs="Arial"/>
                <w:color w:val="000000"/>
                <w:sz w:val="14"/>
                <w:szCs w:val="14"/>
              </w:rPr>
              <w:t>1.02</w:t>
            </w:r>
          </w:p>
        </w:tc>
      </w:tr>
      <w:tr w:rsidR="00573723" w:rsidRPr="00657A6B" w14:paraId="48FA9A8C" w14:textId="77777777" w:rsidTr="00D30617">
        <w:trPr>
          <w:trHeight w:val="240"/>
        </w:trPr>
        <w:tc>
          <w:tcPr>
            <w:tcW w:w="744" w:type="pct"/>
            <w:noWrap/>
            <w:vAlign w:val="center"/>
          </w:tcPr>
          <w:p w14:paraId="436A0441" w14:textId="1F2D40B9" w:rsidR="002C29DE" w:rsidRPr="004A30E1" w:rsidRDefault="002C29DE" w:rsidP="00B27662">
            <w:pPr>
              <w:spacing w:before="60" w:after="60" w:line="200" w:lineRule="atLeast"/>
              <w:contextualSpacing/>
              <w:rPr>
                <w:rFonts w:eastAsia="Times New Roman" w:cs="Arial"/>
                <w:color w:val="000000"/>
                <w:sz w:val="14"/>
                <w:szCs w:val="14"/>
                <w:lang w:eastAsia="en-AU"/>
              </w:rPr>
            </w:pPr>
            <w:r w:rsidRPr="004A30E1">
              <w:rPr>
                <w:rFonts w:cs="Arial"/>
                <w:color w:val="000000"/>
                <w:sz w:val="14"/>
                <w:szCs w:val="14"/>
              </w:rPr>
              <w:t>Wheat Belt</w:t>
            </w:r>
          </w:p>
        </w:tc>
        <w:tc>
          <w:tcPr>
            <w:tcW w:w="355" w:type="pct"/>
            <w:noWrap/>
            <w:vAlign w:val="center"/>
          </w:tcPr>
          <w:p w14:paraId="553200F6"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55" w:type="pct"/>
            <w:noWrap/>
            <w:vAlign w:val="center"/>
          </w:tcPr>
          <w:p w14:paraId="7A5BC4E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55" w:type="pct"/>
            <w:vAlign w:val="center"/>
          </w:tcPr>
          <w:p w14:paraId="2D9E464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1.11</w:t>
            </w:r>
          </w:p>
        </w:tc>
        <w:tc>
          <w:tcPr>
            <w:tcW w:w="355" w:type="pct"/>
            <w:vAlign w:val="center"/>
          </w:tcPr>
          <w:p w14:paraId="2BFA388E"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1.13</w:t>
            </w:r>
          </w:p>
        </w:tc>
        <w:tc>
          <w:tcPr>
            <w:tcW w:w="355" w:type="pct"/>
            <w:noWrap/>
            <w:vAlign w:val="center"/>
          </w:tcPr>
          <w:p w14:paraId="39586C9D"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1.03</w:t>
            </w:r>
          </w:p>
        </w:tc>
        <w:tc>
          <w:tcPr>
            <w:tcW w:w="355" w:type="pct"/>
            <w:noWrap/>
            <w:vAlign w:val="center"/>
          </w:tcPr>
          <w:p w14:paraId="104B9263"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3E3BA12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355" w:type="pct"/>
            <w:vAlign w:val="center"/>
          </w:tcPr>
          <w:p w14:paraId="10A2300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0.98</w:t>
            </w:r>
          </w:p>
        </w:tc>
        <w:tc>
          <w:tcPr>
            <w:tcW w:w="355" w:type="pct"/>
            <w:noWrap/>
            <w:vAlign w:val="center"/>
          </w:tcPr>
          <w:p w14:paraId="391A6F97"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4637B9E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0.97</w:t>
            </w:r>
          </w:p>
        </w:tc>
        <w:tc>
          <w:tcPr>
            <w:tcW w:w="355" w:type="pct"/>
            <w:noWrap/>
            <w:vAlign w:val="center"/>
          </w:tcPr>
          <w:p w14:paraId="62E4197A"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c>
          <w:tcPr>
            <w:tcW w:w="275" w:type="pct"/>
            <w:vAlign w:val="center"/>
          </w:tcPr>
          <w:p w14:paraId="63B2447F" w14:textId="77777777" w:rsidR="002C29DE" w:rsidRPr="004A30E1" w:rsidRDefault="002C29DE" w:rsidP="00B27662">
            <w:pPr>
              <w:spacing w:before="60" w:after="60" w:line="200" w:lineRule="atLeast"/>
              <w:contextualSpacing/>
              <w:jc w:val="center"/>
              <w:rPr>
                <w:rFonts w:cs="Arial"/>
                <w:color w:val="000000"/>
                <w:sz w:val="14"/>
                <w:szCs w:val="14"/>
              </w:rPr>
            </w:pPr>
            <w:r w:rsidRPr="004A30E1">
              <w:rPr>
                <w:rFonts w:cs="Arial"/>
                <w:color w:val="000000"/>
                <w:sz w:val="14"/>
                <w:szCs w:val="14"/>
              </w:rPr>
              <w:t>0.95</w:t>
            </w:r>
          </w:p>
        </w:tc>
      </w:tr>
    </w:tbl>
    <w:p w14:paraId="45465581" w14:textId="77777777" w:rsidR="002C29DE" w:rsidRDefault="002C29DE" w:rsidP="00244A13">
      <w:pPr>
        <w:pStyle w:val="Heading3"/>
        <w:sectPr w:rsidR="002C29DE" w:rsidSect="002C29DE">
          <w:pgSz w:w="16839" w:h="11907" w:orient="landscape" w:code="9"/>
          <w:pgMar w:top="1440" w:right="1440" w:bottom="1440" w:left="1440" w:header="709" w:footer="709" w:gutter="0"/>
          <w:cols w:space="708"/>
          <w:titlePg/>
          <w:docGrid w:linePitch="360"/>
        </w:sectPr>
      </w:pPr>
    </w:p>
    <w:p w14:paraId="518F15F8" w14:textId="77777777" w:rsidR="0016121F" w:rsidRDefault="0016121F" w:rsidP="00FA12C8">
      <w:pPr>
        <w:pStyle w:val="Heading2"/>
      </w:pPr>
      <w:bookmarkStart w:id="17" w:name="_Toc116293077"/>
      <w:r>
        <w:lastRenderedPageBreak/>
        <w:t>Annual Indexation</w:t>
      </w:r>
      <w:bookmarkEnd w:id="17"/>
    </w:p>
    <w:p w14:paraId="794AB4F7" w14:textId="25E61791" w:rsidR="0016121F" w:rsidRDefault="0016121F" w:rsidP="0016121F">
      <w:r>
        <w:t>The amount of SDA that is payable in respect of a</w:t>
      </w:r>
      <w:r w:rsidR="00BB6E62">
        <w:t>n SDA-eligible</w:t>
      </w:r>
      <w:r>
        <w:t xml:space="preserve"> participant in an SDA </w:t>
      </w:r>
      <w:r w:rsidR="00BB6E62">
        <w:t>enrolled</w:t>
      </w:r>
      <w:r>
        <w:t xml:space="preserve"> dwelling in each of the </w:t>
      </w:r>
      <w:r w:rsidR="00FE4655">
        <w:t>combinations discussed above</w:t>
      </w:r>
      <w:r>
        <w:t xml:space="preserve"> was initially calculated in 2015-16. The SDA amounts in later years f</w:t>
      </w:r>
      <w:r w:rsidR="00FE4655">
        <w:t xml:space="preserve">or each combination </w:t>
      </w:r>
      <w:r>
        <w:t xml:space="preserve">was then determined by multiplying the 2015-16 SDA amounts by the annual movement in the CPI to the end of the March Quarter (see </w:t>
      </w:r>
      <w:r w:rsidR="00FE4655" w:rsidRPr="00FA12C8">
        <w:rPr>
          <w:b/>
        </w:rPr>
        <w:fldChar w:fldCharType="begin"/>
      </w:r>
      <w:r w:rsidR="00FE4655" w:rsidRPr="00FA12C8">
        <w:rPr>
          <w:b/>
        </w:rPr>
        <w:instrText xml:space="preserve"> REF _Ref113971767 \h </w:instrText>
      </w:r>
      <w:r w:rsidR="00023B0E">
        <w:rPr>
          <w:b/>
        </w:rPr>
        <w:instrText xml:space="preserve"> \* MERGEFORMAT </w:instrText>
      </w:r>
      <w:r w:rsidR="00FE4655" w:rsidRPr="00FA12C8">
        <w:rPr>
          <w:b/>
        </w:rPr>
      </w:r>
      <w:r w:rsidR="00FE4655" w:rsidRPr="00FA12C8">
        <w:rPr>
          <w:b/>
        </w:rPr>
        <w:fldChar w:fldCharType="separate"/>
      </w:r>
      <w:r w:rsidR="00765987" w:rsidRPr="00765987">
        <w:rPr>
          <w:b/>
        </w:rPr>
        <w:t xml:space="preserve">Table </w:t>
      </w:r>
      <w:r w:rsidR="00765987" w:rsidRPr="00765987">
        <w:rPr>
          <w:b/>
          <w:noProof/>
        </w:rPr>
        <w:t>5</w:t>
      </w:r>
      <w:r w:rsidR="00FE4655" w:rsidRPr="00FA12C8">
        <w:rPr>
          <w:b/>
        </w:rPr>
        <w:fldChar w:fldCharType="end"/>
      </w:r>
      <w:r w:rsidR="00FE4655">
        <w:t xml:space="preserve"> </w:t>
      </w:r>
      <w:r>
        <w:t>below).</w:t>
      </w:r>
    </w:p>
    <w:p w14:paraId="420D71D3" w14:textId="415B9B0C" w:rsidR="0016121F" w:rsidRPr="00E8672A" w:rsidRDefault="0016121F" w:rsidP="0016121F">
      <w:pPr>
        <w:pStyle w:val="Caption"/>
        <w:spacing w:before="120"/>
      </w:pPr>
      <w:bookmarkStart w:id="18" w:name="_Ref113971767"/>
      <w:r w:rsidRPr="00392B76">
        <w:t xml:space="preserve">Table </w:t>
      </w:r>
      <w:r w:rsidR="0095150D">
        <w:fldChar w:fldCharType="begin"/>
      </w:r>
      <w:r w:rsidR="0095150D">
        <w:instrText xml:space="preserve"> SEQ Table \* ARABIC </w:instrText>
      </w:r>
      <w:r w:rsidR="0095150D">
        <w:fldChar w:fldCharType="separate"/>
      </w:r>
      <w:r w:rsidR="00765987">
        <w:rPr>
          <w:noProof/>
        </w:rPr>
        <w:t>5</w:t>
      </w:r>
      <w:r w:rsidR="0095150D">
        <w:rPr>
          <w:noProof/>
        </w:rPr>
        <w:fldChar w:fldCharType="end"/>
      </w:r>
      <w:bookmarkEnd w:id="18"/>
      <w:r w:rsidRPr="00392B76">
        <w:t xml:space="preserve">: </w:t>
      </w:r>
      <w:r>
        <w:t>CPI Multiplier</w:t>
      </w:r>
    </w:p>
    <w:tbl>
      <w:tblPr>
        <w:tblStyle w:val="GridTable4"/>
        <w:tblW w:w="2427" w:type="pct"/>
        <w:jc w:val="center"/>
        <w:tblLook w:val="0420" w:firstRow="1" w:lastRow="0" w:firstColumn="0" w:lastColumn="0" w:noHBand="0" w:noVBand="1"/>
      </w:tblPr>
      <w:tblGrid>
        <w:gridCol w:w="1956"/>
        <w:gridCol w:w="853"/>
        <w:gridCol w:w="1568"/>
      </w:tblGrid>
      <w:tr w:rsidR="0016121F" w:rsidRPr="004B2A97" w14:paraId="3DB2AEBB" w14:textId="77777777" w:rsidTr="00F829BA">
        <w:trPr>
          <w:cnfStyle w:val="100000000000" w:firstRow="1" w:lastRow="0" w:firstColumn="0" w:lastColumn="0" w:oddVBand="0" w:evenVBand="0" w:oddHBand="0" w:evenHBand="0" w:firstRowFirstColumn="0" w:firstRowLastColumn="0" w:lastRowFirstColumn="0" w:lastRowLastColumn="0"/>
          <w:jc w:val="center"/>
        </w:trPr>
        <w:tc>
          <w:tcPr>
            <w:tcW w:w="2412" w:type="pct"/>
            <w:hideMark/>
          </w:tcPr>
          <w:p w14:paraId="18D47C81" w14:textId="77777777" w:rsidR="0016121F" w:rsidRPr="004B2A97" w:rsidRDefault="0016121F" w:rsidP="00F829BA">
            <w:pPr>
              <w:spacing w:line="200" w:lineRule="atLeast"/>
              <w:rPr>
                <w:rFonts w:eastAsia="Times New Roman" w:cstheme="minorHAnsi"/>
                <w:szCs w:val="16"/>
                <w:lang w:eastAsia="en-AU"/>
              </w:rPr>
            </w:pPr>
            <w:r>
              <w:rPr>
                <w:rFonts w:eastAsia="Times New Roman" w:cstheme="minorHAnsi"/>
                <w:szCs w:val="16"/>
                <w:lang w:eastAsia="en-AU"/>
              </w:rPr>
              <w:t>Year</w:t>
            </w:r>
          </w:p>
        </w:tc>
        <w:tc>
          <w:tcPr>
            <w:tcW w:w="1152" w:type="pct"/>
            <w:hideMark/>
          </w:tcPr>
          <w:p w14:paraId="2AB913F7" w14:textId="77777777" w:rsidR="0016121F" w:rsidRPr="004B2A97" w:rsidRDefault="0016121F" w:rsidP="00F829BA">
            <w:pPr>
              <w:spacing w:line="200" w:lineRule="atLeast"/>
              <w:jc w:val="center"/>
              <w:rPr>
                <w:rFonts w:eastAsia="Times New Roman" w:cstheme="minorHAnsi"/>
                <w:szCs w:val="16"/>
                <w:lang w:eastAsia="en-AU"/>
              </w:rPr>
            </w:pPr>
            <w:r>
              <w:rPr>
                <w:rFonts w:eastAsia="Times New Roman" w:cstheme="minorHAnsi"/>
                <w:szCs w:val="16"/>
                <w:lang w:eastAsia="en-AU"/>
              </w:rPr>
              <w:t>CPI</w:t>
            </w:r>
          </w:p>
        </w:tc>
        <w:tc>
          <w:tcPr>
            <w:tcW w:w="1436" w:type="pct"/>
            <w:noWrap/>
            <w:hideMark/>
          </w:tcPr>
          <w:p w14:paraId="193FBFED" w14:textId="77777777" w:rsidR="0016121F" w:rsidRPr="004B2A97" w:rsidRDefault="0016121F" w:rsidP="00F829BA">
            <w:pPr>
              <w:spacing w:line="200" w:lineRule="atLeast"/>
              <w:jc w:val="right"/>
              <w:rPr>
                <w:rFonts w:eastAsia="Times New Roman" w:cstheme="minorHAnsi"/>
                <w:szCs w:val="16"/>
                <w:lang w:eastAsia="en-AU"/>
              </w:rPr>
            </w:pPr>
            <w:r>
              <w:rPr>
                <w:rFonts w:eastAsia="Times New Roman" w:cstheme="minorHAnsi"/>
                <w:szCs w:val="16"/>
                <w:lang w:eastAsia="en-AU"/>
              </w:rPr>
              <w:t>Cumulative Effect</w:t>
            </w:r>
          </w:p>
        </w:tc>
      </w:tr>
      <w:tr w:rsidR="0016121F" w:rsidRPr="004B2A97" w14:paraId="3637F3F8" w14:textId="77777777" w:rsidTr="00F829BA">
        <w:trPr>
          <w:cnfStyle w:val="000000100000" w:firstRow="0" w:lastRow="0" w:firstColumn="0" w:lastColumn="0" w:oddVBand="0" w:evenVBand="0" w:oddHBand="1" w:evenHBand="0" w:firstRowFirstColumn="0" w:firstRowLastColumn="0" w:lastRowFirstColumn="0" w:lastRowLastColumn="0"/>
          <w:jc w:val="center"/>
        </w:trPr>
        <w:tc>
          <w:tcPr>
            <w:tcW w:w="2412" w:type="pct"/>
            <w:noWrap/>
            <w:hideMark/>
          </w:tcPr>
          <w:p w14:paraId="0AE6084A" w14:textId="02FF3374" w:rsidR="0016121F" w:rsidRPr="004B2A97" w:rsidRDefault="0016121F" w:rsidP="00F829BA">
            <w:pPr>
              <w:spacing w:line="200" w:lineRule="atLeast"/>
              <w:rPr>
                <w:rFonts w:eastAsia="Times New Roman" w:cstheme="minorHAnsi"/>
                <w:color w:val="000000"/>
                <w:szCs w:val="16"/>
                <w:lang w:eastAsia="en-AU"/>
              </w:rPr>
            </w:pPr>
            <w:r>
              <w:rPr>
                <w:rFonts w:eastAsia="Times New Roman" w:cstheme="minorHAnsi"/>
                <w:color w:val="000000"/>
                <w:szCs w:val="16"/>
                <w:lang w:eastAsia="en-AU"/>
              </w:rPr>
              <w:t xml:space="preserve">2016-17 </w:t>
            </w:r>
            <w:r w:rsidR="002B0609">
              <w:rPr>
                <w:rFonts w:eastAsia="Times New Roman" w:cstheme="minorHAnsi"/>
                <w:color w:val="000000"/>
                <w:szCs w:val="16"/>
                <w:lang w:eastAsia="en-AU"/>
              </w:rPr>
              <w:t>base prices</w:t>
            </w:r>
          </w:p>
        </w:tc>
        <w:tc>
          <w:tcPr>
            <w:tcW w:w="1152" w:type="pct"/>
            <w:noWrap/>
            <w:hideMark/>
          </w:tcPr>
          <w:p w14:paraId="35D8B5E2" w14:textId="77777777" w:rsidR="0016121F" w:rsidRPr="004B2A97"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2.5%</w:t>
            </w:r>
          </w:p>
        </w:tc>
        <w:tc>
          <w:tcPr>
            <w:tcW w:w="1436" w:type="pct"/>
            <w:noWrap/>
            <w:hideMark/>
          </w:tcPr>
          <w:p w14:paraId="55C65F04" w14:textId="77777777" w:rsidR="0016121F" w:rsidRPr="0069303C" w:rsidRDefault="0016121F" w:rsidP="00F829BA">
            <w:pPr>
              <w:spacing w:line="200" w:lineRule="atLeast"/>
              <w:jc w:val="center"/>
              <w:rPr>
                <w:rFonts w:eastAsia="Times New Roman" w:cstheme="minorHAnsi"/>
                <w:color w:val="000000"/>
                <w:szCs w:val="16"/>
                <w:lang w:eastAsia="en-AU"/>
              </w:rPr>
            </w:pPr>
            <w:r w:rsidRPr="0069303C">
              <w:rPr>
                <w:rFonts w:eastAsia="Times New Roman" w:cstheme="minorHAnsi"/>
                <w:color w:val="000000"/>
                <w:szCs w:val="16"/>
                <w:lang w:eastAsia="en-AU"/>
              </w:rPr>
              <w:t>2.5</w:t>
            </w:r>
            <w:r>
              <w:rPr>
                <w:rFonts w:eastAsia="Times New Roman" w:cstheme="minorHAnsi"/>
                <w:color w:val="000000"/>
                <w:szCs w:val="16"/>
                <w:lang w:eastAsia="en-AU"/>
              </w:rPr>
              <w:t>0</w:t>
            </w:r>
            <w:r w:rsidRPr="0069303C">
              <w:rPr>
                <w:rFonts w:eastAsia="Times New Roman" w:cstheme="minorHAnsi"/>
                <w:color w:val="000000"/>
                <w:szCs w:val="16"/>
                <w:lang w:eastAsia="en-AU"/>
              </w:rPr>
              <w:t>%</w:t>
            </w:r>
          </w:p>
        </w:tc>
      </w:tr>
      <w:tr w:rsidR="0016121F" w:rsidRPr="004B2A97" w14:paraId="11827A7E" w14:textId="77777777" w:rsidTr="00F829BA">
        <w:trPr>
          <w:jc w:val="center"/>
        </w:trPr>
        <w:tc>
          <w:tcPr>
            <w:tcW w:w="2412" w:type="pct"/>
            <w:noWrap/>
          </w:tcPr>
          <w:p w14:paraId="1B9750EE" w14:textId="3B7E335A" w:rsidR="0016121F" w:rsidRPr="004B2A97" w:rsidRDefault="0016121F" w:rsidP="00F829BA">
            <w:pPr>
              <w:spacing w:line="200" w:lineRule="atLeast"/>
              <w:rPr>
                <w:rFonts w:eastAsia="Times New Roman" w:cstheme="minorHAnsi"/>
                <w:color w:val="000000"/>
                <w:szCs w:val="16"/>
                <w:lang w:eastAsia="en-AU"/>
              </w:rPr>
            </w:pPr>
            <w:r>
              <w:rPr>
                <w:rFonts w:eastAsia="Times New Roman" w:cstheme="minorHAnsi"/>
                <w:color w:val="000000"/>
                <w:szCs w:val="16"/>
                <w:lang w:eastAsia="en-AU"/>
              </w:rPr>
              <w:t xml:space="preserve">2017-18 </w:t>
            </w:r>
            <w:r w:rsidR="002B0609">
              <w:rPr>
                <w:rFonts w:eastAsia="Times New Roman" w:cstheme="minorHAnsi"/>
                <w:color w:val="000000"/>
                <w:szCs w:val="16"/>
                <w:lang w:eastAsia="en-AU"/>
              </w:rPr>
              <w:t>base prices</w:t>
            </w:r>
          </w:p>
        </w:tc>
        <w:tc>
          <w:tcPr>
            <w:tcW w:w="1152" w:type="pct"/>
            <w:noWrap/>
          </w:tcPr>
          <w:p w14:paraId="17087A27" w14:textId="77777777" w:rsidR="0016121F" w:rsidRPr="004B2A97"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2.1%</w:t>
            </w:r>
          </w:p>
        </w:tc>
        <w:tc>
          <w:tcPr>
            <w:tcW w:w="1436" w:type="pct"/>
            <w:noWrap/>
          </w:tcPr>
          <w:p w14:paraId="3B42ECC8" w14:textId="77777777" w:rsidR="0016121F" w:rsidRPr="0069303C"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4.65</w:t>
            </w:r>
            <w:r w:rsidRPr="0069303C">
              <w:rPr>
                <w:rFonts w:eastAsia="Times New Roman" w:cstheme="minorHAnsi"/>
                <w:color w:val="000000"/>
                <w:szCs w:val="16"/>
                <w:lang w:eastAsia="en-AU"/>
              </w:rPr>
              <w:t>%</w:t>
            </w:r>
          </w:p>
        </w:tc>
      </w:tr>
      <w:tr w:rsidR="0016121F" w:rsidRPr="004B2A97" w14:paraId="00DF1DDD" w14:textId="77777777" w:rsidTr="00F829BA">
        <w:trPr>
          <w:cnfStyle w:val="000000100000" w:firstRow="0" w:lastRow="0" w:firstColumn="0" w:lastColumn="0" w:oddVBand="0" w:evenVBand="0" w:oddHBand="1" w:evenHBand="0" w:firstRowFirstColumn="0" w:firstRowLastColumn="0" w:lastRowFirstColumn="0" w:lastRowLastColumn="0"/>
          <w:jc w:val="center"/>
        </w:trPr>
        <w:tc>
          <w:tcPr>
            <w:tcW w:w="2412" w:type="pct"/>
            <w:noWrap/>
          </w:tcPr>
          <w:p w14:paraId="55A1F256" w14:textId="481D2601" w:rsidR="0016121F" w:rsidRPr="004B2A97" w:rsidRDefault="0016121F" w:rsidP="00F829BA">
            <w:pPr>
              <w:spacing w:line="200" w:lineRule="atLeast"/>
              <w:rPr>
                <w:rFonts w:eastAsia="Times New Roman" w:cstheme="minorHAnsi"/>
                <w:color w:val="000000"/>
                <w:szCs w:val="16"/>
                <w:lang w:eastAsia="en-AU"/>
              </w:rPr>
            </w:pPr>
            <w:r>
              <w:rPr>
                <w:rFonts w:eastAsia="Times New Roman" w:cstheme="minorHAnsi"/>
                <w:color w:val="000000"/>
                <w:szCs w:val="16"/>
                <w:lang w:eastAsia="en-AU"/>
              </w:rPr>
              <w:t xml:space="preserve">2018-19 </w:t>
            </w:r>
            <w:r w:rsidR="002B0609">
              <w:rPr>
                <w:rFonts w:eastAsia="Times New Roman" w:cstheme="minorHAnsi"/>
                <w:color w:val="000000"/>
                <w:szCs w:val="16"/>
                <w:lang w:eastAsia="en-AU"/>
              </w:rPr>
              <w:t>base prices</w:t>
            </w:r>
          </w:p>
        </w:tc>
        <w:tc>
          <w:tcPr>
            <w:tcW w:w="1152" w:type="pct"/>
            <w:noWrap/>
          </w:tcPr>
          <w:p w14:paraId="40DAC0C8" w14:textId="77777777" w:rsidR="0016121F" w:rsidRPr="004B2A97"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1.9%</w:t>
            </w:r>
          </w:p>
        </w:tc>
        <w:tc>
          <w:tcPr>
            <w:tcW w:w="1436" w:type="pct"/>
            <w:noWrap/>
          </w:tcPr>
          <w:p w14:paraId="232295F2" w14:textId="77777777" w:rsidR="0016121F" w:rsidRPr="0069303C"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6.64</w:t>
            </w:r>
            <w:r w:rsidRPr="0069303C">
              <w:rPr>
                <w:rFonts w:eastAsia="Times New Roman" w:cstheme="minorHAnsi"/>
                <w:color w:val="000000"/>
                <w:szCs w:val="16"/>
                <w:lang w:eastAsia="en-AU"/>
              </w:rPr>
              <w:t>%</w:t>
            </w:r>
          </w:p>
        </w:tc>
      </w:tr>
      <w:tr w:rsidR="0016121F" w:rsidRPr="004B2A97" w14:paraId="1D5E1A77" w14:textId="77777777" w:rsidTr="00F829BA">
        <w:trPr>
          <w:jc w:val="center"/>
        </w:trPr>
        <w:tc>
          <w:tcPr>
            <w:tcW w:w="2412" w:type="pct"/>
            <w:noWrap/>
          </w:tcPr>
          <w:p w14:paraId="0A895C90" w14:textId="5DCC4F62" w:rsidR="0016121F" w:rsidRDefault="0016121F" w:rsidP="00F829BA">
            <w:pPr>
              <w:spacing w:line="200" w:lineRule="atLeast"/>
              <w:rPr>
                <w:rFonts w:eastAsia="Times New Roman" w:cstheme="minorHAnsi"/>
                <w:color w:val="000000"/>
                <w:szCs w:val="16"/>
                <w:lang w:eastAsia="en-AU"/>
              </w:rPr>
            </w:pPr>
            <w:r>
              <w:rPr>
                <w:rFonts w:eastAsia="Times New Roman" w:cstheme="minorHAnsi"/>
                <w:color w:val="000000"/>
                <w:szCs w:val="16"/>
                <w:lang w:eastAsia="en-AU"/>
              </w:rPr>
              <w:t xml:space="preserve">2019-20 </w:t>
            </w:r>
            <w:r w:rsidR="002B0609">
              <w:rPr>
                <w:rFonts w:eastAsia="Times New Roman" w:cstheme="minorHAnsi"/>
                <w:color w:val="000000"/>
                <w:szCs w:val="16"/>
                <w:lang w:eastAsia="en-AU"/>
              </w:rPr>
              <w:t>base prices</w:t>
            </w:r>
          </w:p>
        </w:tc>
        <w:tc>
          <w:tcPr>
            <w:tcW w:w="1152" w:type="pct"/>
            <w:noWrap/>
          </w:tcPr>
          <w:p w14:paraId="52B0B969" w14:textId="77777777" w:rsidR="0016121F" w:rsidRPr="004B2A97"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1.3%</w:t>
            </w:r>
          </w:p>
        </w:tc>
        <w:tc>
          <w:tcPr>
            <w:tcW w:w="1436" w:type="pct"/>
            <w:noWrap/>
          </w:tcPr>
          <w:p w14:paraId="60C5BFDB" w14:textId="77777777" w:rsidR="0016121F" w:rsidRPr="0069303C"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8.03%</w:t>
            </w:r>
          </w:p>
        </w:tc>
      </w:tr>
      <w:tr w:rsidR="0016121F" w:rsidRPr="004B2A97" w14:paraId="2CD08C75" w14:textId="77777777" w:rsidTr="00F829BA">
        <w:trPr>
          <w:cnfStyle w:val="000000100000" w:firstRow="0" w:lastRow="0" w:firstColumn="0" w:lastColumn="0" w:oddVBand="0" w:evenVBand="0" w:oddHBand="1" w:evenHBand="0" w:firstRowFirstColumn="0" w:firstRowLastColumn="0" w:lastRowFirstColumn="0" w:lastRowLastColumn="0"/>
          <w:jc w:val="center"/>
        </w:trPr>
        <w:tc>
          <w:tcPr>
            <w:tcW w:w="2412" w:type="pct"/>
            <w:noWrap/>
          </w:tcPr>
          <w:p w14:paraId="3E29FBE8" w14:textId="7B9E19C4" w:rsidR="0016121F" w:rsidRDefault="00C2475C" w:rsidP="00F829BA">
            <w:pPr>
              <w:spacing w:line="200" w:lineRule="atLeast"/>
              <w:rPr>
                <w:rFonts w:eastAsia="Times New Roman" w:cstheme="minorHAnsi"/>
                <w:color w:val="000000"/>
                <w:szCs w:val="16"/>
                <w:lang w:eastAsia="en-AU"/>
              </w:rPr>
            </w:pPr>
            <w:r>
              <w:rPr>
                <w:rFonts w:eastAsia="Times New Roman" w:cstheme="minorHAnsi"/>
                <w:color w:val="000000"/>
                <w:szCs w:val="16"/>
                <w:lang w:eastAsia="en-AU"/>
              </w:rPr>
              <w:t xml:space="preserve">2020-21 </w:t>
            </w:r>
            <w:r w:rsidR="002B0609">
              <w:rPr>
                <w:rFonts w:eastAsia="Times New Roman" w:cstheme="minorHAnsi"/>
                <w:color w:val="000000"/>
                <w:szCs w:val="16"/>
                <w:lang w:eastAsia="en-AU"/>
              </w:rPr>
              <w:t>base prices</w:t>
            </w:r>
          </w:p>
        </w:tc>
        <w:tc>
          <w:tcPr>
            <w:tcW w:w="1152" w:type="pct"/>
            <w:noWrap/>
          </w:tcPr>
          <w:p w14:paraId="6BB1C15B" w14:textId="77777777" w:rsidR="0016121F" w:rsidRPr="004B2A97"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2.2%</w:t>
            </w:r>
          </w:p>
        </w:tc>
        <w:tc>
          <w:tcPr>
            <w:tcW w:w="1436" w:type="pct"/>
            <w:noWrap/>
          </w:tcPr>
          <w:p w14:paraId="1D53A43D" w14:textId="77777777" w:rsidR="0016121F" w:rsidRPr="0069303C"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10.40%</w:t>
            </w:r>
          </w:p>
        </w:tc>
      </w:tr>
      <w:tr w:rsidR="0016121F" w:rsidRPr="004B2A97" w14:paraId="76DB3F64" w14:textId="77777777" w:rsidTr="00F829BA">
        <w:trPr>
          <w:jc w:val="center"/>
        </w:trPr>
        <w:tc>
          <w:tcPr>
            <w:tcW w:w="2412" w:type="pct"/>
            <w:noWrap/>
          </w:tcPr>
          <w:p w14:paraId="57A9253E" w14:textId="304338B4" w:rsidR="0016121F" w:rsidRDefault="0016121F" w:rsidP="00F829BA">
            <w:pPr>
              <w:spacing w:line="200" w:lineRule="atLeast"/>
              <w:rPr>
                <w:rFonts w:eastAsia="Times New Roman" w:cstheme="minorHAnsi"/>
                <w:color w:val="000000"/>
                <w:szCs w:val="16"/>
                <w:lang w:eastAsia="en-AU"/>
              </w:rPr>
            </w:pPr>
            <w:r>
              <w:rPr>
                <w:rFonts w:eastAsia="Times New Roman" w:cstheme="minorHAnsi"/>
                <w:color w:val="000000"/>
                <w:szCs w:val="16"/>
                <w:lang w:eastAsia="en-AU"/>
              </w:rPr>
              <w:t xml:space="preserve">2021-22 </w:t>
            </w:r>
            <w:r w:rsidR="002B0609">
              <w:rPr>
                <w:rFonts w:eastAsia="Times New Roman" w:cstheme="minorHAnsi"/>
                <w:color w:val="000000"/>
                <w:szCs w:val="16"/>
                <w:lang w:eastAsia="en-AU"/>
              </w:rPr>
              <w:t>base prices</w:t>
            </w:r>
          </w:p>
        </w:tc>
        <w:tc>
          <w:tcPr>
            <w:tcW w:w="1152" w:type="pct"/>
            <w:noWrap/>
          </w:tcPr>
          <w:p w14:paraId="0F0692F8" w14:textId="77777777" w:rsidR="0016121F" w:rsidRPr="004B2A97"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1.1%</w:t>
            </w:r>
          </w:p>
        </w:tc>
        <w:tc>
          <w:tcPr>
            <w:tcW w:w="1436" w:type="pct"/>
            <w:noWrap/>
          </w:tcPr>
          <w:p w14:paraId="0A40E699" w14:textId="77777777" w:rsidR="0016121F" w:rsidRPr="0069303C"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11.62%</w:t>
            </w:r>
          </w:p>
        </w:tc>
      </w:tr>
      <w:tr w:rsidR="0016121F" w:rsidRPr="004B2A97" w14:paraId="4F8C2962" w14:textId="77777777" w:rsidTr="00F829BA">
        <w:trPr>
          <w:cnfStyle w:val="000000100000" w:firstRow="0" w:lastRow="0" w:firstColumn="0" w:lastColumn="0" w:oddVBand="0" w:evenVBand="0" w:oddHBand="1" w:evenHBand="0" w:firstRowFirstColumn="0" w:firstRowLastColumn="0" w:lastRowFirstColumn="0" w:lastRowLastColumn="0"/>
          <w:jc w:val="center"/>
        </w:trPr>
        <w:tc>
          <w:tcPr>
            <w:tcW w:w="2412" w:type="pct"/>
            <w:noWrap/>
          </w:tcPr>
          <w:p w14:paraId="541BC7ED" w14:textId="2A91BB10" w:rsidR="0016121F" w:rsidRDefault="0016121F" w:rsidP="00F829BA">
            <w:pPr>
              <w:spacing w:line="200" w:lineRule="atLeast"/>
              <w:rPr>
                <w:rFonts w:eastAsia="Times New Roman" w:cstheme="minorHAnsi"/>
                <w:color w:val="000000"/>
                <w:szCs w:val="16"/>
                <w:lang w:eastAsia="en-AU"/>
              </w:rPr>
            </w:pPr>
            <w:r>
              <w:rPr>
                <w:rFonts w:eastAsia="Times New Roman" w:cstheme="minorHAnsi"/>
                <w:color w:val="000000"/>
                <w:szCs w:val="16"/>
                <w:lang w:eastAsia="en-AU"/>
              </w:rPr>
              <w:t xml:space="preserve">2022-23 </w:t>
            </w:r>
            <w:r w:rsidR="002B0609">
              <w:rPr>
                <w:rFonts w:eastAsia="Times New Roman" w:cstheme="minorHAnsi"/>
                <w:color w:val="000000"/>
                <w:szCs w:val="16"/>
                <w:lang w:eastAsia="en-AU"/>
              </w:rPr>
              <w:t>base prices</w:t>
            </w:r>
          </w:p>
        </w:tc>
        <w:tc>
          <w:tcPr>
            <w:tcW w:w="1152" w:type="pct"/>
            <w:noWrap/>
          </w:tcPr>
          <w:p w14:paraId="48D1BED1" w14:textId="77777777" w:rsidR="0016121F"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5.1%</w:t>
            </w:r>
          </w:p>
        </w:tc>
        <w:tc>
          <w:tcPr>
            <w:tcW w:w="1436" w:type="pct"/>
            <w:noWrap/>
          </w:tcPr>
          <w:p w14:paraId="31922B19" w14:textId="77777777" w:rsidR="0016121F" w:rsidRDefault="0016121F" w:rsidP="00F829BA">
            <w:pPr>
              <w:spacing w:line="200" w:lineRule="atLeast"/>
              <w:jc w:val="center"/>
              <w:rPr>
                <w:rFonts w:eastAsia="Times New Roman" w:cstheme="minorHAnsi"/>
                <w:color w:val="000000"/>
                <w:szCs w:val="16"/>
                <w:lang w:eastAsia="en-AU"/>
              </w:rPr>
            </w:pPr>
            <w:r>
              <w:rPr>
                <w:rFonts w:eastAsia="Times New Roman" w:cstheme="minorHAnsi"/>
                <w:color w:val="000000"/>
                <w:szCs w:val="16"/>
                <w:lang w:eastAsia="en-AU"/>
              </w:rPr>
              <w:t>17.31%</w:t>
            </w:r>
          </w:p>
        </w:tc>
      </w:tr>
    </w:tbl>
    <w:p w14:paraId="6A80B60C" w14:textId="1D1FD7F9" w:rsidR="0016121F" w:rsidRPr="0016121F" w:rsidRDefault="0016121F" w:rsidP="0016121F">
      <w:r w:rsidRPr="005C53B1">
        <w:t xml:space="preserve">Some minor adjustments were also made to SDA prices as a result of the </w:t>
      </w:r>
      <w:hyperlink r:id="rId40" w:history="1">
        <w:r w:rsidRPr="00192480">
          <w:rPr>
            <w:rStyle w:val="Hyperlink"/>
            <w:i/>
            <w:iCs/>
          </w:rPr>
          <w:t>Limited Cost Assumptions Review</w:t>
        </w:r>
      </w:hyperlink>
      <w:r>
        <w:t xml:space="preserve"> that was undertaken in 2019</w:t>
      </w:r>
      <w:r w:rsidR="00192480">
        <w:t xml:space="preserve"> </w:t>
      </w:r>
      <w:r w:rsidR="00192480" w:rsidRPr="001F5018">
        <w:t xml:space="preserve">in order to support investment across the range of SDA types and locations where the NDIA </w:t>
      </w:r>
      <w:r w:rsidR="00FE4655">
        <w:t>considered</w:t>
      </w:r>
      <w:r w:rsidR="00192480" w:rsidRPr="001F5018">
        <w:t xml:space="preserve"> that supply should be stimulated</w:t>
      </w:r>
      <w:r>
        <w:t xml:space="preserve">. </w:t>
      </w:r>
      <w:r w:rsidR="001F5018">
        <w:t>Some</w:t>
      </w:r>
      <w:r w:rsidR="001F5018" w:rsidRPr="001F5018">
        <w:t xml:space="preserve"> location factors in Sydney and Melbourne metropolitan areas </w:t>
      </w:r>
      <w:r w:rsidR="001F5018">
        <w:t xml:space="preserve">were increased and the </w:t>
      </w:r>
      <w:r w:rsidR="001F5018" w:rsidRPr="001F5018">
        <w:t xml:space="preserve">construction cost assumptions for </w:t>
      </w:r>
      <w:r w:rsidR="00FE4655">
        <w:t xml:space="preserve">the </w:t>
      </w:r>
      <w:r w:rsidR="001F5018" w:rsidRPr="001F5018">
        <w:t xml:space="preserve">Fully Accessible and Robust design categories </w:t>
      </w:r>
      <w:r w:rsidR="00192480">
        <w:t>were also adjusted. Further d</w:t>
      </w:r>
      <w:r>
        <w:t xml:space="preserve">etails of the changes are </w:t>
      </w:r>
      <w:r w:rsidRPr="00FE4655">
        <w:t xml:space="preserve">provided in </w:t>
      </w:r>
      <w:r w:rsidRPr="00FA12C8">
        <w:rPr>
          <w:b/>
        </w:rPr>
        <w:t xml:space="preserve">Appendix </w:t>
      </w:r>
      <w:r w:rsidR="00294429" w:rsidRPr="00FA12C8">
        <w:rPr>
          <w:b/>
        </w:rPr>
        <w:t>A</w:t>
      </w:r>
      <w:r w:rsidRPr="00FE4655">
        <w:t xml:space="preserve"> of this paper.</w:t>
      </w:r>
    </w:p>
    <w:p w14:paraId="23124C95" w14:textId="77777777" w:rsidR="0016121F" w:rsidRDefault="0016121F" w:rsidP="009679B3">
      <w:pPr>
        <w:pStyle w:val="Heading1"/>
        <w:sectPr w:rsidR="0016121F" w:rsidSect="00872AF9">
          <w:pgSz w:w="11907" w:h="16839" w:code="9"/>
          <w:pgMar w:top="1440" w:right="1440" w:bottom="1440" w:left="1440" w:header="709" w:footer="709" w:gutter="0"/>
          <w:cols w:space="708"/>
          <w:titlePg/>
          <w:docGrid w:linePitch="360"/>
        </w:sectPr>
      </w:pPr>
    </w:p>
    <w:p w14:paraId="588FBB01" w14:textId="1E5B74DB" w:rsidR="004752A6" w:rsidRDefault="004752A6" w:rsidP="009679B3">
      <w:pPr>
        <w:pStyle w:val="Heading1"/>
      </w:pPr>
      <w:bookmarkStart w:id="19" w:name="_Toc116293078"/>
      <w:r>
        <w:lastRenderedPageBreak/>
        <w:t>Current Pricing Methodology</w:t>
      </w:r>
      <w:r w:rsidR="00043646">
        <w:t xml:space="preserve"> and Assumptions</w:t>
      </w:r>
      <w:bookmarkEnd w:id="19"/>
    </w:p>
    <w:p w14:paraId="3EDE4859" w14:textId="61F7279C" w:rsidR="00A836B9" w:rsidRDefault="000C194E" w:rsidP="000C194E">
      <w:r>
        <w:t xml:space="preserve">This chapter sets out the detailed methodology and assumptions that </w:t>
      </w:r>
      <w:r w:rsidR="00192480">
        <w:t xml:space="preserve">the </w:t>
      </w:r>
      <w:r>
        <w:t xml:space="preserve">NDIA </w:t>
      </w:r>
      <w:r w:rsidR="00A836B9">
        <w:t>used in 2016-17</w:t>
      </w:r>
      <w:r>
        <w:t xml:space="preserve"> to determine </w:t>
      </w:r>
      <w:r w:rsidR="00CB5498">
        <w:t>the base price limits that apply in SDA.</w:t>
      </w:r>
      <w:r w:rsidR="00CB5498">
        <w:rPr>
          <w:rStyle w:val="FootnoteReference"/>
        </w:rPr>
        <w:footnoteReference w:id="5"/>
      </w:r>
      <w:r w:rsidR="003144B2">
        <w:t xml:space="preserve"> </w:t>
      </w:r>
    </w:p>
    <w:p w14:paraId="3118D4D3" w14:textId="6AFE19F9" w:rsidR="00D3108D" w:rsidRDefault="00D3108D" w:rsidP="00FA12C8">
      <w:pPr>
        <w:pStyle w:val="Heading2"/>
      </w:pPr>
      <w:bookmarkStart w:id="20" w:name="_Toc116293079"/>
      <w:bookmarkStart w:id="21" w:name="_Ref113461038"/>
      <w:r>
        <w:t>Overview of the Pricing Methodology</w:t>
      </w:r>
      <w:bookmarkEnd w:id="20"/>
    </w:p>
    <w:p w14:paraId="6E429BF1" w14:textId="669D20DA" w:rsidR="008B45DB" w:rsidRDefault="008B45DB" w:rsidP="008B45DB">
      <w:r>
        <w:t>The SDA Pricing and Payments Framework requires the NDIA to consider the following types of costs when it sets SDA prices:</w:t>
      </w:r>
    </w:p>
    <w:p w14:paraId="1202D458" w14:textId="640BDEDD" w:rsidR="008B45DB" w:rsidRDefault="008B45DB">
      <w:pPr>
        <w:pStyle w:val="ListParagraph"/>
        <w:numPr>
          <w:ilvl w:val="0"/>
          <w:numId w:val="19"/>
        </w:numPr>
      </w:pPr>
      <w:r>
        <w:t>Opportunity Cost of Capital</w:t>
      </w:r>
      <w:r w:rsidR="00B26E57">
        <w:t xml:space="preserve"> (return on capital)</w:t>
      </w:r>
      <w:r w:rsidR="00FD63EE">
        <w:t xml:space="preserve"> – This component recognises the typical sources of capital (debt or equity) and associated costs (at an efficient price), across all aspects of the capital investment in the accommodation (land, buildings, </w:t>
      </w:r>
      <w:proofErr w:type="gramStart"/>
      <w:r w:rsidR="00FD63EE">
        <w:t>plant</w:t>
      </w:r>
      <w:proofErr w:type="gramEnd"/>
      <w:r w:rsidR="00FD63EE">
        <w:t xml:space="preserve"> and equipment). The Framework requires that the NDIA should determine the weighted average cost of capital by reference to appropriate market indices for similar investments and should be set at a single national rate.</w:t>
      </w:r>
      <w:r w:rsidR="001779F8">
        <w:t xml:space="preserve"> The Framework also requires that the NDIA should not assume that the provider is a charity or not-for-profit, and so not discount the price based on any related tax concessions or access to reduced capital costs.</w:t>
      </w:r>
    </w:p>
    <w:p w14:paraId="428DB677" w14:textId="511C6F77" w:rsidR="00981E75" w:rsidRDefault="00B26E57">
      <w:pPr>
        <w:pStyle w:val="ListParagraph"/>
        <w:numPr>
          <w:ilvl w:val="0"/>
          <w:numId w:val="19"/>
        </w:numPr>
      </w:pPr>
      <w:r>
        <w:t>Consumption</w:t>
      </w:r>
      <w:r w:rsidR="008B45DB">
        <w:t xml:space="preserve"> Costs</w:t>
      </w:r>
      <w:r>
        <w:t xml:space="preserve"> (return of capital)</w:t>
      </w:r>
      <w:r w:rsidR="00981E75">
        <w:t xml:space="preserve"> – This component equates </w:t>
      </w:r>
      <w:r w:rsidR="00FD63EE">
        <w:t>to</w:t>
      </w:r>
      <w:r w:rsidR="00981E75">
        <w:t xml:space="preserve"> depreciation of the dwelling to the end of its useful life</w:t>
      </w:r>
      <w:r w:rsidR="00FD63EE">
        <w:t xml:space="preserve"> and</w:t>
      </w:r>
      <w:r w:rsidR="00981E75">
        <w:t xml:space="preserve"> provide</w:t>
      </w:r>
      <w:r w:rsidR="00FD63EE">
        <w:t>s</w:t>
      </w:r>
      <w:r w:rsidR="00981E75">
        <w:t xml:space="preserve"> the accommodation owner with funds to replace the building as new at the end of its life. Th</w:t>
      </w:r>
      <w:r w:rsidR="00FD63EE">
        <w:t>is c</w:t>
      </w:r>
      <w:r w:rsidR="00981E75">
        <w:t xml:space="preserve">omponent </w:t>
      </w:r>
      <w:r w:rsidR="00FD63EE">
        <w:t>is required to</w:t>
      </w:r>
      <w:r w:rsidR="00981E75">
        <w:t xml:space="preserve"> be adjusted for the investment interest on those payments over time, and the inflation impact on construction/replacement costs.</w:t>
      </w:r>
    </w:p>
    <w:p w14:paraId="381E1FE8" w14:textId="61E93C37" w:rsidR="008B45DB" w:rsidRDefault="008B45DB">
      <w:pPr>
        <w:pStyle w:val="ListParagraph"/>
        <w:numPr>
          <w:ilvl w:val="0"/>
          <w:numId w:val="19"/>
        </w:numPr>
      </w:pPr>
      <w:r>
        <w:t>Costs of Ownership</w:t>
      </w:r>
      <w:r w:rsidR="00B26E57">
        <w:t xml:space="preserve"> – This component makes provision for costs that are legally required, that extend the operating life of the accommodation, or that are otherwise necessary. </w:t>
      </w:r>
      <w:r w:rsidR="00D30D33">
        <w:t>E</w:t>
      </w:r>
      <w:r w:rsidR="00B26E57">
        <w:t>fficient accommodation-related operational cost</w:t>
      </w:r>
      <w:r w:rsidR="00D30D33">
        <w:t>s</w:t>
      </w:r>
      <w:r w:rsidR="00B26E57">
        <w:t xml:space="preserve"> of </w:t>
      </w:r>
      <w:r w:rsidR="00D30D33">
        <w:t xml:space="preserve">providing </w:t>
      </w:r>
      <w:r w:rsidR="00B26E57">
        <w:t>SDA could include</w:t>
      </w:r>
      <w:r w:rsidR="00D30D33">
        <w:t xml:space="preserve"> costs </w:t>
      </w:r>
      <w:proofErr w:type="gramStart"/>
      <w:r w:rsidR="00D30D33">
        <w:t>of</w:t>
      </w:r>
      <w:r w:rsidR="00B26E57">
        <w:t>:</w:t>
      </w:r>
      <w:proofErr w:type="gramEnd"/>
      <w:r w:rsidR="00B26E57">
        <w:t xml:space="preserve"> facilities management</w:t>
      </w:r>
      <w:r w:rsidR="00BF1A38">
        <w:t xml:space="preserve"> </w:t>
      </w:r>
      <w:r w:rsidR="00D30D33">
        <w:t>and accounting</w:t>
      </w:r>
      <w:r w:rsidR="00B26E57">
        <w:t>, rates</w:t>
      </w:r>
      <w:r w:rsidR="00BF1A38">
        <w:t xml:space="preserve"> and other indirect taxes</w:t>
      </w:r>
      <w:r w:rsidR="00B26E57">
        <w:t>, insurance, utilities not met by the tenants, repairs and maintenance, tenancy management</w:t>
      </w:r>
      <w:r w:rsidR="00BF1A38" w:rsidRPr="00BF1A38">
        <w:t xml:space="preserve">, </w:t>
      </w:r>
      <w:r w:rsidR="00BF1A38">
        <w:t xml:space="preserve">and </w:t>
      </w:r>
      <w:r w:rsidR="00BF1A38" w:rsidRPr="00BF1A38">
        <w:t>reporting and corporate compliance</w:t>
      </w:r>
      <w:r w:rsidR="00BF1A38">
        <w:t>.</w:t>
      </w:r>
      <w:r w:rsidR="00BF1A38" w:rsidRPr="00BF1A38">
        <w:t xml:space="preserve"> </w:t>
      </w:r>
      <w:r w:rsidR="00D30D33">
        <w:t xml:space="preserve">Costs of ownership may also include </w:t>
      </w:r>
      <w:r w:rsidR="00BF1A38" w:rsidRPr="00BF1A38">
        <w:t xml:space="preserve">loss or gaps in revenue such as </w:t>
      </w:r>
      <w:r w:rsidR="00D30D33">
        <w:t>delays</w:t>
      </w:r>
      <w:r w:rsidR="00BF1A38" w:rsidRPr="00BF1A38">
        <w:t xml:space="preserve"> between issuance of occupancy certificate </w:t>
      </w:r>
      <w:r w:rsidR="00D30D33">
        <w:t>and</w:t>
      </w:r>
      <w:r w:rsidR="00BF1A38" w:rsidRPr="00BF1A38">
        <w:t xml:space="preserve"> enrolment</w:t>
      </w:r>
      <w:r w:rsidR="00D30D33">
        <w:t xml:space="preserve">, </w:t>
      </w:r>
      <w:r w:rsidR="00BF1A38" w:rsidRPr="00BF1A38">
        <w:t xml:space="preserve">or </w:t>
      </w:r>
      <w:r w:rsidR="00D30D33">
        <w:t>delays between</w:t>
      </w:r>
      <w:r w:rsidR="00BF1A38" w:rsidRPr="00BF1A38">
        <w:t xml:space="preserve"> initial participant approvals and lease-up.</w:t>
      </w:r>
    </w:p>
    <w:p w14:paraId="393D8FDD" w14:textId="1F4653F3" w:rsidR="00981E75" w:rsidRDefault="008B45DB">
      <w:pPr>
        <w:pStyle w:val="ListParagraph"/>
        <w:numPr>
          <w:ilvl w:val="0"/>
          <w:numId w:val="19"/>
        </w:numPr>
      </w:pPr>
      <w:r>
        <w:t>Land price Inflation</w:t>
      </w:r>
      <w:r w:rsidR="00B26E57">
        <w:t xml:space="preserve"> – This component recognises the gain or loss the accommodation owner incurs over time due to changes in the value of land. To minimise short-run volatility in pricing arrangements, the Framework requires the NDIA to adopt a long-run, multi-year approach to establishing this component of the benchmark prices.</w:t>
      </w:r>
      <w:r w:rsidR="00981E75">
        <w:t xml:space="preserve"> The Framework provides that the NDIA should also </w:t>
      </w:r>
      <w:proofErr w:type="gramStart"/>
      <w:r w:rsidR="00981E75">
        <w:t>take into account</w:t>
      </w:r>
      <w:proofErr w:type="gramEnd"/>
      <w:r w:rsidR="00981E75">
        <w:t xml:space="preserve"> any other gains and losses from the revaluation or inflation of assets when setting SDA prices. </w:t>
      </w:r>
    </w:p>
    <w:p w14:paraId="680F5276" w14:textId="215C867B" w:rsidR="009057FC" w:rsidRDefault="009057FC">
      <w:pPr>
        <w:pStyle w:val="ListParagraph"/>
        <w:numPr>
          <w:ilvl w:val="0"/>
          <w:numId w:val="19"/>
        </w:numPr>
      </w:pPr>
      <w:r>
        <w:t>Resident rent contributions (from all people in the dwelling).</w:t>
      </w:r>
    </w:p>
    <w:p w14:paraId="04798D18" w14:textId="759FDF5E" w:rsidR="00981E75" w:rsidRDefault="00981E75" w:rsidP="00981E75">
      <w:r>
        <w:lastRenderedPageBreak/>
        <w:t>The Framework also requires the NDIA to consider the costs of meeting any quality or safeguarding requirements that apply to SDA when setting SDA prices.</w:t>
      </w:r>
    </w:p>
    <w:p w14:paraId="11490C51" w14:textId="5468B6B6" w:rsidR="009057FC" w:rsidRDefault="009057FC" w:rsidP="00981E75">
      <w:r>
        <w:t>In broad terms</w:t>
      </w:r>
      <w:r w:rsidR="001779F8">
        <w:t>,</w:t>
      </w:r>
      <w:r>
        <w:t xml:space="preserve"> the </w:t>
      </w:r>
      <w:r w:rsidR="001779F8">
        <w:t>required revenue</w:t>
      </w:r>
      <w:r w:rsidR="00740047">
        <w:t xml:space="preserve"> (cash flow)</w:t>
      </w:r>
      <w:r w:rsidR="001779F8">
        <w:t xml:space="preserve"> from the NDIS</w:t>
      </w:r>
      <w:r w:rsidR="002A6A6C">
        <w:t xml:space="preserve"> over the life of the dwelling</w:t>
      </w:r>
      <w:r w:rsidR="001779F8">
        <w:t xml:space="preserve"> is equal to:</w:t>
      </w:r>
    </w:p>
    <w:p w14:paraId="1C26E400" w14:textId="77777777" w:rsidR="00606B40" w:rsidRDefault="009057FC" w:rsidP="00606B40">
      <w:pPr>
        <w:jc w:val="center"/>
      </w:pPr>
      <m:oMathPara>
        <m:oMath>
          <m:r>
            <w:rPr>
              <w:rFonts w:ascii="Cambria Math" w:hAnsi="Cambria Math"/>
            </w:rPr>
            <m:t>Opportunity.Cost.Of.Capital</m:t>
          </m:r>
          <m:r>
            <m:rPr>
              <m:aln/>
            </m:rPr>
            <w:rPr>
              <w:rFonts w:ascii="Cambria Math" w:hAnsi="Cambria Math"/>
            </w:rPr>
            <m:t>+ Consumption.Costs+Ownership.Costs-Land.Price.Inflation-Resident.Rent.Payments</m:t>
          </m:r>
        </m:oMath>
      </m:oMathPara>
    </w:p>
    <w:p w14:paraId="56BA57D6" w14:textId="6B9C7091" w:rsidR="001779F8" w:rsidRDefault="002A6A6C" w:rsidP="00606B40">
      <w:r>
        <w:t>The annual price</w:t>
      </w:r>
      <w:r w:rsidR="006165BA">
        <w:t xml:space="preserve"> is</w:t>
      </w:r>
      <w:r>
        <w:t xml:space="preserve"> </w:t>
      </w:r>
      <w:r w:rsidR="00740047">
        <w:t>set a</w:t>
      </w:r>
      <w:r w:rsidR="00DF2DFC">
        <w:t>t</w:t>
      </w:r>
      <w:r w:rsidR="00740047">
        <w:t xml:space="preserve"> the</w:t>
      </w:r>
      <w:r>
        <w:t xml:space="preserve"> amount </w:t>
      </w:r>
      <w:r w:rsidR="00740047">
        <w:t xml:space="preserve">that is </w:t>
      </w:r>
      <w:r>
        <w:t>equal</w:t>
      </w:r>
      <w:r w:rsidRPr="002A6A6C">
        <w:t xml:space="preserve"> to the annual loan payment that would need to be made on a loan whose value was the net present value of the after</w:t>
      </w:r>
      <w:r w:rsidR="00740047">
        <w:t>-</w:t>
      </w:r>
      <w:r w:rsidRPr="002A6A6C">
        <w:t>tax cash flow from the dwelling over the investment period.</w:t>
      </w:r>
    </w:p>
    <w:p w14:paraId="570BF178" w14:textId="0699D62E" w:rsidR="00C6107F" w:rsidRPr="00FA12C8" w:rsidRDefault="00D3108D" w:rsidP="00FA12C8">
      <w:pPr>
        <w:pStyle w:val="Heading2"/>
      </w:pPr>
      <w:bookmarkStart w:id="22" w:name="_Toc116293080"/>
      <w:r w:rsidRPr="00FA12C8">
        <w:t xml:space="preserve">Detailed Methodology – </w:t>
      </w:r>
      <w:r w:rsidR="00781D4C" w:rsidRPr="00FA12C8">
        <w:t xml:space="preserve">Price Limits for </w:t>
      </w:r>
      <w:r w:rsidR="000E1B54" w:rsidRPr="00FA12C8">
        <w:t>New Builds</w:t>
      </w:r>
      <w:bookmarkEnd w:id="21"/>
      <w:bookmarkEnd w:id="22"/>
    </w:p>
    <w:p w14:paraId="463AC064" w14:textId="37B57BB9" w:rsidR="00D9334D" w:rsidRDefault="001004F8" w:rsidP="00D9334D">
      <w:bookmarkStart w:id="23" w:name="_Toc4756417"/>
      <w:r>
        <w:t>The</w:t>
      </w:r>
      <w:r w:rsidR="00D9334D">
        <w:t xml:space="preserve"> </w:t>
      </w:r>
      <w:r w:rsidR="00AE3336">
        <w:t>variable</w:t>
      </w:r>
      <w:r w:rsidR="00D9334D">
        <w:t xml:space="preserve"> </w:t>
      </w:r>
      <w:proofErr w:type="spellStart"/>
      <w:r w:rsidR="00D9334D" w:rsidRPr="00CE1A6C">
        <w:rPr>
          <w:b/>
          <w:bCs/>
        </w:rPr>
        <w:t>SDA.Payment</w:t>
      </w:r>
      <w:proofErr w:type="spellEnd"/>
      <w:r w:rsidR="00D9334D">
        <w:t xml:space="preserve"> </w:t>
      </w:r>
      <w:r w:rsidR="00AE3336">
        <w:t xml:space="preserve">represents the annual amount the NDIA would have paid in 2015-16 for </w:t>
      </w:r>
      <w:r>
        <w:t>a</w:t>
      </w:r>
      <w:r w:rsidR="00BF1A38">
        <w:t>n SDA-eligible</w:t>
      </w:r>
      <w:r>
        <w:t xml:space="preserve"> participant in a New Build </w:t>
      </w:r>
      <w:r w:rsidR="005F132E">
        <w:t>d</w:t>
      </w:r>
      <w:r w:rsidR="00AE3336">
        <w:t xml:space="preserve">welling. It </w:t>
      </w:r>
      <w:r w:rsidR="00F96C01">
        <w:t>is</w:t>
      </w:r>
      <w:r w:rsidR="00D9334D">
        <w:t xml:space="preserve"> determined </w:t>
      </w:r>
      <w:r w:rsidR="00BF1A38">
        <w:t>as follows:</w:t>
      </w:r>
    </w:p>
    <w:p w14:paraId="56F39185" w14:textId="77777777" w:rsidR="00D9334D" w:rsidRPr="00546527" w:rsidRDefault="0095150D" w:rsidP="00D9334D">
      <w:pPr>
        <w:spacing w:before="300" w:after="300"/>
        <w:rPr>
          <w:rFonts w:ascii="Cambria Math" w:hAnsi="Cambria Math"/>
          <w:i/>
        </w:rPr>
      </w:pPr>
      <m:oMathPara>
        <m:oMath>
          <m:f>
            <m:fPr>
              <m:ctrlPr>
                <w:rPr>
                  <w:rFonts w:ascii="Cambria Math" w:hAnsi="Cambria Math"/>
                  <w:i/>
                </w:rPr>
              </m:ctrlPr>
            </m:fPr>
            <m:num>
              <m:r>
                <w:rPr>
                  <w:rFonts w:ascii="Cambria Math" w:hAnsi="Cambria Math"/>
                </w:rPr>
                <m:t>Dwelling</m:t>
              </m:r>
              <m:r>
                <w:rPr>
                  <w:rFonts w:ascii="Cambria Math" w:hAnsi="Cambria Math"/>
                </w:rPr>
                <m:t>.</m:t>
              </m:r>
              <m:r>
                <w:rPr>
                  <w:rFonts w:ascii="Cambria Math" w:hAnsi="Cambria Math"/>
                </w:rPr>
                <m:t>Revenue</m:t>
              </m:r>
              <m:r>
                <w:rPr>
                  <w:rFonts w:ascii="Cambria Math" w:hAnsi="Cambria Math"/>
                </w:rPr>
                <m:t>.</m:t>
              </m:r>
              <m:r>
                <w:rPr>
                  <w:rFonts w:ascii="Cambria Math" w:hAnsi="Cambria Math"/>
                </w:rPr>
                <m:t>ExcRent</m:t>
              </m:r>
              <m:r>
                <w:rPr>
                  <w:rFonts w:ascii="Cambria Math" w:hAnsi="Cambria Math"/>
                </w:rPr>
                <m:t>.</m:t>
              </m:r>
              <m:r>
                <w:rPr>
                  <w:rFonts w:ascii="Cambria Math" w:hAnsi="Cambria Math"/>
                </w:rPr>
                <m:t>PreTax</m:t>
              </m:r>
              <m:r>
                <w:rPr>
                  <w:rFonts w:ascii="Cambria Math" w:hAnsi="Cambria Math"/>
                </w:rPr>
                <m:t>*</m:t>
              </m:r>
              <m:d>
                <m:dPr>
                  <m:begChr m:val="["/>
                  <m:endChr m:val="]"/>
                  <m:ctrlPr>
                    <w:rPr>
                      <w:rFonts w:ascii="Cambria Math" w:hAnsi="Cambria Math"/>
                      <w:i/>
                    </w:rPr>
                  </m:ctrlPr>
                </m:dPr>
                <m:e>
                  <m:r>
                    <w:rPr>
                      <w:rFonts w:ascii="Cambria Math" w:hAnsi="Cambria Math"/>
                    </w:rPr>
                    <m:t>1+</m:t>
                  </m:r>
                  <m:r>
                    <w:rPr>
                      <w:rFonts w:ascii="Cambria Math" w:hAnsi="Cambria Math"/>
                    </w:rPr>
                    <m:t>Sprinkler</m:t>
                  </m:r>
                  <m:r>
                    <w:rPr>
                      <w:rFonts w:ascii="Cambria Math" w:hAnsi="Cambria Math"/>
                    </w:rPr>
                    <m:t>.</m:t>
                  </m:r>
                  <m:r>
                    <w:rPr>
                      <w:rFonts w:ascii="Cambria Math" w:hAnsi="Cambria Math"/>
                    </w:rPr>
                    <m:t>Factor</m:t>
                  </m:r>
                  <m:r>
                    <w:rPr>
                      <w:rFonts w:ascii="Cambria Math" w:hAnsi="Cambria Math"/>
                    </w:rPr>
                    <m:t xml:space="preserve"> </m:t>
                  </m:r>
                </m:e>
              </m:d>
            </m:num>
            <m:den>
              <m:r>
                <w:rPr>
                  <w:rFonts w:ascii="Cambria Math" w:hAnsi="Cambria Math"/>
                </w:rPr>
                <m:t>Number</m:t>
              </m:r>
              <m:r>
                <w:rPr>
                  <w:rFonts w:ascii="Cambria Math" w:hAnsi="Cambria Math"/>
                </w:rPr>
                <m:t>.</m:t>
              </m:r>
              <m:r>
                <w:rPr>
                  <w:rFonts w:ascii="Cambria Math" w:hAnsi="Cambria Math"/>
                </w:rPr>
                <m:t>Bedr</m:t>
              </m:r>
              <m:r>
                <w:rPr>
                  <w:rFonts w:ascii="Cambria Math" w:hAnsi="Cambria Math"/>
                </w:rPr>
                <m:t>o</m:t>
              </m:r>
              <m:r>
                <w:rPr>
                  <w:rFonts w:ascii="Cambria Math" w:hAnsi="Cambria Math"/>
                </w:rPr>
                <m:t>oms</m:t>
              </m:r>
              <m:r>
                <w:rPr>
                  <w:rFonts w:ascii="Cambria Math" w:hAnsi="Cambria Math"/>
                </w:rPr>
                <m:t>*</m:t>
              </m:r>
              <m:d>
                <m:dPr>
                  <m:begChr m:val="["/>
                  <m:endChr m:val="]"/>
                  <m:ctrlPr>
                    <w:rPr>
                      <w:rFonts w:ascii="Cambria Math" w:hAnsi="Cambria Math"/>
                      <w:i/>
                    </w:rPr>
                  </m:ctrlPr>
                </m:dPr>
                <m:e>
                  <m:r>
                    <w:rPr>
                      <w:rFonts w:ascii="Cambria Math" w:hAnsi="Cambria Math"/>
                    </w:rPr>
                    <m:t>1-</m:t>
                  </m:r>
                  <m:r>
                    <w:rPr>
                      <w:rFonts w:ascii="Cambria Math" w:hAnsi="Cambria Math"/>
                    </w:rPr>
                    <m:t>Vacancy</m:t>
                  </m:r>
                  <m:r>
                    <w:rPr>
                      <w:rFonts w:ascii="Cambria Math" w:hAnsi="Cambria Math"/>
                    </w:rPr>
                    <m:t>.</m:t>
                  </m:r>
                  <m:r>
                    <w:rPr>
                      <w:rFonts w:ascii="Cambria Math" w:hAnsi="Cambria Math"/>
                    </w:rPr>
                    <m:t>Rate</m:t>
                  </m:r>
                </m:e>
              </m:d>
            </m:den>
          </m:f>
        </m:oMath>
      </m:oMathPara>
    </w:p>
    <w:p w14:paraId="67F540C9" w14:textId="77777777" w:rsidR="00877F80" w:rsidRDefault="00877F80" w:rsidP="00877F80">
      <w:r>
        <w:t>Where:</w:t>
      </w:r>
    </w:p>
    <w:p w14:paraId="46C33CAE" w14:textId="6C811450" w:rsidR="00A744DB" w:rsidRDefault="00A744DB" w:rsidP="00A744DB">
      <w:pPr>
        <w:pStyle w:val="DotPoint"/>
      </w:pPr>
      <w:proofErr w:type="spellStart"/>
      <w:proofErr w:type="gramStart"/>
      <w:r w:rsidRPr="00CE1A6C">
        <w:rPr>
          <w:b/>
          <w:bCs/>
        </w:rPr>
        <w:t>Dwelling.Revenue.ExcRent.PreTax</w:t>
      </w:r>
      <w:proofErr w:type="spellEnd"/>
      <w:proofErr w:type="gramEnd"/>
      <w:r w:rsidRPr="00CE1A6C">
        <w:rPr>
          <w:b/>
          <w:bCs/>
        </w:rPr>
        <w:t xml:space="preserve"> </w:t>
      </w:r>
      <w:r w:rsidR="0072620E">
        <w:t>is</w:t>
      </w:r>
      <w:r>
        <w:t xml:space="preserve"> </w:t>
      </w:r>
      <w:r w:rsidR="001004F8">
        <w:t xml:space="preserve">the </w:t>
      </w:r>
      <w:r>
        <w:t xml:space="preserve">annual payment that, together with rental contributions by participants, </w:t>
      </w:r>
      <w:r w:rsidR="00192480">
        <w:t>is</w:t>
      </w:r>
      <w:r>
        <w:t xml:space="preserve"> sufficient for an efficient provide</w:t>
      </w:r>
      <w:r w:rsidR="001004F8">
        <w:t>r</w:t>
      </w:r>
      <w:r>
        <w:t xml:space="preserve"> to have sufficient pre</w:t>
      </w:r>
      <w:r w:rsidR="00184B6F">
        <w:t>-</w:t>
      </w:r>
      <w:r>
        <w:t xml:space="preserve">tax revenue to be able to meet all reasonable capital and operating expenses on a dwelling over the period of the investment. </w:t>
      </w:r>
      <w:r w:rsidR="00781D4C">
        <w:t xml:space="preserve">The methodology by which this parameter </w:t>
      </w:r>
      <w:r w:rsidR="00192480">
        <w:t>was</w:t>
      </w:r>
      <w:r w:rsidR="00781D4C">
        <w:t xml:space="preserve"> estimated is </w:t>
      </w:r>
      <w:r w:rsidR="00781D4C" w:rsidRPr="00EE1371">
        <w:t>set out</w:t>
      </w:r>
      <w:r w:rsidRPr="00EE1371">
        <w:t xml:space="preserve"> on page</w:t>
      </w:r>
      <w:r w:rsidR="00BF1A38" w:rsidRPr="00EE1371">
        <w:t xml:space="preserve"> </w:t>
      </w:r>
      <w:r w:rsidR="00BF1A38" w:rsidRPr="00EE1371">
        <w:fldChar w:fldCharType="begin"/>
      </w:r>
      <w:r w:rsidR="00BF1A38" w:rsidRPr="00EE1371">
        <w:instrText xml:space="preserve"> PAGEREF _Ref115957669 \h </w:instrText>
      </w:r>
      <w:r w:rsidR="00BF1A38" w:rsidRPr="00EE1371">
        <w:fldChar w:fldCharType="separate"/>
      </w:r>
      <w:r w:rsidR="00765987">
        <w:rPr>
          <w:noProof/>
        </w:rPr>
        <w:t>22</w:t>
      </w:r>
      <w:r w:rsidR="00BF1A38" w:rsidRPr="00EE1371">
        <w:fldChar w:fldCharType="end"/>
      </w:r>
      <w:r w:rsidR="00AE3336" w:rsidRPr="00EE1371">
        <w:t>.</w:t>
      </w:r>
    </w:p>
    <w:p w14:paraId="4AFBBAFF" w14:textId="0C2EE361" w:rsidR="00877F80" w:rsidRDefault="00877F80" w:rsidP="0087236F">
      <w:pPr>
        <w:pStyle w:val="DotPoint"/>
      </w:pPr>
      <w:proofErr w:type="spellStart"/>
      <w:r w:rsidRPr="0075371B">
        <w:rPr>
          <w:b/>
        </w:rPr>
        <w:t>Number.Bedrooms</w:t>
      </w:r>
      <w:proofErr w:type="spellEnd"/>
      <w:r>
        <w:t xml:space="preserve"> </w:t>
      </w:r>
      <w:r w:rsidR="0072620E">
        <w:t>is</w:t>
      </w:r>
      <w:r>
        <w:t xml:space="preserve"> the number of bedrooms in the dwelling</w:t>
      </w:r>
    </w:p>
    <w:p w14:paraId="3641B608" w14:textId="2C269A20" w:rsidR="00877F80" w:rsidRPr="0087236F" w:rsidRDefault="00877F80" w:rsidP="0087236F">
      <w:pPr>
        <w:pStyle w:val="DotPoint"/>
      </w:pPr>
      <w:proofErr w:type="spellStart"/>
      <w:r w:rsidRPr="0087236F">
        <w:rPr>
          <w:b/>
        </w:rPr>
        <w:t>Sprinkler.Allowance</w:t>
      </w:r>
      <w:proofErr w:type="spellEnd"/>
      <w:r w:rsidRPr="0087236F">
        <w:t xml:space="preserve"> </w:t>
      </w:r>
      <w:r w:rsidR="0072620E">
        <w:t>is</w:t>
      </w:r>
      <w:r w:rsidR="001004F8">
        <w:t xml:space="preserve"> </w:t>
      </w:r>
      <w:r w:rsidR="00F96C01">
        <w:t xml:space="preserve">currently </w:t>
      </w:r>
      <w:r w:rsidR="005C53B1">
        <w:t>set a</w:t>
      </w:r>
      <w:r w:rsidR="0072620E">
        <w:t>t</w:t>
      </w:r>
      <w:r w:rsidR="005C53B1">
        <w:t xml:space="preserve"> </w:t>
      </w:r>
      <w:r w:rsidR="001004F8">
        <w:t>0</w:t>
      </w:r>
      <w:r w:rsidRPr="0087236F">
        <w:t xml:space="preserve">% if there </w:t>
      </w:r>
      <w:r w:rsidR="005C53B1">
        <w:t>were</w:t>
      </w:r>
      <w:r w:rsidRPr="0087236F">
        <w:t xml:space="preserve"> </w:t>
      </w:r>
      <w:r w:rsidR="001004F8">
        <w:t xml:space="preserve">no </w:t>
      </w:r>
      <w:r w:rsidRPr="0087236F">
        <w:t xml:space="preserve">sprinklers </w:t>
      </w:r>
      <w:r w:rsidR="001004F8">
        <w:t xml:space="preserve">in the dwelling </w:t>
      </w:r>
      <w:r w:rsidRPr="0087236F">
        <w:t xml:space="preserve">and </w:t>
      </w:r>
      <w:r w:rsidR="0072620E">
        <w:t>is</w:t>
      </w:r>
      <w:r w:rsidRPr="0087236F">
        <w:t xml:space="preserve"> otherwise </w:t>
      </w:r>
      <w:r w:rsidR="005C53B1">
        <w:t xml:space="preserve">set at </w:t>
      </w:r>
      <w:r w:rsidRPr="0087236F">
        <w:t>1.2% for Apartments and 1.9% for other types of dwellings.</w:t>
      </w:r>
    </w:p>
    <w:p w14:paraId="11F1323E" w14:textId="7E076C82" w:rsidR="00330FCF" w:rsidRPr="00330FCF" w:rsidRDefault="00330FCF" w:rsidP="0087236F">
      <w:pPr>
        <w:pStyle w:val="DotPoint"/>
      </w:pPr>
      <w:proofErr w:type="spellStart"/>
      <w:r w:rsidRPr="0087236F">
        <w:rPr>
          <w:b/>
          <w:bCs/>
        </w:rPr>
        <w:t>Vacancy.Rate</w:t>
      </w:r>
      <w:proofErr w:type="spellEnd"/>
      <w:r w:rsidRPr="0087236F">
        <w:t xml:space="preserve"> </w:t>
      </w:r>
      <w:r w:rsidR="0072620E">
        <w:t>is</w:t>
      </w:r>
      <w:r w:rsidRPr="0087236F">
        <w:t xml:space="preserve"> the </w:t>
      </w:r>
      <w:r w:rsidR="00F96C01">
        <w:t xml:space="preserve">current </w:t>
      </w:r>
      <w:r w:rsidR="005C53B1">
        <w:t>expected</w:t>
      </w:r>
      <w:r w:rsidRPr="0087236F">
        <w:t xml:space="preserve"> vacancy rate for the dwelling – see </w:t>
      </w:r>
      <w:r w:rsidRPr="00FA12C8">
        <w:rPr>
          <w:b/>
        </w:rPr>
        <w:t>Table 1</w:t>
      </w:r>
      <w:r w:rsidRPr="00330FCF">
        <w:t xml:space="preserve">. Note, this </w:t>
      </w:r>
      <w:r w:rsidR="00F96C01">
        <w:t>is</w:t>
      </w:r>
      <w:r w:rsidRPr="00330FCF">
        <w:t xml:space="preserve"> the </w:t>
      </w:r>
      <w:r w:rsidR="005C53B1">
        <w:t xml:space="preserve">expected </w:t>
      </w:r>
      <w:r w:rsidRPr="00330FCF">
        <w:t xml:space="preserve">vacancy rate for the entire dwelling </w:t>
      </w:r>
      <w:r w:rsidR="005C53B1">
        <w:t>rather than</w:t>
      </w:r>
      <w:r w:rsidRPr="00330FCF">
        <w:t xml:space="preserve"> for a single bedroom in the dwelling.</w:t>
      </w:r>
    </w:p>
    <w:p w14:paraId="6D212620" w14:textId="6E4AE173" w:rsidR="00CC3877" w:rsidRPr="00E8672A" w:rsidRDefault="00CC3877" w:rsidP="0087236F">
      <w:pPr>
        <w:pStyle w:val="Caption"/>
        <w:spacing w:before="120"/>
      </w:pPr>
      <w:bookmarkStart w:id="24" w:name="_Ref102129867"/>
      <w:r w:rsidRPr="00392B76">
        <w:t xml:space="preserve">Table </w:t>
      </w:r>
      <w:r w:rsidR="0095150D">
        <w:fldChar w:fldCharType="begin"/>
      </w:r>
      <w:r w:rsidR="0095150D">
        <w:instrText xml:space="preserve"> SEQ Table \* ARABIC </w:instrText>
      </w:r>
      <w:r w:rsidR="0095150D">
        <w:fldChar w:fldCharType="separate"/>
      </w:r>
      <w:r w:rsidR="00765987">
        <w:rPr>
          <w:noProof/>
        </w:rPr>
        <w:t>6</w:t>
      </w:r>
      <w:r w:rsidR="0095150D">
        <w:rPr>
          <w:noProof/>
        </w:rPr>
        <w:fldChar w:fldCharType="end"/>
      </w:r>
      <w:bookmarkEnd w:id="24"/>
      <w:r w:rsidRPr="00392B76">
        <w:t xml:space="preserve">: </w:t>
      </w:r>
      <w:r>
        <w:t>Vacancy Rates</w:t>
      </w:r>
    </w:p>
    <w:tbl>
      <w:tblPr>
        <w:tblStyle w:val="GridTable4"/>
        <w:tblW w:w="2427" w:type="pct"/>
        <w:tblInd w:w="2315" w:type="dxa"/>
        <w:tblLook w:val="0420" w:firstRow="1" w:lastRow="0" w:firstColumn="0" w:lastColumn="0" w:noHBand="0" w:noVBand="1"/>
      </w:tblPr>
      <w:tblGrid>
        <w:gridCol w:w="2112"/>
        <w:gridCol w:w="1008"/>
        <w:gridCol w:w="1257"/>
      </w:tblGrid>
      <w:tr w:rsidR="00CC3877" w:rsidRPr="00CC3877" w14:paraId="580F585D" w14:textId="77777777" w:rsidTr="00037CD9">
        <w:trPr>
          <w:cnfStyle w:val="100000000000" w:firstRow="1" w:lastRow="0" w:firstColumn="0" w:lastColumn="0" w:oddVBand="0" w:evenVBand="0" w:oddHBand="0" w:evenHBand="0" w:firstRowFirstColumn="0" w:firstRowLastColumn="0" w:lastRowFirstColumn="0" w:lastRowLastColumn="0"/>
        </w:trPr>
        <w:tc>
          <w:tcPr>
            <w:tcW w:w="2413" w:type="pct"/>
            <w:hideMark/>
          </w:tcPr>
          <w:p w14:paraId="2BC07CE8" w14:textId="77777777" w:rsidR="00CC3877" w:rsidRPr="00CC3877" w:rsidRDefault="00CC3877" w:rsidP="00192480">
            <w:pPr>
              <w:spacing w:line="240" w:lineRule="auto"/>
              <w:rPr>
                <w:szCs w:val="16"/>
              </w:rPr>
            </w:pPr>
            <w:r w:rsidRPr="00CC3877">
              <w:rPr>
                <w:szCs w:val="16"/>
              </w:rPr>
              <w:t>Building Type</w:t>
            </w:r>
          </w:p>
        </w:tc>
        <w:tc>
          <w:tcPr>
            <w:tcW w:w="1151" w:type="pct"/>
            <w:hideMark/>
          </w:tcPr>
          <w:p w14:paraId="12849DAF" w14:textId="77777777" w:rsidR="00CC3877" w:rsidRPr="00CC3877" w:rsidRDefault="00CC3877" w:rsidP="00192480">
            <w:pPr>
              <w:spacing w:line="240" w:lineRule="auto"/>
              <w:rPr>
                <w:szCs w:val="16"/>
              </w:rPr>
            </w:pPr>
            <w:r w:rsidRPr="00CC3877">
              <w:rPr>
                <w:szCs w:val="16"/>
              </w:rPr>
              <w:t>Bedrooms</w:t>
            </w:r>
          </w:p>
        </w:tc>
        <w:tc>
          <w:tcPr>
            <w:tcW w:w="1436" w:type="pct"/>
            <w:noWrap/>
            <w:hideMark/>
          </w:tcPr>
          <w:p w14:paraId="04A20E68" w14:textId="77777777" w:rsidR="00CC3877" w:rsidRPr="00CC3877" w:rsidRDefault="00CC3877" w:rsidP="00192480">
            <w:pPr>
              <w:spacing w:line="240" w:lineRule="auto"/>
              <w:rPr>
                <w:szCs w:val="16"/>
              </w:rPr>
            </w:pPr>
            <w:r w:rsidRPr="00CC3877">
              <w:rPr>
                <w:szCs w:val="16"/>
              </w:rPr>
              <w:t>Vacancy Rate</w:t>
            </w:r>
          </w:p>
        </w:tc>
      </w:tr>
      <w:tr w:rsidR="00CC3877" w:rsidRPr="004B2A97" w14:paraId="0BA73BA3" w14:textId="77777777" w:rsidTr="00037CD9">
        <w:trPr>
          <w:cnfStyle w:val="000000100000" w:firstRow="0" w:lastRow="0" w:firstColumn="0" w:lastColumn="0" w:oddVBand="0" w:evenVBand="0" w:oddHBand="1" w:evenHBand="0" w:firstRowFirstColumn="0" w:firstRowLastColumn="0" w:lastRowFirstColumn="0" w:lastRowLastColumn="0"/>
        </w:trPr>
        <w:tc>
          <w:tcPr>
            <w:tcW w:w="2413" w:type="pct"/>
            <w:noWrap/>
            <w:hideMark/>
          </w:tcPr>
          <w:p w14:paraId="5FBDC48B" w14:textId="77777777" w:rsidR="00CC3877" w:rsidRPr="004B2A97" w:rsidRDefault="00CC3877" w:rsidP="00192480">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151" w:type="pct"/>
            <w:noWrap/>
            <w:hideMark/>
          </w:tcPr>
          <w:p w14:paraId="0E2A03C2" w14:textId="77777777" w:rsidR="00CC3877" w:rsidRPr="004B2A97" w:rsidRDefault="00CC3877" w:rsidP="00192480">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1</w:t>
            </w:r>
          </w:p>
        </w:tc>
        <w:tc>
          <w:tcPr>
            <w:tcW w:w="1436" w:type="pct"/>
            <w:noWrap/>
            <w:hideMark/>
          </w:tcPr>
          <w:p w14:paraId="7CDED53B" w14:textId="77777777" w:rsidR="00CC3877" w:rsidRPr="00A744DB" w:rsidRDefault="00CC3877" w:rsidP="00192480">
            <w:pPr>
              <w:spacing w:line="200" w:lineRule="atLeast"/>
              <w:jc w:val="right"/>
              <w:rPr>
                <w:rFonts w:eastAsia="Times New Roman" w:cstheme="minorHAnsi"/>
                <w:szCs w:val="16"/>
                <w:lang w:eastAsia="en-AU"/>
              </w:rPr>
            </w:pPr>
            <w:r w:rsidRPr="00A744DB">
              <w:rPr>
                <w:rFonts w:eastAsia="Times New Roman" w:cstheme="minorHAnsi"/>
                <w:szCs w:val="16"/>
                <w:lang w:eastAsia="en-AU"/>
              </w:rPr>
              <w:t>3.0%</w:t>
            </w:r>
          </w:p>
        </w:tc>
      </w:tr>
      <w:tr w:rsidR="00CC3877" w:rsidRPr="004B2A97" w14:paraId="25F117BD" w14:textId="77777777" w:rsidTr="00037CD9">
        <w:tc>
          <w:tcPr>
            <w:tcW w:w="2413" w:type="pct"/>
            <w:noWrap/>
          </w:tcPr>
          <w:p w14:paraId="29A791CA" w14:textId="77777777" w:rsidR="00CC3877" w:rsidRPr="004B2A97" w:rsidRDefault="00CC3877" w:rsidP="00192480">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151" w:type="pct"/>
            <w:noWrap/>
          </w:tcPr>
          <w:p w14:paraId="1C90C75B" w14:textId="77777777" w:rsidR="00CC3877" w:rsidRPr="004B2A97" w:rsidRDefault="00CC3877" w:rsidP="00192480">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1436" w:type="pct"/>
            <w:noWrap/>
          </w:tcPr>
          <w:p w14:paraId="793CA0C8" w14:textId="77777777" w:rsidR="00CC3877" w:rsidRPr="00A744DB" w:rsidRDefault="00CC3877" w:rsidP="00192480">
            <w:pPr>
              <w:spacing w:line="200" w:lineRule="atLeast"/>
              <w:jc w:val="right"/>
              <w:rPr>
                <w:rFonts w:eastAsia="Times New Roman" w:cstheme="minorHAnsi"/>
                <w:szCs w:val="16"/>
                <w:lang w:eastAsia="en-AU"/>
              </w:rPr>
            </w:pPr>
            <w:r w:rsidRPr="00A744DB">
              <w:rPr>
                <w:rFonts w:eastAsia="Times New Roman" w:cstheme="minorHAnsi"/>
                <w:szCs w:val="16"/>
                <w:lang w:eastAsia="en-AU"/>
              </w:rPr>
              <w:t>3.0%</w:t>
            </w:r>
          </w:p>
        </w:tc>
      </w:tr>
      <w:tr w:rsidR="00CC3877" w:rsidRPr="004B2A97" w14:paraId="613D7FC6" w14:textId="77777777" w:rsidTr="00037CD9">
        <w:trPr>
          <w:cnfStyle w:val="000000100000" w:firstRow="0" w:lastRow="0" w:firstColumn="0" w:lastColumn="0" w:oddVBand="0" w:evenVBand="0" w:oddHBand="1" w:evenHBand="0" w:firstRowFirstColumn="0" w:firstRowLastColumn="0" w:lastRowFirstColumn="0" w:lastRowLastColumn="0"/>
        </w:trPr>
        <w:tc>
          <w:tcPr>
            <w:tcW w:w="2413" w:type="pct"/>
            <w:noWrap/>
          </w:tcPr>
          <w:p w14:paraId="2D286389" w14:textId="77777777" w:rsidR="00CC3877" w:rsidRPr="004B2A97" w:rsidRDefault="00CC3877" w:rsidP="00192480">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151" w:type="pct"/>
            <w:noWrap/>
          </w:tcPr>
          <w:p w14:paraId="017F4941" w14:textId="77777777" w:rsidR="00CC3877" w:rsidRPr="004B2A97" w:rsidRDefault="00CC3877" w:rsidP="00192480">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1436" w:type="pct"/>
            <w:noWrap/>
          </w:tcPr>
          <w:p w14:paraId="0B29E4DC" w14:textId="77777777" w:rsidR="00CC3877" w:rsidRPr="00A744DB" w:rsidRDefault="00CC3877" w:rsidP="00192480">
            <w:pPr>
              <w:spacing w:line="200" w:lineRule="atLeast"/>
              <w:jc w:val="right"/>
              <w:rPr>
                <w:rFonts w:eastAsia="Times New Roman" w:cstheme="minorHAnsi"/>
                <w:szCs w:val="16"/>
                <w:lang w:eastAsia="en-AU"/>
              </w:rPr>
            </w:pPr>
            <w:r w:rsidRPr="00A744DB">
              <w:rPr>
                <w:rFonts w:eastAsia="Times New Roman" w:cstheme="minorHAnsi"/>
                <w:szCs w:val="16"/>
                <w:lang w:eastAsia="en-AU"/>
              </w:rPr>
              <w:t>3.0%</w:t>
            </w:r>
          </w:p>
        </w:tc>
      </w:tr>
      <w:tr w:rsidR="00CC3877" w:rsidRPr="004B2A97" w14:paraId="0414DBE4" w14:textId="77777777" w:rsidTr="00037CD9">
        <w:tc>
          <w:tcPr>
            <w:tcW w:w="2413" w:type="pct"/>
            <w:noWrap/>
          </w:tcPr>
          <w:p w14:paraId="0F5BA896" w14:textId="77777777" w:rsidR="00CC3877" w:rsidRPr="004B2A97" w:rsidRDefault="00CC3877" w:rsidP="00192480">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151" w:type="pct"/>
            <w:noWrap/>
          </w:tcPr>
          <w:p w14:paraId="4A5F2F99" w14:textId="77777777" w:rsidR="00CC3877" w:rsidRPr="004B2A97" w:rsidRDefault="00CC3877" w:rsidP="00192480">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1</w:t>
            </w:r>
          </w:p>
        </w:tc>
        <w:tc>
          <w:tcPr>
            <w:tcW w:w="1436" w:type="pct"/>
            <w:noWrap/>
          </w:tcPr>
          <w:p w14:paraId="40B1E7C2" w14:textId="77777777" w:rsidR="00CC3877" w:rsidRPr="00A744DB" w:rsidRDefault="00CC3877" w:rsidP="00192480">
            <w:pPr>
              <w:spacing w:line="200" w:lineRule="atLeast"/>
              <w:jc w:val="right"/>
              <w:rPr>
                <w:rFonts w:eastAsia="Times New Roman" w:cstheme="minorHAnsi"/>
                <w:szCs w:val="16"/>
                <w:lang w:eastAsia="en-AU"/>
              </w:rPr>
            </w:pPr>
            <w:r w:rsidRPr="00A744DB">
              <w:rPr>
                <w:rFonts w:eastAsia="Times New Roman" w:cstheme="minorHAnsi"/>
                <w:szCs w:val="16"/>
                <w:lang w:eastAsia="en-AU"/>
              </w:rPr>
              <w:t>3.0%</w:t>
            </w:r>
          </w:p>
        </w:tc>
      </w:tr>
      <w:tr w:rsidR="00CC3877" w:rsidRPr="004B2A97" w14:paraId="16ED006A" w14:textId="77777777" w:rsidTr="00037CD9">
        <w:trPr>
          <w:cnfStyle w:val="000000100000" w:firstRow="0" w:lastRow="0" w:firstColumn="0" w:lastColumn="0" w:oddVBand="0" w:evenVBand="0" w:oddHBand="1" w:evenHBand="0" w:firstRowFirstColumn="0" w:firstRowLastColumn="0" w:lastRowFirstColumn="0" w:lastRowLastColumn="0"/>
        </w:trPr>
        <w:tc>
          <w:tcPr>
            <w:tcW w:w="2413" w:type="pct"/>
            <w:noWrap/>
          </w:tcPr>
          <w:p w14:paraId="2F446836" w14:textId="77777777" w:rsidR="00CC3877" w:rsidRPr="004B2A97" w:rsidRDefault="00CC3877" w:rsidP="00192480">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151" w:type="pct"/>
            <w:noWrap/>
          </w:tcPr>
          <w:p w14:paraId="6E5EA3CD" w14:textId="77777777" w:rsidR="00CC3877" w:rsidRPr="004B2A97" w:rsidRDefault="00CC3877" w:rsidP="00192480">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1436" w:type="pct"/>
            <w:noWrap/>
          </w:tcPr>
          <w:p w14:paraId="3FBED48D" w14:textId="77777777" w:rsidR="00CC3877" w:rsidRPr="00A744DB" w:rsidRDefault="00CC3877" w:rsidP="00192480">
            <w:pPr>
              <w:spacing w:line="200" w:lineRule="atLeast"/>
              <w:jc w:val="right"/>
              <w:rPr>
                <w:rFonts w:eastAsia="Times New Roman" w:cstheme="minorHAnsi"/>
                <w:szCs w:val="16"/>
                <w:lang w:eastAsia="en-AU"/>
              </w:rPr>
            </w:pPr>
            <w:r w:rsidRPr="00A744DB">
              <w:rPr>
                <w:rFonts w:eastAsia="Times New Roman" w:cstheme="minorHAnsi"/>
                <w:szCs w:val="16"/>
                <w:lang w:eastAsia="en-AU"/>
              </w:rPr>
              <w:t>5.0%</w:t>
            </w:r>
          </w:p>
        </w:tc>
      </w:tr>
      <w:tr w:rsidR="00CC3877" w:rsidRPr="004B2A97" w14:paraId="13BF1F68" w14:textId="77777777" w:rsidTr="00037CD9">
        <w:tc>
          <w:tcPr>
            <w:tcW w:w="2413" w:type="pct"/>
            <w:noWrap/>
          </w:tcPr>
          <w:p w14:paraId="1D359829" w14:textId="77777777" w:rsidR="00CC3877" w:rsidRPr="004B2A97" w:rsidRDefault="00CC3877" w:rsidP="00192480">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151" w:type="pct"/>
            <w:noWrap/>
          </w:tcPr>
          <w:p w14:paraId="2C1B1278" w14:textId="77777777" w:rsidR="00CC3877" w:rsidRPr="004B2A97" w:rsidRDefault="00CC3877" w:rsidP="00192480">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1436" w:type="pct"/>
            <w:noWrap/>
          </w:tcPr>
          <w:p w14:paraId="25A05A90" w14:textId="77777777" w:rsidR="00CC3877" w:rsidRPr="00A744DB" w:rsidRDefault="00CC3877" w:rsidP="00192480">
            <w:pPr>
              <w:spacing w:line="200" w:lineRule="atLeast"/>
              <w:jc w:val="right"/>
              <w:rPr>
                <w:rFonts w:eastAsia="Times New Roman" w:cstheme="minorHAnsi"/>
                <w:szCs w:val="16"/>
                <w:lang w:eastAsia="en-AU"/>
              </w:rPr>
            </w:pPr>
            <w:r w:rsidRPr="00A744DB">
              <w:rPr>
                <w:rFonts w:eastAsia="Times New Roman" w:cstheme="minorHAnsi"/>
                <w:szCs w:val="16"/>
                <w:lang w:eastAsia="en-AU"/>
              </w:rPr>
              <w:t>7.5%</w:t>
            </w:r>
          </w:p>
        </w:tc>
      </w:tr>
      <w:tr w:rsidR="00CC3877" w:rsidRPr="004B2A97" w14:paraId="2364D5DA" w14:textId="77777777" w:rsidTr="00037CD9">
        <w:trPr>
          <w:cnfStyle w:val="000000100000" w:firstRow="0" w:lastRow="0" w:firstColumn="0" w:lastColumn="0" w:oddVBand="0" w:evenVBand="0" w:oddHBand="1" w:evenHBand="0" w:firstRowFirstColumn="0" w:firstRowLastColumn="0" w:lastRowFirstColumn="0" w:lastRowLastColumn="0"/>
        </w:trPr>
        <w:tc>
          <w:tcPr>
            <w:tcW w:w="2413" w:type="pct"/>
            <w:noWrap/>
          </w:tcPr>
          <w:p w14:paraId="26248B23" w14:textId="77777777" w:rsidR="00CC3877" w:rsidRPr="004B2A97" w:rsidRDefault="00CC3877" w:rsidP="00192480">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1151" w:type="pct"/>
            <w:noWrap/>
          </w:tcPr>
          <w:p w14:paraId="62FA7396" w14:textId="77777777" w:rsidR="00CC3877" w:rsidRPr="004B2A97" w:rsidRDefault="00CC3877" w:rsidP="00192480">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1436" w:type="pct"/>
            <w:noWrap/>
          </w:tcPr>
          <w:p w14:paraId="3D313256" w14:textId="77777777" w:rsidR="00CC3877" w:rsidRPr="00A744DB" w:rsidRDefault="00CC3877" w:rsidP="00192480">
            <w:pPr>
              <w:spacing w:line="200" w:lineRule="atLeast"/>
              <w:jc w:val="right"/>
              <w:rPr>
                <w:rFonts w:eastAsia="Times New Roman" w:cstheme="minorHAnsi"/>
                <w:szCs w:val="16"/>
                <w:lang w:eastAsia="en-AU"/>
              </w:rPr>
            </w:pPr>
            <w:r w:rsidRPr="00A744DB">
              <w:rPr>
                <w:rFonts w:eastAsia="Times New Roman" w:cstheme="minorHAnsi"/>
                <w:szCs w:val="16"/>
                <w:lang w:eastAsia="en-AU"/>
              </w:rPr>
              <w:t>5.0%</w:t>
            </w:r>
          </w:p>
        </w:tc>
      </w:tr>
      <w:tr w:rsidR="00CC3877" w:rsidRPr="004B2A97" w14:paraId="0F4FCAD9" w14:textId="77777777" w:rsidTr="00037CD9">
        <w:tc>
          <w:tcPr>
            <w:tcW w:w="2413" w:type="pct"/>
            <w:noWrap/>
          </w:tcPr>
          <w:p w14:paraId="6E6CC00B" w14:textId="77777777" w:rsidR="00CC3877" w:rsidRPr="004B2A97" w:rsidRDefault="00CC3877" w:rsidP="00192480">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1151" w:type="pct"/>
            <w:noWrap/>
          </w:tcPr>
          <w:p w14:paraId="5D105A82" w14:textId="77777777" w:rsidR="00CC3877" w:rsidRPr="004B2A97" w:rsidRDefault="00CC3877" w:rsidP="00192480">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1436" w:type="pct"/>
            <w:noWrap/>
          </w:tcPr>
          <w:p w14:paraId="576D1873" w14:textId="77777777" w:rsidR="00CC3877" w:rsidRPr="00A744DB" w:rsidRDefault="00CC3877" w:rsidP="00192480">
            <w:pPr>
              <w:spacing w:line="200" w:lineRule="atLeast"/>
              <w:jc w:val="right"/>
              <w:rPr>
                <w:rFonts w:eastAsia="Times New Roman" w:cstheme="minorHAnsi"/>
                <w:szCs w:val="16"/>
                <w:lang w:eastAsia="en-AU"/>
              </w:rPr>
            </w:pPr>
            <w:r w:rsidRPr="00A744DB">
              <w:rPr>
                <w:rFonts w:eastAsia="Times New Roman" w:cstheme="minorHAnsi"/>
                <w:szCs w:val="16"/>
                <w:lang w:eastAsia="en-AU"/>
              </w:rPr>
              <w:t>7.5%</w:t>
            </w:r>
          </w:p>
        </w:tc>
      </w:tr>
      <w:tr w:rsidR="00CC3877" w:rsidRPr="004B2A97" w14:paraId="19B6B50B" w14:textId="77777777" w:rsidTr="00037CD9">
        <w:trPr>
          <w:cnfStyle w:val="000000100000" w:firstRow="0" w:lastRow="0" w:firstColumn="0" w:lastColumn="0" w:oddVBand="0" w:evenVBand="0" w:oddHBand="1" w:evenHBand="0" w:firstRowFirstColumn="0" w:firstRowLastColumn="0" w:lastRowFirstColumn="0" w:lastRowLastColumn="0"/>
        </w:trPr>
        <w:tc>
          <w:tcPr>
            <w:tcW w:w="2413" w:type="pct"/>
            <w:noWrap/>
          </w:tcPr>
          <w:p w14:paraId="03259CDC" w14:textId="0723F79B" w:rsidR="00CC3877" w:rsidRPr="004B2A97" w:rsidRDefault="00601689" w:rsidP="00192480">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1151" w:type="pct"/>
            <w:noWrap/>
          </w:tcPr>
          <w:p w14:paraId="54FF55F9" w14:textId="77777777" w:rsidR="00CC3877" w:rsidRPr="004B2A97" w:rsidRDefault="00CC3877" w:rsidP="00192480">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4</w:t>
            </w:r>
          </w:p>
        </w:tc>
        <w:tc>
          <w:tcPr>
            <w:tcW w:w="1436" w:type="pct"/>
            <w:noWrap/>
          </w:tcPr>
          <w:p w14:paraId="6292182F" w14:textId="77777777" w:rsidR="00CC3877" w:rsidRPr="00A744DB" w:rsidRDefault="00CC3877" w:rsidP="00192480">
            <w:pPr>
              <w:spacing w:line="200" w:lineRule="atLeast"/>
              <w:jc w:val="right"/>
              <w:rPr>
                <w:rFonts w:eastAsia="Times New Roman" w:cstheme="minorHAnsi"/>
                <w:szCs w:val="16"/>
                <w:lang w:eastAsia="en-AU"/>
              </w:rPr>
            </w:pPr>
            <w:r w:rsidRPr="00A744DB">
              <w:rPr>
                <w:rFonts w:eastAsia="Times New Roman" w:cstheme="minorHAnsi"/>
                <w:szCs w:val="16"/>
                <w:lang w:eastAsia="en-AU"/>
              </w:rPr>
              <w:t>8.5%</w:t>
            </w:r>
          </w:p>
        </w:tc>
      </w:tr>
      <w:tr w:rsidR="00CC3877" w:rsidRPr="004B2A97" w14:paraId="701B748D" w14:textId="77777777" w:rsidTr="00037CD9">
        <w:tc>
          <w:tcPr>
            <w:tcW w:w="2413" w:type="pct"/>
            <w:noWrap/>
          </w:tcPr>
          <w:p w14:paraId="114C250A" w14:textId="3EC16FE6" w:rsidR="00CC3877" w:rsidRPr="004B2A97" w:rsidRDefault="00601689" w:rsidP="00192480">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1151" w:type="pct"/>
            <w:noWrap/>
          </w:tcPr>
          <w:p w14:paraId="3135B365" w14:textId="77777777" w:rsidR="00CC3877" w:rsidRPr="004B2A97" w:rsidRDefault="00CC3877" w:rsidP="00192480">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5</w:t>
            </w:r>
          </w:p>
        </w:tc>
        <w:tc>
          <w:tcPr>
            <w:tcW w:w="1436" w:type="pct"/>
            <w:noWrap/>
          </w:tcPr>
          <w:p w14:paraId="742FFD75" w14:textId="77777777" w:rsidR="00CC3877" w:rsidRPr="00A744DB" w:rsidRDefault="00CC3877" w:rsidP="00192480">
            <w:pPr>
              <w:spacing w:line="200" w:lineRule="atLeast"/>
              <w:jc w:val="right"/>
              <w:rPr>
                <w:rFonts w:eastAsia="Times New Roman" w:cstheme="minorHAnsi"/>
                <w:szCs w:val="16"/>
                <w:lang w:eastAsia="en-AU"/>
              </w:rPr>
            </w:pPr>
            <w:r w:rsidRPr="00A744DB">
              <w:rPr>
                <w:rFonts w:eastAsia="Times New Roman" w:cstheme="minorHAnsi"/>
                <w:szCs w:val="16"/>
                <w:lang w:eastAsia="en-AU"/>
              </w:rPr>
              <w:t>10.0%</w:t>
            </w:r>
          </w:p>
        </w:tc>
      </w:tr>
    </w:tbl>
    <w:p w14:paraId="68533996" w14:textId="158ECF3F" w:rsidR="00A744DB" w:rsidRDefault="00A744DB" w:rsidP="00A744DB">
      <w:r>
        <w:lastRenderedPageBreak/>
        <w:t xml:space="preserve">As an exception to the general rule, the amount of the </w:t>
      </w:r>
      <w:proofErr w:type="spellStart"/>
      <w:r w:rsidRPr="00CE1A6C">
        <w:rPr>
          <w:b/>
          <w:bCs/>
        </w:rPr>
        <w:t>SDA.Payment</w:t>
      </w:r>
      <w:proofErr w:type="spellEnd"/>
      <w:r>
        <w:t xml:space="preserve"> for apartments with onsite overnight assistance </w:t>
      </w:r>
      <w:r w:rsidR="00F96C01">
        <w:t>is</w:t>
      </w:r>
      <w:r>
        <w:t xml:space="preserve"> determined by the following formula:</w:t>
      </w:r>
    </w:p>
    <w:p w14:paraId="5BD50CC7" w14:textId="77777777" w:rsidR="00A744DB" w:rsidRDefault="00A744DB" w:rsidP="00A744DB">
      <m:oMathPara>
        <m:oMath>
          <m:r>
            <w:rPr>
              <w:rFonts w:ascii="Cambria Math" w:hAnsi="Cambria Math"/>
            </w:rPr>
            <m:t>SDA</m:t>
          </m:r>
          <m:r>
            <m:rPr>
              <m:sty m:val="p"/>
            </m:rPr>
            <w:rPr>
              <w:rFonts w:ascii="Cambria Math" w:hAnsi="Cambria Math"/>
            </w:rPr>
            <m:t>.</m:t>
          </m:r>
          <m:r>
            <w:rPr>
              <w:rFonts w:ascii="Cambria Math" w:hAnsi="Cambria Math"/>
            </w:rPr>
            <m:t>Payment</m:t>
          </m:r>
          <m:r>
            <m:rPr>
              <m:sty m:val="p"/>
            </m:rPr>
            <w:rPr>
              <w:rFonts w:ascii="Cambria Math" w:hAnsi="Cambria Math"/>
            </w:rPr>
            <m:t>.</m:t>
          </m:r>
          <m:r>
            <w:rPr>
              <w:rFonts w:ascii="Cambria Math" w:hAnsi="Cambria Math"/>
            </w:rPr>
            <m:t>WithoutOOA</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 xml:space="preserve">1+ </m:t>
              </m:r>
              <m:f>
                <m:fPr>
                  <m:ctrlPr>
                    <w:rPr>
                      <w:rFonts w:ascii="Cambria Math" w:hAnsi="Cambria Math"/>
                    </w:rPr>
                  </m:ctrlPr>
                </m:fPr>
                <m:num>
                  <m:r>
                    <m:rPr>
                      <m:sty m:val="p"/>
                    </m:rPr>
                    <w:rPr>
                      <w:rFonts w:ascii="Cambria Math" w:hAnsi="Cambria Math"/>
                    </w:rPr>
                    <m:t>1</m:t>
                  </m:r>
                </m:num>
                <m:den>
                  <m:r>
                    <w:rPr>
                      <w:rFonts w:ascii="Cambria Math" w:hAnsi="Cambria Math"/>
                    </w:rPr>
                    <m:t>Number</m:t>
                  </m:r>
                  <m:r>
                    <m:rPr>
                      <m:sty m:val="p"/>
                    </m:rPr>
                    <w:rPr>
                      <w:rFonts w:ascii="Cambria Math" w:hAnsi="Cambria Math"/>
                    </w:rPr>
                    <m:t>.</m:t>
                  </m:r>
                  <m:r>
                    <w:rPr>
                      <w:rFonts w:ascii="Cambria Math" w:hAnsi="Cambria Math"/>
                    </w:rPr>
                    <m:t>Apartments</m:t>
                  </m:r>
                </m:den>
              </m:f>
            </m:e>
          </m:d>
        </m:oMath>
      </m:oMathPara>
    </w:p>
    <w:p w14:paraId="5923A5BB" w14:textId="77777777" w:rsidR="00A744DB" w:rsidRDefault="00A744DB" w:rsidP="00A744DB">
      <w:r>
        <w:t>Where:</w:t>
      </w:r>
    </w:p>
    <w:p w14:paraId="4799D8CA" w14:textId="52EC0A23" w:rsidR="00A744DB" w:rsidRDefault="00A744DB" w:rsidP="00A744DB">
      <w:pPr>
        <w:pStyle w:val="DotPoint"/>
        <w:numPr>
          <w:ilvl w:val="0"/>
          <w:numId w:val="4"/>
        </w:numPr>
      </w:pPr>
      <w:proofErr w:type="spellStart"/>
      <w:proofErr w:type="gramStart"/>
      <w:r w:rsidRPr="0075371B">
        <w:rPr>
          <w:b/>
        </w:rPr>
        <w:t>SDA.Payment.WithoutOOA</w:t>
      </w:r>
      <w:proofErr w:type="spellEnd"/>
      <w:proofErr w:type="gramEnd"/>
      <w:r>
        <w:t xml:space="preserve"> </w:t>
      </w:r>
      <w:r w:rsidR="0072620E">
        <w:t>is</w:t>
      </w:r>
      <w:r>
        <w:t xml:space="preserve"> the </w:t>
      </w:r>
      <w:proofErr w:type="spellStart"/>
      <w:r w:rsidRPr="00CE1A6C">
        <w:rPr>
          <w:b/>
          <w:bCs/>
        </w:rPr>
        <w:t>SDA.Payment</w:t>
      </w:r>
      <w:proofErr w:type="spellEnd"/>
      <w:r>
        <w:t xml:space="preserve"> that would apply if the </w:t>
      </w:r>
      <w:r w:rsidR="005F132E">
        <w:t>d</w:t>
      </w:r>
      <w:r>
        <w:t>welling did not have onsite overnight assistance.</w:t>
      </w:r>
    </w:p>
    <w:p w14:paraId="741E9FC3" w14:textId="5EB7352C" w:rsidR="00A744DB" w:rsidRPr="0087236F" w:rsidRDefault="00A744DB" w:rsidP="00A744DB">
      <w:pPr>
        <w:pStyle w:val="DotPoint"/>
        <w:numPr>
          <w:ilvl w:val="0"/>
          <w:numId w:val="4"/>
        </w:numPr>
      </w:pPr>
      <w:proofErr w:type="spellStart"/>
      <w:r>
        <w:rPr>
          <w:b/>
        </w:rPr>
        <w:t>Number.Apartments</w:t>
      </w:r>
      <w:proofErr w:type="spellEnd"/>
      <w:r>
        <w:rPr>
          <w:b/>
        </w:rPr>
        <w:t xml:space="preserve"> </w:t>
      </w:r>
      <w:r w:rsidR="0072620E">
        <w:t>is</w:t>
      </w:r>
      <w:r>
        <w:t xml:space="preserve"> the</w:t>
      </w:r>
      <w:r w:rsidR="00F96C01">
        <w:t xml:space="preserve"> </w:t>
      </w:r>
      <w:r>
        <w:t xml:space="preserve">number of </w:t>
      </w:r>
      <w:r w:rsidRPr="0087236F">
        <w:t xml:space="preserve">apartments </w:t>
      </w:r>
      <w:r w:rsidR="005C53B1">
        <w:t>that</w:t>
      </w:r>
      <w:r w:rsidRPr="0087236F">
        <w:t xml:space="preserve"> shar</w:t>
      </w:r>
      <w:r w:rsidR="005C53B1">
        <w:t>e</w:t>
      </w:r>
      <w:r w:rsidRPr="0087236F">
        <w:t xml:space="preserve"> the onsite overnight assistance. </w:t>
      </w:r>
      <w:r w:rsidR="005C53B1">
        <w:rPr>
          <w:b/>
        </w:rPr>
        <w:t xml:space="preserve">This </w:t>
      </w:r>
      <w:r w:rsidR="00F96C01">
        <w:rPr>
          <w:b/>
        </w:rPr>
        <w:t xml:space="preserve">is currently </w:t>
      </w:r>
      <w:r w:rsidR="005C53B1">
        <w:rPr>
          <w:b/>
        </w:rPr>
        <w:t>a</w:t>
      </w:r>
      <w:r w:rsidRPr="0087236F">
        <w:rPr>
          <w:b/>
        </w:rPr>
        <w:t>ssumed to be six (6) in all cases.</w:t>
      </w:r>
    </w:p>
    <w:p w14:paraId="1BDE45E3" w14:textId="77777777" w:rsidR="003B7022" w:rsidRPr="00130F86" w:rsidRDefault="003B7022" w:rsidP="00244A13">
      <w:pPr>
        <w:pStyle w:val="Heading3"/>
      </w:pPr>
      <w:bookmarkStart w:id="25" w:name="_Ref113455967"/>
      <w:bookmarkStart w:id="26" w:name="_Ref113460451"/>
      <w:r w:rsidRPr="00130F86">
        <w:t>Weighted Average Cost of Capital (WACC)</w:t>
      </w:r>
      <w:bookmarkEnd w:id="25"/>
    </w:p>
    <w:p w14:paraId="392BE138" w14:textId="04BA12A8" w:rsidR="003B7022" w:rsidRDefault="003B7022" w:rsidP="003B7022">
      <w:r w:rsidRPr="00107DBF">
        <w:t>The Nominal After Tax Weighted Average Cost of Capital (</w:t>
      </w:r>
      <w:r>
        <w:t>NAT</w:t>
      </w:r>
      <w:r w:rsidRPr="00107DBF">
        <w:t xml:space="preserve">WACC) </w:t>
      </w:r>
      <w:r>
        <w:t>and the Real</w:t>
      </w:r>
      <w:r w:rsidRPr="00107DBF">
        <w:t xml:space="preserve"> </w:t>
      </w:r>
      <w:proofErr w:type="gramStart"/>
      <w:r w:rsidRPr="00107DBF">
        <w:t>After Tax</w:t>
      </w:r>
      <w:proofErr w:type="gramEnd"/>
      <w:r w:rsidRPr="00107DBF">
        <w:t xml:space="preserve"> Weighted Average Cost of Capital (</w:t>
      </w:r>
      <w:r w:rsidR="00192480">
        <w:t>R</w:t>
      </w:r>
      <w:r>
        <w:t>AT</w:t>
      </w:r>
      <w:r w:rsidRPr="00107DBF">
        <w:t xml:space="preserve">WACC) </w:t>
      </w:r>
      <w:r>
        <w:t>are computed as</w:t>
      </w:r>
      <w:r w:rsidRPr="00107DBF">
        <w:t xml:space="preserve"> straightforward weighted average</w:t>
      </w:r>
      <w:r>
        <w:t>s</w:t>
      </w:r>
      <w:r w:rsidRPr="00107DBF">
        <w:t xml:space="preserve"> of the costs of debt and equity capital, weighted by the relative proportions of each</w:t>
      </w:r>
      <w:r>
        <w:t xml:space="preserve"> and by the tax effects</w:t>
      </w:r>
      <w:r w:rsidRPr="00107DBF">
        <w:t>:</w:t>
      </w:r>
    </w:p>
    <w:p w14:paraId="636BED52" w14:textId="77777777" w:rsidR="003B7022" w:rsidRPr="005B25D5" w:rsidRDefault="003B7022" w:rsidP="003B7022">
      <w:pPr>
        <w:spacing w:before="300" w:after="300"/>
      </w:pPr>
      <m:oMathPara>
        <m:oMath>
          <m:r>
            <w:rPr>
              <w:rFonts w:ascii="Cambria Math" w:hAnsi="Cambria Math"/>
            </w:rPr>
            <m:t>NATWACC=</m:t>
          </m:r>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m:t>
          </m:r>
          <m:f>
            <m:fPr>
              <m:ctrlPr>
                <w:rPr>
                  <w:rFonts w:ascii="Cambria Math" w:hAnsi="Cambria Math"/>
                  <w:i/>
                </w:rPr>
              </m:ctrlPr>
            </m:fPr>
            <m:num>
              <m:r>
                <w:rPr>
                  <w:rFonts w:ascii="Cambria Math" w:hAnsi="Cambria Math"/>
                </w:rPr>
                <m:t>E</m:t>
              </m:r>
            </m:num>
            <m:den>
              <m:r>
                <w:rPr>
                  <w:rFonts w:ascii="Cambria Math" w:hAnsi="Cambria Math"/>
                </w:rPr>
                <m:t>V</m:t>
              </m:r>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1-Tax.Rate</m:t>
                  </m:r>
                </m:e>
              </m:d>
            </m:num>
            <m:den>
              <m:d>
                <m:dPr>
                  <m:begChr m:val="["/>
                  <m:endChr m:val="]"/>
                  <m:ctrlPr>
                    <w:rPr>
                      <w:rFonts w:ascii="Cambria Math" w:hAnsi="Cambria Math"/>
                      <w:i/>
                    </w:rPr>
                  </m:ctrlPr>
                </m:dPr>
                <m:e>
                  <m:r>
                    <w:rPr>
                      <w:rFonts w:ascii="Cambria Math" w:hAnsi="Cambria Math"/>
                    </w:rPr>
                    <m:t>1-Tax.Rate*</m:t>
                  </m:r>
                  <m:d>
                    <m:dPr>
                      <m:begChr m:val="{"/>
                      <m:endChr m:val="}"/>
                      <m:ctrlPr>
                        <w:rPr>
                          <w:rFonts w:ascii="Cambria Math" w:hAnsi="Cambria Math"/>
                          <w:i/>
                        </w:rPr>
                      </m:ctrlPr>
                    </m:dPr>
                    <m:e>
                      <m:r>
                        <w:rPr>
                          <w:rFonts w:ascii="Cambria Math" w:hAnsi="Cambria Math"/>
                        </w:rPr>
                        <m:t>1-Gamma</m:t>
                      </m:r>
                    </m:e>
                  </m:d>
                </m:e>
              </m:d>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V</m:t>
              </m:r>
            </m:den>
          </m:f>
          <m:r>
            <w:rPr>
              <w:rFonts w:ascii="Cambria Math" w:hAnsi="Cambria Math"/>
            </w:rPr>
            <m:t>*</m:t>
          </m:r>
          <m:d>
            <m:dPr>
              <m:begChr m:val="["/>
              <m:endChr m:val="]"/>
              <m:ctrlPr>
                <w:rPr>
                  <w:rFonts w:ascii="Cambria Math" w:hAnsi="Cambria Math"/>
                  <w:i/>
                </w:rPr>
              </m:ctrlPr>
            </m:dPr>
            <m:e>
              <m:r>
                <w:rPr>
                  <w:rFonts w:ascii="Cambria Math" w:hAnsi="Cambria Math"/>
                </w:rPr>
                <m:t>1-Tax.Rate</m:t>
              </m:r>
            </m:e>
          </m:d>
        </m:oMath>
      </m:oMathPara>
    </w:p>
    <w:p w14:paraId="3E7C43AC" w14:textId="77777777" w:rsidR="003B7022" w:rsidRPr="0018104A" w:rsidRDefault="003B7022" w:rsidP="003B7022">
      <w:pPr>
        <w:spacing w:before="300" w:after="300"/>
      </w:pPr>
      <m:oMathPara>
        <m:oMath>
          <m:r>
            <w:rPr>
              <w:rFonts w:ascii="Cambria Math" w:hAnsi="Cambria Math"/>
            </w:rPr>
            <m:t>RATWACC=</m:t>
          </m:r>
          <m:f>
            <m:fPr>
              <m:ctrlPr>
                <w:rPr>
                  <w:rFonts w:ascii="Cambria Math" w:hAnsi="Cambria Math"/>
                  <w:i/>
                </w:rPr>
              </m:ctrlPr>
            </m:fPr>
            <m:num>
              <m:r>
                <w:rPr>
                  <w:rFonts w:ascii="Cambria Math" w:hAnsi="Cambria Math"/>
                </w:rPr>
                <m:t>1+NATWACC</m:t>
              </m:r>
            </m:num>
            <m:den>
              <m:d>
                <m:dPr>
                  <m:begChr m:val="["/>
                  <m:endChr m:val="]"/>
                  <m:ctrlPr>
                    <w:rPr>
                      <w:rFonts w:ascii="Cambria Math" w:hAnsi="Cambria Math"/>
                      <w:i/>
                    </w:rPr>
                  </m:ctrlPr>
                </m:dPr>
                <m:e>
                  <m:r>
                    <w:rPr>
                      <w:rFonts w:ascii="Cambria Math" w:hAnsi="Cambria Math"/>
                    </w:rPr>
                    <m:t>1+CPI</m:t>
                  </m:r>
                </m:e>
              </m:d>
            </m:den>
          </m:f>
          <m:r>
            <w:rPr>
              <w:rFonts w:ascii="Cambria Math" w:hAnsi="Cambria Math"/>
            </w:rPr>
            <m:t>-1</m:t>
          </m:r>
        </m:oMath>
      </m:oMathPara>
    </w:p>
    <w:p w14:paraId="403CF201" w14:textId="77777777" w:rsidR="003B7022" w:rsidRDefault="003B7022" w:rsidP="003B7022">
      <w:proofErr w:type="gramStart"/>
      <w:r>
        <w:t>Where</w:t>
      </w:r>
      <w:proofErr w:type="gramEnd"/>
    </w:p>
    <w:p w14:paraId="7D1CE601" w14:textId="06FEFDEE" w:rsidR="003B7022" w:rsidRPr="00CC51BD" w:rsidRDefault="0095150D" w:rsidP="003B7022">
      <w:pPr>
        <w:pStyle w:val="DotPoint"/>
      </w:pPr>
      <m:oMath>
        <m:sSub>
          <m:sSubPr>
            <m:ctrlPr>
              <w:rPr>
                <w:rFonts w:ascii="Cambria Math" w:hAnsi="Cambria Math"/>
                <w:b/>
              </w:rPr>
            </m:ctrlPr>
          </m:sSubPr>
          <m:e>
            <m:r>
              <m:rPr>
                <m:sty m:val="bi"/>
              </m:rPr>
              <w:rPr>
                <w:rFonts w:ascii="Cambria Math" w:hAnsi="Cambria Math"/>
              </w:rPr>
              <m:t>r</m:t>
            </m:r>
          </m:e>
          <m:sub>
            <m:r>
              <m:rPr>
                <m:sty m:val="bi"/>
              </m:rPr>
              <w:rPr>
                <w:rFonts w:ascii="Cambria Math" w:hAnsi="Cambria Math"/>
              </w:rPr>
              <m:t>e</m:t>
            </m:r>
          </m:sub>
        </m:sSub>
      </m:oMath>
      <w:r w:rsidR="003B7022" w:rsidRPr="00CC51BD">
        <w:t xml:space="preserve"> represents the return on investment that investors would expect to receive to commit equity capital to a firm.</w:t>
      </w:r>
    </w:p>
    <w:p w14:paraId="58B0A5CE" w14:textId="4992A3CB" w:rsidR="003B7022" w:rsidRPr="00CC51BD" w:rsidRDefault="0095150D" w:rsidP="003B7022">
      <w:pPr>
        <w:pStyle w:val="DotPoint"/>
      </w:pPr>
      <m:oMath>
        <m:sSub>
          <m:sSubPr>
            <m:ctrlPr>
              <w:rPr>
                <w:rFonts w:ascii="Cambria Math" w:hAnsi="Cambria Math"/>
                <w:b/>
              </w:rPr>
            </m:ctrlPr>
          </m:sSubPr>
          <m:e>
            <m:r>
              <m:rPr>
                <m:sty m:val="bi"/>
              </m:rPr>
              <w:rPr>
                <w:rFonts w:ascii="Cambria Math" w:hAnsi="Cambria Math"/>
              </w:rPr>
              <m:t>r</m:t>
            </m:r>
          </m:e>
          <m:sub>
            <m:r>
              <m:rPr>
                <m:sty m:val="bi"/>
              </m:rPr>
              <w:rPr>
                <w:rFonts w:ascii="Cambria Math" w:hAnsi="Cambria Math"/>
              </w:rPr>
              <m:t>d</m:t>
            </m:r>
          </m:sub>
        </m:sSub>
      </m:oMath>
      <w:r w:rsidR="003B7022" w:rsidRPr="00CC51BD">
        <w:t xml:space="preserve"> represents the return on investment that investors would expect to receive to lend debt capital to a firm.</w:t>
      </w:r>
    </w:p>
    <w:p w14:paraId="0BD5A9FA" w14:textId="211F42F2" w:rsidR="003B7022" w:rsidRPr="00EE1371" w:rsidRDefault="0095150D" w:rsidP="003B7022">
      <w:pPr>
        <w:pStyle w:val="DotPoint"/>
      </w:pPr>
      <m:oMath>
        <m:f>
          <m:fPr>
            <m:ctrlPr>
              <w:rPr>
                <w:rFonts w:ascii="Cambria Math" w:hAnsi="Cambria Math"/>
                <w:b/>
              </w:rPr>
            </m:ctrlPr>
          </m:fPr>
          <m:num>
            <m:r>
              <m:rPr>
                <m:sty m:val="bi"/>
              </m:rPr>
              <w:rPr>
                <w:rFonts w:ascii="Cambria Math" w:hAnsi="Cambria Math"/>
              </w:rPr>
              <m:t>E</m:t>
            </m:r>
          </m:num>
          <m:den>
            <m:r>
              <m:rPr>
                <m:sty m:val="bi"/>
              </m:rPr>
              <w:rPr>
                <w:rFonts w:ascii="Cambria Math" w:hAnsi="Cambria Math"/>
              </w:rPr>
              <m:t>V</m:t>
            </m:r>
          </m:den>
        </m:f>
      </m:oMath>
      <w:r w:rsidR="003B7022" w:rsidRPr="00CC51BD">
        <w:t xml:space="preserve"> represents the relative proportion of equity finance</w:t>
      </w:r>
      <w:r w:rsidR="00606B40">
        <w:t xml:space="preserve">. This is </w:t>
      </w:r>
      <w:r w:rsidR="003B7022">
        <w:t>currently assumed to be</w:t>
      </w:r>
      <w:r w:rsidR="003B7022" w:rsidRPr="00CC51BD">
        <w:t xml:space="preserve"> </w:t>
      </w:r>
      <w:r w:rsidR="003B7022" w:rsidRPr="00EE1371">
        <w:t>40%.</w:t>
      </w:r>
    </w:p>
    <w:p w14:paraId="1EE6A301" w14:textId="42124B4D" w:rsidR="003B7022" w:rsidRPr="00EE1371" w:rsidRDefault="0095150D" w:rsidP="003B7022">
      <w:pPr>
        <w:pStyle w:val="DotPoint"/>
      </w:pPr>
      <m:oMath>
        <m:f>
          <m:fPr>
            <m:ctrlPr>
              <w:rPr>
                <w:rFonts w:ascii="Cambria Math" w:hAnsi="Cambria Math"/>
                <w:b/>
              </w:rPr>
            </m:ctrlPr>
          </m:fPr>
          <m:num>
            <m:r>
              <m:rPr>
                <m:sty m:val="bi"/>
              </m:rPr>
              <w:rPr>
                <w:rFonts w:ascii="Cambria Math" w:hAnsi="Cambria Math"/>
              </w:rPr>
              <m:t>D</m:t>
            </m:r>
          </m:num>
          <m:den>
            <m:r>
              <m:rPr>
                <m:sty m:val="bi"/>
              </m:rPr>
              <w:rPr>
                <w:rFonts w:ascii="Cambria Math" w:hAnsi="Cambria Math"/>
              </w:rPr>
              <m:t>V</m:t>
            </m:r>
          </m:den>
        </m:f>
      </m:oMath>
      <w:r w:rsidR="003B7022" w:rsidRPr="00EE1371">
        <w:t xml:space="preserve"> represents the relative proportion of debt finance. It is currently assumed to be 60%.</w:t>
      </w:r>
    </w:p>
    <w:p w14:paraId="11082646" w14:textId="2F6D82A9" w:rsidR="003B7022" w:rsidRPr="00EE1371" w:rsidRDefault="000E2E00" w:rsidP="003B7022">
      <w:pPr>
        <w:pStyle w:val="DotPoint"/>
        <w:rPr>
          <w:rFonts w:eastAsiaTheme="minorEastAsia"/>
        </w:rPr>
      </w:pPr>
      <m:oMath>
        <m:r>
          <m:rPr>
            <m:sty m:val="bi"/>
          </m:rPr>
          <w:rPr>
            <w:rFonts w:ascii="Cambria Math" w:eastAsiaTheme="minorEastAsia" w:hAnsi="Cambria Math"/>
          </w:rPr>
          <m:t>Tax.Rate</m:t>
        </m:r>
      </m:oMath>
      <w:r w:rsidR="003B7022" w:rsidRPr="00EE1371">
        <w:rPr>
          <w:rFonts w:eastAsiaTheme="minorEastAsia"/>
        </w:rPr>
        <w:t xml:space="preserve"> is</w:t>
      </w:r>
      <w:r w:rsidR="003B7022" w:rsidRPr="00EE1371">
        <w:t xml:space="preserve"> the rate of tax payable by the provider. It is currently assumed to be 30% in all cases (see page </w:t>
      </w:r>
      <w:r w:rsidR="00407728">
        <w:fldChar w:fldCharType="begin"/>
      </w:r>
      <w:r w:rsidR="00407728">
        <w:instrText xml:space="preserve"> PAGEREF _Ref115957669 \h </w:instrText>
      </w:r>
      <w:r w:rsidR="00407728">
        <w:fldChar w:fldCharType="separate"/>
      </w:r>
      <w:r w:rsidR="00765987">
        <w:rPr>
          <w:noProof/>
        </w:rPr>
        <w:t>22</w:t>
      </w:r>
      <w:r w:rsidR="00407728">
        <w:fldChar w:fldCharType="end"/>
      </w:r>
      <w:r w:rsidR="003B7022" w:rsidRPr="00EE1371">
        <w:t>).</w:t>
      </w:r>
    </w:p>
    <w:p w14:paraId="00B0F4CB" w14:textId="36D5E8AD" w:rsidR="003B7022" w:rsidRPr="00CC51BD" w:rsidRDefault="000E2E00" w:rsidP="003B7022">
      <w:pPr>
        <w:pStyle w:val="DotPoint"/>
      </w:pPr>
      <m:oMath>
        <m:r>
          <m:rPr>
            <m:sty m:val="bi"/>
          </m:rPr>
          <w:rPr>
            <w:rFonts w:ascii="Cambria Math" w:hAnsi="Cambria Math"/>
          </w:rPr>
          <m:t>Gamma</m:t>
        </m:r>
      </m:oMath>
      <w:r w:rsidR="003B7022" w:rsidRPr="00CC51BD">
        <w:t xml:space="preserve"> is a parameter between 0 and 1 which represents the extent to which imputation credits on tax paid by the company can be used elsewhere. </w:t>
      </w:r>
      <w:r w:rsidR="003B7022">
        <w:t xml:space="preserve">It is currently </w:t>
      </w:r>
      <w:r w:rsidR="003B7022" w:rsidRPr="00CC51BD">
        <w:t>assume</w:t>
      </w:r>
      <w:r w:rsidR="003B7022">
        <w:t xml:space="preserve">d </w:t>
      </w:r>
      <w:r w:rsidR="00FA12C8">
        <w:t>to be</w:t>
      </w:r>
      <w:r w:rsidR="00FA12C8" w:rsidRPr="00FA12C8">
        <w:t xml:space="preserve"> zero (0).</w:t>
      </w:r>
    </w:p>
    <w:p w14:paraId="1FABCD6A" w14:textId="77777777" w:rsidR="003B7022" w:rsidRPr="00E42DA9" w:rsidRDefault="003B7022" w:rsidP="003B7022">
      <w:pPr>
        <w:pStyle w:val="DotPoint"/>
      </w:pPr>
      <m:oMath>
        <m:r>
          <m:rPr>
            <m:sty m:val="bi"/>
          </m:rPr>
          <w:rPr>
            <w:rFonts w:ascii="Cambria Math" w:hAnsi="Cambria Math"/>
          </w:rPr>
          <m:t>CPI</m:t>
        </m:r>
      </m:oMath>
      <w:r w:rsidRPr="00E42DA9">
        <w:t xml:space="preserve"> is </w:t>
      </w:r>
      <w:r>
        <w:t xml:space="preserve">currently </w:t>
      </w:r>
      <w:r w:rsidRPr="00E42DA9">
        <w:t>assumed to be 2.5% per annum</w:t>
      </w:r>
      <w:r>
        <w:t>.</w:t>
      </w:r>
    </w:p>
    <w:p w14:paraId="1CF421CB" w14:textId="15A6060D" w:rsidR="003B7022" w:rsidRPr="009012EC" w:rsidRDefault="003B7022" w:rsidP="003B7022">
      <w:r w:rsidRPr="009012EC">
        <w:t>The model uses a Capital Asset Pricing Model to estimate the required return on equity:</w:t>
      </w:r>
    </w:p>
    <w:p w14:paraId="5CC13642" w14:textId="77777777" w:rsidR="003B7022" w:rsidRPr="009012EC" w:rsidRDefault="0095150D" w:rsidP="003B7022">
      <w:pPr>
        <w:spacing w:before="300" w:after="300"/>
      </w:pPr>
      <m:oMathPara>
        <m:oMath>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 xml:space="preserve">+ </m:t>
          </m:r>
          <m:r>
            <w:rPr>
              <w:rFonts w:ascii="Cambria Math" w:hAnsi="Cambria Math"/>
            </w:rPr>
            <m:t>β</m:t>
          </m:r>
          <m:r>
            <w:rPr>
              <w:rFonts w:ascii="Cambria Math" w:hAnsi="Cambria Math"/>
            </w:rPr>
            <m:t>*</m:t>
          </m:r>
          <m:r>
            <w:rPr>
              <w:rFonts w:ascii="Cambria Math" w:hAnsi="Cambria Math"/>
            </w:rPr>
            <m:t>MR</m:t>
          </m:r>
          <m:r>
            <w:rPr>
              <w:rFonts w:ascii="Cambria Math" w:hAnsi="Cambria Math"/>
            </w:rPr>
            <m:t>P</m:t>
          </m:r>
        </m:oMath>
      </m:oMathPara>
    </w:p>
    <w:p w14:paraId="7B4B6B6F" w14:textId="77777777" w:rsidR="003B7022" w:rsidRPr="009012EC" w:rsidRDefault="0095150D" w:rsidP="003B7022">
      <w:pPr>
        <w:spacing w:before="300" w:after="300"/>
      </w:pPr>
      <m:oMathPara>
        <m:oMath>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 xml:space="preserve">+ </m:t>
          </m:r>
          <m:r>
            <w:rPr>
              <w:rFonts w:ascii="Cambria Math" w:hAnsi="Cambria Math"/>
            </w:rPr>
            <m:t>DRP</m:t>
          </m:r>
        </m:oMath>
      </m:oMathPara>
    </w:p>
    <w:p w14:paraId="17658799" w14:textId="77777777" w:rsidR="003B7022" w:rsidRPr="009012EC" w:rsidRDefault="003B7022" w:rsidP="003B7022">
      <w:proofErr w:type="gramStart"/>
      <w:r w:rsidRPr="009012EC">
        <w:lastRenderedPageBreak/>
        <w:t>where</w:t>
      </w:r>
      <w:proofErr w:type="gramEnd"/>
    </w:p>
    <w:p w14:paraId="2D0FBF3E" w14:textId="09187EB3" w:rsidR="003B7022" w:rsidRPr="00CC51BD" w:rsidRDefault="0095150D" w:rsidP="003B7022">
      <w:pPr>
        <w:pStyle w:val="DotPoint"/>
      </w:pPr>
      <m:oMath>
        <m:sSub>
          <m:sSubPr>
            <m:ctrlPr>
              <w:rPr>
                <w:rFonts w:ascii="Cambria Math" w:hAnsi="Cambria Math"/>
                <w:b/>
              </w:rPr>
            </m:ctrlPr>
          </m:sSubPr>
          <m:e>
            <m:r>
              <m:rPr>
                <m:sty m:val="bi"/>
              </m:rPr>
              <w:rPr>
                <w:rFonts w:ascii="Cambria Math" w:hAnsi="Cambria Math"/>
              </w:rPr>
              <m:t>r</m:t>
            </m:r>
          </m:e>
          <m:sub>
            <m:r>
              <m:rPr>
                <m:sty m:val="bi"/>
              </m:rPr>
              <w:rPr>
                <w:rFonts w:ascii="Cambria Math" w:hAnsi="Cambria Math"/>
              </w:rPr>
              <m:t>f</m:t>
            </m:r>
          </m:sub>
        </m:sSub>
      </m:oMath>
      <w:r w:rsidR="003B7022">
        <w:t xml:space="preserve"> represents the nominal risk-free rate of return.</w:t>
      </w:r>
      <w:r w:rsidR="003B7022" w:rsidRPr="009012EC">
        <w:t xml:space="preserve"> This is the return that is available to investors on an investment</w:t>
      </w:r>
      <w:r w:rsidR="003B7022" w:rsidRPr="00107DBF">
        <w:t xml:space="preserve"> that is completely free of risk</w:t>
      </w:r>
      <w:r w:rsidR="003B7022" w:rsidRPr="00CC51BD">
        <w:t xml:space="preserve">. </w:t>
      </w:r>
      <w:r w:rsidR="00FA12C8">
        <w:t>It</w:t>
      </w:r>
      <w:r w:rsidR="003B7022" w:rsidRPr="00CC51BD">
        <w:t xml:space="preserve"> is </w:t>
      </w:r>
      <w:r w:rsidR="003B7022">
        <w:t xml:space="preserve">currently </w:t>
      </w:r>
      <w:r w:rsidR="003B7022" w:rsidRPr="00CC51BD">
        <w:t>assumed to be 2.7%.</w:t>
      </w:r>
    </w:p>
    <w:p w14:paraId="50286C03" w14:textId="2EE996D2" w:rsidR="003B7022" w:rsidRPr="00CC51BD" w:rsidRDefault="003B7022" w:rsidP="003B7022">
      <w:pPr>
        <w:pStyle w:val="DotPoint"/>
      </w:pPr>
      <m:oMath>
        <m:r>
          <m:rPr>
            <m:sty m:val="b"/>
          </m:rPr>
          <w:rPr>
            <w:rFonts w:ascii="Cambria Math" w:hAnsi="Cambria Math"/>
          </w:rPr>
          <m:t>β</m:t>
        </m:r>
      </m:oMath>
      <w:r w:rsidRPr="00CC51BD">
        <w:t xml:space="preserve"> represents the equity beta, which indicates the extent to which the particu</w:t>
      </w:r>
      <w:r w:rsidR="00FA12C8">
        <w:t xml:space="preserve">lar </w:t>
      </w:r>
      <w:r w:rsidRPr="00CC51BD">
        <w:t xml:space="preserve">investment has </w:t>
      </w:r>
      <w:proofErr w:type="gramStart"/>
      <w:r w:rsidRPr="00CC51BD">
        <w:t>more or less risk</w:t>
      </w:r>
      <w:proofErr w:type="gramEnd"/>
      <w:r w:rsidRPr="00CC51BD">
        <w:t xml:space="preserve"> than average. </w:t>
      </w:r>
      <w:r w:rsidR="00FA12C8">
        <w:t>It</w:t>
      </w:r>
      <w:r w:rsidRPr="00CC51BD">
        <w:t xml:space="preserve"> is </w:t>
      </w:r>
      <w:r>
        <w:t xml:space="preserve">currently </w:t>
      </w:r>
      <w:r w:rsidRPr="00CC51BD">
        <w:t>assumed to be 0.9.</w:t>
      </w:r>
    </w:p>
    <w:p w14:paraId="39C49BA9" w14:textId="0D63CA8C" w:rsidR="003B7022" w:rsidRPr="00CC51BD" w:rsidRDefault="003B7022" w:rsidP="003B7022">
      <w:pPr>
        <w:pStyle w:val="DotPoint"/>
      </w:pPr>
      <m:oMath>
        <m:r>
          <m:rPr>
            <m:sty m:val="b"/>
          </m:rPr>
          <w:rPr>
            <w:rFonts w:ascii="Cambria Math" w:hAnsi="Cambria Math"/>
          </w:rPr>
          <m:t>MRP</m:t>
        </m:r>
      </m:oMath>
      <w:r w:rsidRPr="00CC51BD">
        <w:t xml:space="preserve"> represents the nominal market risk premium, which is the amount of extra return (over and above the nominal return on a risk-free asset) that investors would require for investing in the asset. </w:t>
      </w:r>
      <w:r w:rsidR="00FA12C8">
        <w:t>It</w:t>
      </w:r>
      <w:r w:rsidRPr="00CC51BD">
        <w:t xml:space="preserve"> is </w:t>
      </w:r>
      <w:r>
        <w:t xml:space="preserve">currently </w:t>
      </w:r>
      <w:r w:rsidRPr="00CC51BD">
        <w:t>assumed to be 6.0%</w:t>
      </w:r>
    </w:p>
    <w:p w14:paraId="469483CD" w14:textId="5D603224" w:rsidR="003B7022" w:rsidRPr="009012EC" w:rsidRDefault="000E2E00" w:rsidP="003B7022">
      <w:pPr>
        <w:pStyle w:val="DotPoint"/>
      </w:pPr>
      <m:oMath>
        <m:r>
          <m:rPr>
            <m:sty m:val="b"/>
          </m:rPr>
          <w:rPr>
            <w:rFonts w:ascii="Cambria Math" w:hAnsi="Cambria Math"/>
          </w:rPr>
          <m:t>DRP</m:t>
        </m:r>
      </m:oMath>
      <w:r w:rsidR="003B7022">
        <w:t xml:space="preserve"> represents the nominal debt margin,</w:t>
      </w:r>
      <w:r w:rsidR="003B7022" w:rsidRPr="009012EC">
        <w:t xml:space="preserve"> </w:t>
      </w:r>
      <w:r w:rsidR="003B7022" w:rsidRPr="00107DBF">
        <w:t xml:space="preserve">which is the amount of extra return (over and above the </w:t>
      </w:r>
      <w:r w:rsidR="003B7022">
        <w:t xml:space="preserve">nominal </w:t>
      </w:r>
      <w:r w:rsidR="003B7022" w:rsidRPr="00107DBF">
        <w:t xml:space="preserve">return on a risk-free asset) that investors would require for </w:t>
      </w:r>
      <w:r w:rsidR="003B7022">
        <w:t>lending to an investor</w:t>
      </w:r>
      <w:r w:rsidR="003B7022" w:rsidRPr="00107DBF">
        <w:t xml:space="preserve"> in </w:t>
      </w:r>
      <w:r w:rsidR="003B7022">
        <w:t>the asset</w:t>
      </w:r>
      <w:r w:rsidR="003B7022" w:rsidRPr="00CC51BD">
        <w:t xml:space="preserve">. </w:t>
      </w:r>
      <w:r w:rsidR="00FA12C8">
        <w:t>It</w:t>
      </w:r>
      <w:r w:rsidR="003B7022">
        <w:t xml:space="preserve"> is currently assumed to be</w:t>
      </w:r>
      <w:r w:rsidR="003B7022" w:rsidRPr="00CC51BD">
        <w:t xml:space="preserve"> 2.5%</w:t>
      </w:r>
    </w:p>
    <w:p w14:paraId="4A912E68" w14:textId="77777777" w:rsidR="003B7022" w:rsidRDefault="003B7022" w:rsidP="003B7022">
      <w:pPr>
        <w:pStyle w:val="DotPoint"/>
        <w:numPr>
          <w:ilvl w:val="0"/>
          <w:numId w:val="0"/>
        </w:numPr>
      </w:pPr>
      <w:r>
        <w:t>These assumptions together give</w:t>
      </w:r>
    </w:p>
    <w:p w14:paraId="3EAE2AF1" w14:textId="77777777" w:rsidR="003B7022" w:rsidRDefault="003B7022" w:rsidP="003B7022">
      <w:pPr>
        <w:pStyle w:val="DotPoint"/>
      </w:pPr>
      <w:r>
        <w:t>NATWACC = 5.42%</w:t>
      </w:r>
    </w:p>
    <w:p w14:paraId="3AB22D41" w14:textId="77777777" w:rsidR="003B7022" w:rsidRDefault="003B7022" w:rsidP="003B7022">
      <w:pPr>
        <w:pStyle w:val="DotPoint"/>
      </w:pPr>
      <w:r>
        <w:t>RATWACC = 2.85%</w:t>
      </w:r>
    </w:p>
    <w:p w14:paraId="5D4751C6" w14:textId="1D773EBF" w:rsidR="00877F80" w:rsidRDefault="00EC29F7" w:rsidP="00244A13">
      <w:pPr>
        <w:pStyle w:val="Heading3"/>
      </w:pPr>
      <w:bookmarkStart w:id="27" w:name="_Ref115957669"/>
      <w:r>
        <w:t>Required Revenue Before Tax Excluding Rent Payments</w:t>
      </w:r>
      <w:bookmarkEnd w:id="26"/>
      <w:bookmarkEnd w:id="27"/>
    </w:p>
    <w:p w14:paraId="14190581" w14:textId="0F53942B" w:rsidR="00A362E0" w:rsidRDefault="00A362E0" w:rsidP="00A362E0">
      <w:r>
        <w:t>The</w:t>
      </w:r>
      <w:r w:rsidR="00E46182">
        <w:t xml:space="preserve"> value of the</w:t>
      </w:r>
      <w:r>
        <w:t xml:space="preserve"> </w:t>
      </w:r>
      <w:proofErr w:type="spellStart"/>
      <w:proofErr w:type="gramStart"/>
      <w:r w:rsidR="006D54C9">
        <w:rPr>
          <w:b/>
          <w:bCs/>
        </w:rPr>
        <w:t>Dwelling.Revenue</w:t>
      </w:r>
      <w:r w:rsidRPr="00CE1A6C">
        <w:rPr>
          <w:b/>
          <w:bCs/>
        </w:rPr>
        <w:t>.ExcRent.PreTax</w:t>
      </w:r>
      <w:proofErr w:type="spellEnd"/>
      <w:proofErr w:type="gramEnd"/>
      <w:r>
        <w:t xml:space="preserve"> variable </w:t>
      </w:r>
      <w:r w:rsidR="00F96C01">
        <w:t>is</w:t>
      </w:r>
      <w:r>
        <w:t xml:space="preserve"> calculated by reinflating the </w:t>
      </w:r>
      <w:proofErr w:type="spellStart"/>
      <w:r w:rsidR="006D54C9">
        <w:rPr>
          <w:b/>
          <w:bCs/>
        </w:rPr>
        <w:t>Dwelling.Revenue</w:t>
      </w:r>
      <w:r w:rsidRPr="00CE1A6C">
        <w:rPr>
          <w:b/>
          <w:bCs/>
        </w:rPr>
        <w:t>.ExcRent.PostTax</w:t>
      </w:r>
      <w:proofErr w:type="spellEnd"/>
      <w:r w:rsidRPr="00331B55">
        <w:t xml:space="preserve"> </w:t>
      </w:r>
      <w:r w:rsidR="00AE3336">
        <w:t xml:space="preserve">variable (the required revenue after tax excluding rent payments) </w:t>
      </w:r>
      <w:r>
        <w:t xml:space="preserve">and </w:t>
      </w:r>
      <w:r w:rsidR="00AE3336">
        <w:t>is</w:t>
      </w:r>
      <w:r>
        <w:t xml:space="preserve"> given by the following formula:</w:t>
      </w:r>
    </w:p>
    <w:p w14:paraId="1EF4E0E9" w14:textId="77777777" w:rsidR="00A362E0" w:rsidRPr="003C1C9E" w:rsidRDefault="0095150D" w:rsidP="00A362E0">
      <w:pPr>
        <w:spacing w:before="300" w:after="300"/>
        <w:rPr>
          <w:rFonts w:ascii="Cambria Math" w:hAnsi="Cambria Math"/>
        </w:rPr>
      </w:pPr>
      <m:oMathPara>
        <m:oMath>
          <m:f>
            <m:fPr>
              <m:ctrlPr>
                <w:rPr>
                  <w:rFonts w:ascii="Cambria Math" w:hAnsi="Cambria Math"/>
                  <w:i/>
                </w:rPr>
              </m:ctrlPr>
            </m:fPr>
            <m:num>
              <m:r>
                <w:rPr>
                  <w:rFonts w:ascii="Cambria Math" w:hAnsi="Cambria Math"/>
                </w:rPr>
                <m:t>Dwelling</m:t>
              </m:r>
              <m:r>
                <w:rPr>
                  <w:rFonts w:ascii="Cambria Math" w:hAnsi="Cambria Math"/>
                </w:rPr>
                <m:t>.</m:t>
              </m:r>
              <m:r>
                <w:rPr>
                  <w:rFonts w:ascii="Cambria Math" w:hAnsi="Cambria Math"/>
                </w:rPr>
                <m:t>Revenue</m:t>
              </m:r>
              <m:r>
                <w:rPr>
                  <w:rFonts w:ascii="Cambria Math" w:hAnsi="Cambria Math"/>
                </w:rPr>
                <m:t>.</m:t>
              </m:r>
              <m:r>
                <w:rPr>
                  <w:rFonts w:ascii="Cambria Math" w:hAnsi="Cambria Math"/>
                </w:rPr>
                <m:t>ExcRent</m:t>
              </m:r>
              <m:r>
                <w:rPr>
                  <w:rFonts w:ascii="Cambria Math" w:hAnsi="Cambria Math"/>
                </w:rPr>
                <m:t>.</m:t>
              </m:r>
              <m:r>
                <w:rPr>
                  <w:rFonts w:ascii="Cambria Math" w:hAnsi="Cambria Math"/>
                </w:rPr>
                <m:t>PostTax</m:t>
              </m:r>
            </m:num>
            <m:den>
              <m:r>
                <w:rPr>
                  <w:rFonts w:ascii="Cambria Math" w:hAnsi="Cambria Math"/>
                </w:rPr>
                <m:t>1-</m:t>
              </m:r>
              <m:r>
                <w:rPr>
                  <w:rFonts w:ascii="Cambria Math" w:hAnsi="Cambria Math"/>
                </w:rPr>
                <m:t>Tax</m:t>
              </m:r>
              <m:r>
                <w:rPr>
                  <w:rFonts w:ascii="Cambria Math" w:hAnsi="Cambria Math"/>
                </w:rPr>
                <m:t>.</m:t>
              </m:r>
              <m:r>
                <w:rPr>
                  <w:rFonts w:ascii="Cambria Math" w:hAnsi="Cambria Math"/>
                </w:rPr>
                <m:t>Rate</m:t>
              </m:r>
            </m:den>
          </m:f>
        </m:oMath>
      </m:oMathPara>
    </w:p>
    <w:p w14:paraId="361F7419" w14:textId="77777777" w:rsidR="000E6F65" w:rsidRDefault="000E6F65" w:rsidP="000E6F65">
      <w:proofErr w:type="gramStart"/>
      <w:r>
        <w:t>Where</w:t>
      </w:r>
      <w:proofErr w:type="gramEnd"/>
    </w:p>
    <w:p w14:paraId="6FB5C157" w14:textId="25B8A051" w:rsidR="000E6F65" w:rsidRPr="0087236F" w:rsidRDefault="000E6F65" w:rsidP="00A744DB">
      <w:pPr>
        <w:pStyle w:val="DotPoint"/>
      </w:pPr>
      <w:proofErr w:type="spellStart"/>
      <w:r w:rsidRPr="00FA12C8">
        <w:rPr>
          <w:b/>
        </w:rPr>
        <w:t>Tax.Rate</w:t>
      </w:r>
      <w:proofErr w:type="spellEnd"/>
      <w:r>
        <w:t xml:space="preserve"> </w:t>
      </w:r>
      <w:r w:rsidR="0072620E">
        <w:t>is</w:t>
      </w:r>
      <w:r>
        <w:t xml:space="preserve"> </w:t>
      </w:r>
      <w:r w:rsidRPr="0087236F">
        <w:t xml:space="preserve">the rate of tax payable by the provider. </w:t>
      </w:r>
      <w:r w:rsidR="0072620E" w:rsidRPr="0072620E">
        <w:rPr>
          <w:b/>
          <w:bCs/>
        </w:rPr>
        <w:t>This</w:t>
      </w:r>
      <w:r w:rsidRPr="0072620E">
        <w:rPr>
          <w:b/>
          <w:bCs/>
        </w:rPr>
        <w:t xml:space="preserve"> </w:t>
      </w:r>
      <w:r w:rsidR="00C173F7">
        <w:rPr>
          <w:b/>
          <w:bCs/>
        </w:rPr>
        <w:t>is currently</w:t>
      </w:r>
      <w:r w:rsidRPr="0072620E">
        <w:rPr>
          <w:b/>
          <w:bCs/>
        </w:rPr>
        <w:t xml:space="preserve"> assumed to be 30% in all cases.</w:t>
      </w:r>
    </w:p>
    <w:p w14:paraId="2AC713C7" w14:textId="66880DF4" w:rsidR="000E6F65" w:rsidRDefault="006D54C9" w:rsidP="00A744DB">
      <w:pPr>
        <w:pStyle w:val="DotPoint"/>
      </w:pPr>
      <w:proofErr w:type="spellStart"/>
      <w:proofErr w:type="gramStart"/>
      <w:r>
        <w:rPr>
          <w:b/>
          <w:bCs/>
        </w:rPr>
        <w:t>Dwelling.Revenue</w:t>
      </w:r>
      <w:r w:rsidR="000E6F65" w:rsidRPr="00CE1A6C">
        <w:rPr>
          <w:b/>
          <w:bCs/>
        </w:rPr>
        <w:t>.ExcRent.PostTax</w:t>
      </w:r>
      <w:proofErr w:type="spellEnd"/>
      <w:proofErr w:type="gramEnd"/>
      <w:r w:rsidR="000E6F65">
        <w:t xml:space="preserve"> </w:t>
      </w:r>
      <w:r w:rsidR="0072620E">
        <w:t>is</w:t>
      </w:r>
      <w:r w:rsidR="000E6F65">
        <w:t xml:space="preserve"> the annualised payment that </w:t>
      </w:r>
      <w:r w:rsidR="00C173F7">
        <w:t>is</w:t>
      </w:r>
      <w:r w:rsidR="000E6F65">
        <w:t xml:space="preserve"> equivalent to the annual loan payment that would need to be made on a loan whose value </w:t>
      </w:r>
      <w:r w:rsidR="0072620E">
        <w:t>was</w:t>
      </w:r>
      <w:r w:rsidR="000E6F65">
        <w:t xml:space="preserve"> the net present value of the after tax cash flow from the dwelling over the investment period. </w:t>
      </w:r>
    </w:p>
    <w:p w14:paraId="0B687DB7" w14:textId="39AE4AD7" w:rsidR="00EC29F7" w:rsidRPr="001A07A7" w:rsidRDefault="00EC29F7" w:rsidP="00244A13">
      <w:pPr>
        <w:pStyle w:val="Heading4"/>
      </w:pPr>
      <w:r w:rsidRPr="001A07A7">
        <w:t>Required Revenue After Tax Excluding Rent Payments</w:t>
      </w:r>
    </w:p>
    <w:p w14:paraId="096FA80C" w14:textId="0D450A58" w:rsidR="00DE5C63" w:rsidRDefault="00E46182" w:rsidP="00DE5C63">
      <w:r w:rsidRPr="00E46182">
        <w:rPr>
          <w:bCs/>
        </w:rPr>
        <w:t xml:space="preserve">The value of the </w:t>
      </w:r>
      <w:proofErr w:type="spellStart"/>
      <w:proofErr w:type="gramStart"/>
      <w:r w:rsidR="006D54C9">
        <w:rPr>
          <w:b/>
          <w:bCs/>
        </w:rPr>
        <w:t>Dwelling.Revenue</w:t>
      </w:r>
      <w:r w:rsidR="00DE5C63" w:rsidRPr="00CE1A6C">
        <w:rPr>
          <w:b/>
          <w:bCs/>
        </w:rPr>
        <w:t>.ExcRent.PostTax</w:t>
      </w:r>
      <w:proofErr w:type="spellEnd"/>
      <w:proofErr w:type="gramEnd"/>
      <w:r w:rsidR="00DE5C63">
        <w:t xml:space="preserve"> </w:t>
      </w:r>
      <w:r>
        <w:t xml:space="preserve">variable </w:t>
      </w:r>
      <w:r w:rsidR="00F96C01">
        <w:t>is</w:t>
      </w:r>
      <w:r w:rsidR="00DE5C63">
        <w:t xml:space="preserve"> </w:t>
      </w:r>
      <w:r>
        <w:t>calculated</w:t>
      </w:r>
      <w:r w:rsidR="00DE5C63">
        <w:t xml:space="preserve"> by the following formula:</w:t>
      </w:r>
    </w:p>
    <w:p w14:paraId="1B8E8C09" w14:textId="77777777" w:rsidR="00DE5C63" w:rsidRPr="007E110A" w:rsidRDefault="00DE5C63" w:rsidP="00DE5C63">
      <w:pPr>
        <w:spacing w:before="300" w:after="300"/>
        <w:rPr>
          <w:rFonts w:ascii="Cambria Math" w:hAnsi="Cambria Math"/>
          <w:i/>
        </w:rPr>
      </w:pPr>
      <m:oMathPara>
        <m:oMath>
          <m:r>
            <w:rPr>
              <w:rFonts w:ascii="Cambria Math" w:hAnsi="Cambria Math"/>
            </w:rPr>
            <m:t>PMT(RATWACC,Investment.Period,Discounted.Cash.Flow)</m:t>
          </m:r>
        </m:oMath>
      </m:oMathPara>
    </w:p>
    <w:p w14:paraId="469EE72C" w14:textId="77777777" w:rsidR="00DE5C63" w:rsidRDefault="00DE5C63" w:rsidP="00DE5C63">
      <w:proofErr w:type="gramStart"/>
      <w:r>
        <w:t>Where</w:t>
      </w:r>
      <w:proofErr w:type="gramEnd"/>
    </w:p>
    <w:p w14:paraId="59175BC6" w14:textId="77777777" w:rsidR="00DE5C63" w:rsidRPr="007E110A" w:rsidRDefault="00DE5C63" w:rsidP="00DE5C63">
      <w:pPr>
        <w:spacing w:before="300" w:after="300"/>
        <w:rPr>
          <w:rFonts w:ascii="Cambria Math" w:hAnsi="Cambria Math"/>
          <w:i/>
        </w:rPr>
      </w:pPr>
      <m:oMathPara>
        <m:oMath>
          <m:r>
            <w:rPr>
              <w:rFonts w:ascii="Cambria Math" w:hAnsi="Cambria Math"/>
            </w:rPr>
            <m:t>PMT</m:t>
          </m:r>
          <m:d>
            <m:dPr>
              <m:ctrlPr>
                <w:rPr>
                  <w:rFonts w:ascii="Cambria Math" w:hAnsi="Cambria Math"/>
                  <w:i/>
                </w:rPr>
              </m:ctrlPr>
            </m:dPr>
            <m:e>
              <m:r>
                <w:rPr>
                  <w:rFonts w:ascii="Cambria Math" w:hAnsi="Cambria Math"/>
                </w:rPr>
                <m:t>X,IP,Z</m:t>
              </m:r>
            </m:e>
          </m:d>
          <m:r>
            <w:rPr>
              <w:rFonts w:ascii="Cambria Math" w:hAnsi="Cambria Math"/>
            </w:rPr>
            <m:t>=</m:t>
          </m:r>
          <m:f>
            <m:fPr>
              <m:ctrlPr>
                <w:rPr>
                  <w:rFonts w:ascii="Cambria Math" w:hAnsi="Cambria Math"/>
                  <w:i/>
                </w:rPr>
              </m:ctrlPr>
            </m:fPr>
            <m:num>
              <m:r>
                <w:rPr>
                  <w:rFonts w:ascii="Cambria Math" w:hAnsi="Cambria Math"/>
                </w:rPr>
                <m:t>Z*X*</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1+X</m:t>
                      </m:r>
                    </m:e>
                  </m:d>
                </m:e>
                <m:sup>
                  <m:r>
                    <w:rPr>
                      <w:rFonts w:ascii="Cambria Math" w:hAnsi="Cambria Math"/>
                    </w:rPr>
                    <m:t>IP</m:t>
                  </m:r>
                </m:sup>
              </m:sSup>
            </m:num>
            <m:den>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1+X</m:t>
                      </m:r>
                    </m:e>
                  </m:d>
                </m:e>
                <m:sup>
                  <m:r>
                    <w:rPr>
                      <w:rFonts w:ascii="Cambria Math" w:hAnsi="Cambria Math"/>
                    </w:rPr>
                    <m:t>IP</m:t>
                  </m:r>
                </m:sup>
              </m:sSup>
            </m:den>
          </m:f>
        </m:oMath>
      </m:oMathPara>
    </w:p>
    <w:p w14:paraId="00744FCA" w14:textId="77777777" w:rsidR="00DE5C63" w:rsidRDefault="00DE5C63" w:rsidP="00DE5C63">
      <w:r>
        <w:lastRenderedPageBreak/>
        <w:t>And</w:t>
      </w:r>
    </w:p>
    <w:p w14:paraId="0925AF16" w14:textId="4AACC92C" w:rsidR="00DE5C63" w:rsidRPr="0087236F" w:rsidRDefault="00DE5C63" w:rsidP="004F3A11">
      <w:pPr>
        <w:pStyle w:val="ListParagraph"/>
        <w:numPr>
          <w:ilvl w:val="0"/>
          <w:numId w:val="4"/>
        </w:numPr>
        <w:rPr>
          <w:b/>
        </w:rPr>
      </w:pPr>
      <w:proofErr w:type="spellStart"/>
      <w:r w:rsidRPr="0087236F">
        <w:rPr>
          <w:b/>
        </w:rPr>
        <w:t>Investment.Period</w:t>
      </w:r>
      <w:proofErr w:type="spellEnd"/>
      <w:r w:rsidRPr="0087236F">
        <w:rPr>
          <w:b/>
        </w:rPr>
        <w:t xml:space="preserve"> </w:t>
      </w:r>
      <w:r w:rsidR="00F96C01">
        <w:rPr>
          <w:b/>
        </w:rPr>
        <w:t>is currently</w:t>
      </w:r>
      <w:r w:rsidRPr="0087236F">
        <w:rPr>
          <w:b/>
        </w:rPr>
        <w:t xml:space="preserve"> assumed to be 20 years in all cases.</w:t>
      </w:r>
    </w:p>
    <w:p w14:paraId="05BA830A" w14:textId="3712D4E9" w:rsidR="00DE5C63" w:rsidRDefault="00DE5C63" w:rsidP="004F3A11">
      <w:pPr>
        <w:pStyle w:val="ListParagraph"/>
        <w:numPr>
          <w:ilvl w:val="0"/>
          <w:numId w:val="4"/>
        </w:numPr>
      </w:pPr>
      <w:r w:rsidRPr="00E46182">
        <w:rPr>
          <w:b/>
          <w:i/>
        </w:rPr>
        <w:t>RATWACC</w:t>
      </w:r>
      <w:r w:rsidRPr="0087236F">
        <w:t xml:space="preserve"> </w:t>
      </w:r>
      <w:r w:rsidR="0072620E">
        <w:t>is</w:t>
      </w:r>
      <w:r>
        <w:t xml:space="preserve"> the</w:t>
      </w:r>
      <w:r w:rsidR="0072620E">
        <w:t xml:space="preserve"> estimated</w:t>
      </w:r>
      <w:r>
        <w:t xml:space="preserve"> Real </w:t>
      </w:r>
      <w:proofErr w:type="gramStart"/>
      <w:r>
        <w:t>After Tax</w:t>
      </w:r>
      <w:proofErr w:type="gramEnd"/>
      <w:r>
        <w:t xml:space="preserve"> Weighted Average Cost of Capital for an efficient provider (see page</w:t>
      </w:r>
      <w:r w:rsidR="0072620E">
        <w:t xml:space="preserve"> </w:t>
      </w:r>
      <w:r w:rsidR="009E4955">
        <w:fldChar w:fldCharType="begin"/>
      </w:r>
      <w:r w:rsidR="009E4955">
        <w:instrText xml:space="preserve"> PAGEREF _Ref113455967 \h </w:instrText>
      </w:r>
      <w:r w:rsidR="009E4955">
        <w:fldChar w:fldCharType="separate"/>
      </w:r>
      <w:r w:rsidR="00765987">
        <w:rPr>
          <w:noProof/>
        </w:rPr>
        <w:t>21</w:t>
      </w:r>
      <w:r w:rsidR="009E4955">
        <w:fldChar w:fldCharType="end"/>
      </w:r>
      <w:r w:rsidR="0072620E">
        <w:t>)</w:t>
      </w:r>
    </w:p>
    <w:p w14:paraId="5F41BD68" w14:textId="5F3D987D" w:rsidR="00DE5C63" w:rsidRDefault="00DE5C63" w:rsidP="004F3A11">
      <w:pPr>
        <w:pStyle w:val="ListParagraph"/>
        <w:numPr>
          <w:ilvl w:val="0"/>
          <w:numId w:val="4"/>
        </w:numPr>
      </w:pPr>
      <w:proofErr w:type="spellStart"/>
      <w:proofErr w:type="gramStart"/>
      <w:r w:rsidRPr="00CE1A6C">
        <w:rPr>
          <w:b/>
          <w:bCs/>
        </w:rPr>
        <w:t>Discounted.Cash.Flow</w:t>
      </w:r>
      <w:proofErr w:type="spellEnd"/>
      <w:proofErr w:type="gramEnd"/>
      <w:r>
        <w:t xml:space="preserve"> </w:t>
      </w:r>
      <w:r w:rsidR="0072620E">
        <w:t>is</w:t>
      </w:r>
      <w:r>
        <w:t xml:space="preserve"> the net present value of future after tax cash flows from the dwelling over the investment period</w:t>
      </w:r>
      <w:r w:rsidR="00E46182">
        <w:t xml:space="preserve"> (see pag</w:t>
      </w:r>
      <w:r w:rsidR="00F96C01">
        <w:t xml:space="preserve">e </w:t>
      </w:r>
      <w:r w:rsidR="00F96C01">
        <w:fldChar w:fldCharType="begin"/>
      </w:r>
      <w:r w:rsidR="00F96C01">
        <w:instrText xml:space="preserve"> PAGEREF _Ref113456957 \h </w:instrText>
      </w:r>
      <w:r w:rsidR="00F96C01">
        <w:fldChar w:fldCharType="separate"/>
      </w:r>
      <w:r w:rsidR="00765987">
        <w:rPr>
          <w:noProof/>
        </w:rPr>
        <w:t>23</w:t>
      </w:r>
      <w:r w:rsidR="00F96C01">
        <w:fldChar w:fldCharType="end"/>
      </w:r>
      <w:r w:rsidR="00E46182">
        <w:t>).</w:t>
      </w:r>
    </w:p>
    <w:p w14:paraId="45820842" w14:textId="7E3F3ACE" w:rsidR="006D54C9" w:rsidRPr="00244A13" w:rsidRDefault="00E85133" w:rsidP="00244A13">
      <w:pPr>
        <w:pStyle w:val="Heading4"/>
      </w:pPr>
      <w:bookmarkStart w:id="28" w:name="_Ref113455761"/>
      <w:bookmarkStart w:id="29" w:name="_Ref113456957"/>
      <w:r w:rsidRPr="00244A13">
        <w:t>Discounted</w:t>
      </w:r>
      <w:r w:rsidR="00EC29F7" w:rsidRPr="00244A13">
        <w:t xml:space="preserve"> (Net Present Value) </w:t>
      </w:r>
      <w:r w:rsidRPr="00244A13">
        <w:t>Cash</w:t>
      </w:r>
      <w:r w:rsidR="00EC29F7" w:rsidRPr="00244A13">
        <w:t xml:space="preserve"> </w:t>
      </w:r>
      <w:r w:rsidRPr="00244A13">
        <w:t>Flow</w:t>
      </w:r>
      <w:bookmarkEnd w:id="28"/>
      <w:bookmarkEnd w:id="29"/>
    </w:p>
    <w:p w14:paraId="0E6A63B7" w14:textId="331B7405" w:rsidR="006D2D8E" w:rsidRDefault="00C173F7" w:rsidP="00F96C01">
      <w:pPr>
        <w:keepNext/>
        <w:snapToGrid w:val="0"/>
      </w:pPr>
      <w:r>
        <w:t xml:space="preserve">The </w:t>
      </w:r>
      <w:proofErr w:type="spellStart"/>
      <w:proofErr w:type="gramStart"/>
      <w:r w:rsidR="006D2D8E" w:rsidRPr="00CE1A6C">
        <w:rPr>
          <w:b/>
          <w:bCs/>
        </w:rPr>
        <w:t>Discounted.Cash.Flow</w:t>
      </w:r>
      <w:proofErr w:type="spellEnd"/>
      <w:proofErr w:type="gramEnd"/>
      <w:r w:rsidR="006D2D8E">
        <w:t xml:space="preserve"> </w:t>
      </w:r>
      <w:r>
        <w:t xml:space="preserve">parameter </w:t>
      </w:r>
      <w:r w:rsidR="006D2D8E">
        <w:t>represent</w:t>
      </w:r>
      <w:r w:rsidR="0072620E">
        <w:t>s</w:t>
      </w:r>
      <w:r w:rsidR="006D2D8E">
        <w:t xml:space="preserve"> the net present value of future after tax cash flows from the dwelling over the investment period (</w:t>
      </w:r>
      <w:proofErr w:type="spellStart"/>
      <w:r w:rsidR="006D2D8E">
        <w:t>Investment.Period</w:t>
      </w:r>
      <w:proofErr w:type="spellEnd"/>
      <w:r w:rsidR="006D2D8E">
        <w:t xml:space="preserve"> = IP). It is determined by the following formula:</w:t>
      </w:r>
    </w:p>
    <w:p w14:paraId="22802F76" w14:textId="77777777" w:rsidR="006D2D8E" w:rsidRPr="00C96B47" w:rsidRDefault="006D2D8E" w:rsidP="00E85133">
      <w:pPr>
        <w:widowControl w:val="0"/>
        <w:snapToGrid w:val="0"/>
        <w:spacing w:before="300" w:after="300"/>
        <w:rPr>
          <w:rFonts w:ascii="Cambria Math" w:hAnsi="Cambria Math"/>
          <w:i/>
        </w:rPr>
      </w:pPr>
      <m:oMathPara>
        <m:oMath>
          <m:r>
            <w:rPr>
              <w:rFonts w:ascii="Cambria Math" w:hAnsi="Cambria Math"/>
            </w:rPr>
            <m:t>NPV</m:t>
          </m:r>
          <m:d>
            <m:dPr>
              <m:ctrlPr>
                <w:rPr>
                  <w:rFonts w:ascii="Cambria Math" w:hAnsi="Cambria Math"/>
                  <w:i/>
                </w:rPr>
              </m:ctrlPr>
            </m:dPr>
            <m:e>
              <m:r>
                <w:rPr>
                  <w:rFonts w:ascii="Cambria Math" w:hAnsi="Cambria Math"/>
                </w:rPr>
                <m:t>NATWACC, Investment.Period, Residual.Value+Rent-Ownership.Cost-Tax.Cost</m:t>
              </m:r>
            </m:e>
          </m:d>
          <m:r>
            <w:rPr>
              <w:rFonts w:ascii="Cambria Math" w:hAnsi="Cambria Math"/>
            </w:rPr>
            <m:t>- Aquisition.Cost</m:t>
          </m:r>
        </m:oMath>
      </m:oMathPara>
    </w:p>
    <w:p w14:paraId="1CB6B962" w14:textId="22A2E503" w:rsidR="004F3A11" w:rsidRDefault="004F3A11" w:rsidP="00E85133">
      <w:pPr>
        <w:widowControl w:val="0"/>
        <w:snapToGrid w:val="0"/>
      </w:pPr>
      <w:r>
        <w:t>Where the net present value of an income stream Y (</w:t>
      </w:r>
      <m:oMath>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i</m:t>
            </m:r>
          </m:sub>
        </m:sSub>
      </m:oMath>
      <w:r>
        <w:t xml:space="preserve"> is the income in year i) over the investment period (IP), with a discount factor X, is given by</w:t>
      </w:r>
    </w:p>
    <w:p w14:paraId="235711A3" w14:textId="77777777" w:rsidR="006D2D8E" w:rsidRPr="00C96B47" w:rsidRDefault="006D2D8E" w:rsidP="00E85133">
      <w:pPr>
        <w:widowControl w:val="0"/>
        <w:snapToGrid w:val="0"/>
        <w:spacing w:before="300" w:after="300"/>
        <w:rPr>
          <w:rFonts w:ascii="Cambria Math" w:hAnsi="Cambria Math"/>
          <w:i/>
        </w:rPr>
      </w:pPr>
      <m:oMathPara>
        <m:oMath>
          <m:r>
            <w:rPr>
              <w:rFonts w:ascii="Cambria Math" w:hAnsi="Cambria Math"/>
            </w:rPr>
            <m:t>NPV</m:t>
          </m:r>
          <m:d>
            <m:dPr>
              <m:ctrlPr>
                <w:rPr>
                  <w:rFonts w:ascii="Cambria Math" w:hAnsi="Cambria Math"/>
                  <w:i/>
                </w:rPr>
              </m:ctrlPr>
            </m:dPr>
            <m:e>
              <m:r>
                <w:rPr>
                  <w:rFonts w:ascii="Cambria Math" w:hAnsi="Cambria Math"/>
                </w:rPr>
                <m:t>X,IP,Y</m:t>
              </m:r>
            </m:e>
          </m:d>
          <m:r>
            <w:rPr>
              <w:rFonts w:ascii="Cambria Math" w:hAnsi="Cambria Math"/>
            </w:rPr>
            <m:t xml:space="preserve">= </m:t>
          </m:r>
          <m:nary>
            <m:naryPr>
              <m:chr m:val="∑"/>
              <m:limLoc m:val="subSup"/>
              <m:ctrlPr>
                <w:rPr>
                  <w:rFonts w:ascii="Cambria Math" w:hAnsi="Cambria Math"/>
                  <w:i/>
                </w:rPr>
              </m:ctrlPr>
            </m:naryPr>
            <m:sub>
              <m:r>
                <w:rPr>
                  <w:rFonts w:ascii="Cambria Math" w:hAnsi="Cambria Math"/>
                </w:rPr>
                <m:t>i=1</m:t>
              </m:r>
            </m:sub>
            <m:sup>
              <m:r>
                <w:rPr>
                  <w:rFonts w:ascii="Cambria Math" w:hAnsi="Cambria Math"/>
                </w:rPr>
                <m:t>IP</m:t>
              </m:r>
            </m:sup>
            <m:e>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i</m:t>
                      </m:r>
                    </m:sub>
                  </m:sSub>
                </m:num>
                <m:den>
                  <m:sSup>
                    <m:sSupPr>
                      <m:ctrlPr>
                        <w:rPr>
                          <w:rFonts w:ascii="Cambria Math" w:hAnsi="Cambria Math"/>
                          <w:i/>
                        </w:rPr>
                      </m:ctrlPr>
                    </m:sSupPr>
                    <m:e>
                      <m:r>
                        <w:rPr>
                          <w:rFonts w:ascii="Cambria Math" w:hAnsi="Cambria Math"/>
                        </w:rPr>
                        <m:t>[1+X]</m:t>
                      </m:r>
                    </m:e>
                    <m:sup>
                      <m:r>
                        <w:rPr>
                          <w:rFonts w:ascii="Cambria Math" w:hAnsi="Cambria Math"/>
                        </w:rPr>
                        <m:t>i</m:t>
                      </m:r>
                    </m:sup>
                  </m:sSup>
                </m:den>
              </m:f>
            </m:e>
          </m:nary>
        </m:oMath>
      </m:oMathPara>
    </w:p>
    <w:p w14:paraId="7B221344" w14:textId="77777777" w:rsidR="006D2D8E" w:rsidRDefault="006D2D8E" w:rsidP="00E85133">
      <w:pPr>
        <w:widowControl w:val="0"/>
        <w:snapToGrid w:val="0"/>
      </w:pPr>
      <w:r>
        <w:t>Note, each of these components is considered separated in the remainder of this document because:</w:t>
      </w:r>
    </w:p>
    <w:p w14:paraId="654A1967" w14:textId="77777777" w:rsidR="006D2D8E" w:rsidRPr="00F548F2" w:rsidRDefault="006D2D8E" w:rsidP="006D2D8E">
      <w:pPr>
        <w:spacing w:before="300" w:after="300"/>
      </w:pPr>
      <m:oMathPara>
        <m:oMath>
          <m:r>
            <w:rPr>
              <w:rFonts w:ascii="Cambria Math" w:hAnsi="Cambria Math"/>
            </w:rPr>
            <m:t>NPV</m:t>
          </m:r>
          <m:d>
            <m:dPr>
              <m:ctrlPr>
                <w:rPr>
                  <w:rFonts w:ascii="Cambria Math" w:hAnsi="Cambria Math"/>
                  <w:i/>
                </w:rPr>
              </m:ctrlPr>
            </m:dPr>
            <m:e>
              <m:r>
                <w:rPr>
                  <w:rFonts w:ascii="Cambria Math" w:hAnsi="Cambria Math"/>
                </w:rPr>
                <m:t>X,IP,Y+Z</m:t>
              </m:r>
            </m:e>
          </m:d>
          <m:r>
            <w:rPr>
              <w:rFonts w:ascii="Cambria Math" w:hAnsi="Cambria Math"/>
            </w:rPr>
            <m:t>= NPV</m:t>
          </m:r>
          <m:d>
            <m:dPr>
              <m:ctrlPr>
                <w:rPr>
                  <w:rFonts w:ascii="Cambria Math" w:hAnsi="Cambria Math"/>
                  <w:i/>
                </w:rPr>
              </m:ctrlPr>
            </m:dPr>
            <m:e>
              <m:r>
                <w:rPr>
                  <w:rFonts w:ascii="Cambria Math" w:hAnsi="Cambria Math"/>
                </w:rPr>
                <m:t>X,IP,Y</m:t>
              </m:r>
            </m:e>
          </m:d>
          <m:r>
            <w:rPr>
              <w:rFonts w:ascii="Cambria Math" w:hAnsi="Cambria Math"/>
            </w:rPr>
            <m:t>+NPV</m:t>
          </m:r>
          <m:d>
            <m:dPr>
              <m:ctrlPr>
                <w:rPr>
                  <w:rFonts w:ascii="Cambria Math" w:hAnsi="Cambria Math"/>
                  <w:i/>
                </w:rPr>
              </m:ctrlPr>
            </m:dPr>
            <m:e>
              <m:r>
                <w:rPr>
                  <w:rFonts w:ascii="Cambria Math" w:hAnsi="Cambria Math"/>
                </w:rPr>
                <m:t>X,IP,Z</m:t>
              </m:r>
            </m:e>
          </m:d>
        </m:oMath>
      </m:oMathPara>
    </w:p>
    <w:p w14:paraId="68A05B5A" w14:textId="231E4A1A" w:rsidR="006D2D8E" w:rsidRDefault="00C173F7" w:rsidP="006D2D8E">
      <w:pPr>
        <w:spacing w:before="300" w:after="300"/>
      </w:pPr>
      <w:r>
        <w:t>An</w:t>
      </w:r>
      <w:r w:rsidR="006D2D8E">
        <w:t xml:space="preserve"> alternate calculation for </w:t>
      </w:r>
      <w:proofErr w:type="spellStart"/>
      <w:proofErr w:type="gramStart"/>
      <w:r w:rsidR="006D2D8E" w:rsidRPr="00C173F7">
        <w:rPr>
          <w:b/>
          <w:bCs/>
        </w:rPr>
        <w:t>Discounted.Cash.Flow</w:t>
      </w:r>
      <w:proofErr w:type="spellEnd"/>
      <w:proofErr w:type="gramEnd"/>
      <w:r w:rsidR="006D2D8E">
        <w:t xml:space="preserve"> </w:t>
      </w:r>
      <w:r>
        <w:t xml:space="preserve">is therefore </w:t>
      </w:r>
      <w:r w:rsidR="006D2D8E">
        <w:t>as follows:</w:t>
      </w:r>
    </w:p>
    <w:p w14:paraId="6ADD6D53" w14:textId="77777777" w:rsidR="006D2D8E" w:rsidRPr="00C96B47" w:rsidRDefault="006D2D8E" w:rsidP="006D2D8E">
      <w:pPr>
        <w:spacing w:before="300" w:after="300"/>
        <w:rPr>
          <w:rFonts w:ascii="Cambria Math" w:hAnsi="Cambria Math"/>
          <w:i/>
        </w:rPr>
      </w:pPr>
      <m:oMathPara>
        <m:oMath>
          <m:r>
            <w:rPr>
              <w:rFonts w:ascii="Cambria Math" w:hAnsi="Cambria Math"/>
            </w:rPr>
            <m:t>NPV.Residual.Value+NPV.Rent-NPV.Ownership.Cost- NPV.Tax.Cost- Aquisition.Cost</m:t>
          </m:r>
        </m:oMath>
      </m:oMathPara>
    </w:p>
    <w:p w14:paraId="4BB7FCFE" w14:textId="77777777" w:rsidR="006D2D8E" w:rsidRDefault="006D2D8E" w:rsidP="006D2D8E">
      <w:pPr>
        <w:spacing w:before="300" w:after="300"/>
      </w:pPr>
      <w:proofErr w:type="gramStart"/>
      <w:r>
        <w:t>Where</w:t>
      </w:r>
      <w:proofErr w:type="gramEnd"/>
    </w:p>
    <w:p w14:paraId="6C716F37" w14:textId="77777777" w:rsidR="006D54C9" w:rsidRDefault="006D54C9" w:rsidP="006D54C9">
      <w:pPr>
        <w:pStyle w:val="ListParagraph"/>
        <w:numPr>
          <w:ilvl w:val="0"/>
          <w:numId w:val="4"/>
        </w:numPr>
      </w:pPr>
      <w:proofErr w:type="spellStart"/>
      <w:r w:rsidRPr="00CE1A6C">
        <w:rPr>
          <w:b/>
          <w:bCs/>
        </w:rPr>
        <w:t>Acquisition.Cost</w:t>
      </w:r>
      <w:proofErr w:type="spellEnd"/>
      <w:r>
        <w:t xml:space="preserve"> is the initial efficient cost of purchasing the SDA property</w:t>
      </w:r>
    </w:p>
    <w:p w14:paraId="56C4941B" w14:textId="77777777" w:rsidR="006D2D8E" w:rsidRPr="00C57F4A" w:rsidRDefault="006D2D8E" w:rsidP="004F3A11">
      <w:pPr>
        <w:pStyle w:val="ListParagraph"/>
        <w:numPr>
          <w:ilvl w:val="0"/>
          <w:numId w:val="4"/>
        </w:numPr>
      </w:pPr>
      <w:proofErr w:type="spellStart"/>
      <w:proofErr w:type="gramStart"/>
      <w:r w:rsidRPr="00CE1A6C">
        <w:rPr>
          <w:b/>
          <w:bCs/>
        </w:rPr>
        <w:t>NPV.Residual.Value</w:t>
      </w:r>
      <w:proofErr w:type="spellEnd"/>
      <w:proofErr w:type="gramEnd"/>
      <w:r>
        <w:t xml:space="preserve"> is the net present value of the net resale value of the dwelling and land at the end of the investment period, discounted by the NATWACC.</w:t>
      </w:r>
    </w:p>
    <w:p w14:paraId="4E72A4DA" w14:textId="5E53CFCF" w:rsidR="006D2D8E" w:rsidRPr="00ED1120" w:rsidRDefault="006D2D8E" w:rsidP="004F3A11">
      <w:pPr>
        <w:pStyle w:val="ListParagraph"/>
        <w:numPr>
          <w:ilvl w:val="0"/>
          <w:numId w:val="4"/>
        </w:numPr>
      </w:pPr>
      <w:proofErr w:type="spellStart"/>
      <w:r w:rsidRPr="00CE1A6C">
        <w:rPr>
          <w:b/>
          <w:bCs/>
        </w:rPr>
        <w:t>NPV.Rent</w:t>
      </w:r>
      <w:proofErr w:type="spellEnd"/>
      <w:r>
        <w:t xml:space="preserve"> is the net present value of the rent received from participants </w:t>
      </w:r>
      <w:r w:rsidR="00C32D84">
        <w:t xml:space="preserve">(over and above the SDA amounts paid by the NDIS) </w:t>
      </w:r>
      <w:r>
        <w:t>living in the dwelling over the investment period, discounted by the NATWACC.</w:t>
      </w:r>
    </w:p>
    <w:p w14:paraId="1F2B1F41" w14:textId="77777777" w:rsidR="006D2D8E" w:rsidRDefault="006D2D8E" w:rsidP="004F3A11">
      <w:pPr>
        <w:pStyle w:val="ListParagraph"/>
        <w:numPr>
          <w:ilvl w:val="0"/>
          <w:numId w:val="4"/>
        </w:numPr>
      </w:pPr>
      <w:proofErr w:type="spellStart"/>
      <w:proofErr w:type="gramStart"/>
      <w:r w:rsidRPr="00CE1A6C">
        <w:rPr>
          <w:b/>
          <w:bCs/>
        </w:rPr>
        <w:t>NPV.Ownership.Cost</w:t>
      </w:r>
      <w:proofErr w:type="spellEnd"/>
      <w:proofErr w:type="gramEnd"/>
      <w:r w:rsidRPr="00ED1120">
        <w:t xml:space="preserve"> </w:t>
      </w:r>
      <w:r>
        <w:t>is the net present value of ownership costs incurred in respect of the dwelling over the investment period, discounted by the NATWACC.</w:t>
      </w:r>
    </w:p>
    <w:p w14:paraId="545AD535" w14:textId="77777777" w:rsidR="006D2D8E" w:rsidRDefault="006D2D8E" w:rsidP="004F3A11">
      <w:pPr>
        <w:pStyle w:val="ListParagraph"/>
        <w:numPr>
          <w:ilvl w:val="0"/>
          <w:numId w:val="4"/>
        </w:numPr>
      </w:pPr>
      <w:proofErr w:type="spellStart"/>
      <w:proofErr w:type="gramStart"/>
      <w:r w:rsidRPr="00CE1A6C">
        <w:rPr>
          <w:b/>
          <w:bCs/>
        </w:rPr>
        <w:t>NPV.Tax.Cost</w:t>
      </w:r>
      <w:proofErr w:type="spellEnd"/>
      <w:proofErr w:type="gramEnd"/>
      <w:r w:rsidRPr="00ED1120">
        <w:t xml:space="preserve"> </w:t>
      </w:r>
      <w:r>
        <w:t>is the net present value of tax costs incurred in respect of the cash flow from the dwelling over the investment period, discounted by the NATWACC.</w:t>
      </w:r>
    </w:p>
    <w:p w14:paraId="3DBCC19B" w14:textId="7D37EAC1" w:rsidR="007E59EB" w:rsidRPr="001A07A7" w:rsidRDefault="007858C4" w:rsidP="00244A13">
      <w:pPr>
        <w:pStyle w:val="Heading4"/>
      </w:pPr>
      <w:bookmarkStart w:id="30" w:name="_Ref113461433"/>
      <w:r w:rsidRPr="001A07A7">
        <w:lastRenderedPageBreak/>
        <w:t>Acquisition</w:t>
      </w:r>
      <w:r w:rsidR="00EC29F7" w:rsidRPr="001A07A7">
        <w:t xml:space="preserve"> </w:t>
      </w:r>
      <w:r w:rsidRPr="001A07A7">
        <w:t>Cost</w:t>
      </w:r>
      <w:bookmarkEnd w:id="30"/>
    </w:p>
    <w:p w14:paraId="0D5C31AD" w14:textId="1D7513BE" w:rsidR="00572B5C" w:rsidRDefault="00572B5C" w:rsidP="007F5AEA">
      <w:r>
        <w:t xml:space="preserve">The </w:t>
      </w:r>
      <w:proofErr w:type="spellStart"/>
      <w:r w:rsidRPr="00CE1A6C">
        <w:rPr>
          <w:b/>
          <w:bCs/>
        </w:rPr>
        <w:t>Acquisiton.Cost</w:t>
      </w:r>
      <w:proofErr w:type="spellEnd"/>
      <w:r>
        <w:t xml:space="preserve"> parameter represents the initial efficient cost of purchasing the SDA property and is the sum of two components </w:t>
      </w:r>
      <w:proofErr w:type="spellStart"/>
      <w:r w:rsidRPr="00CE1A6C">
        <w:rPr>
          <w:b/>
          <w:bCs/>
        </w:rPr>
        <w:t>Build.</w:t>
      </w:r>
      <w:r w:rsidR="0059594F">
        <w:rPr>
          <w:b/>
          <w:bCs/>
        </w:rPr>
        <w:t>Cost</w:t>
      </w:r>
      <w:proofErr w:type="spellEnd"/>
      <w:r>
        <w:t xml:space="preserve"> and </w:t>
      </w:r>
      <w:proofErr w:type="spellStart"/>
      <w:r w:rsidRPr="00CE1A6C">
        <w:rPr>
          <w:b/>
          <w:bCs/>
        </w:rPr>
        <w:t>Land.</w:t>
      </w:r>
      <w:r w:rsidR="0059594F">
        <w:rPr>
          <w:b/>
          <w:bCs/>
        </w:rPr>
        <w:t>Cost</w:t>
      </w:r>
      <w:proofErr w:type="spellEnd"/>
      <w:r>
        <w:t xml:space="preserve">. </w:t>
      </w:r>
    </w:p>
    <w:p w14:paraId="24EA6F93" w14:textId="4473C6B8" w:rsidR="00572B5C" w:rsidRPr="003C1C9E" w:rsidRDefault="00572B5C" w:rsidP="007F5AEA">
      <w:pPr>
        <w:spacing w:before="300" w:after="300"/>
        <w:rPr>
          <w:rFonts w:ascii="Cambria Math" w:hAnsi="Cambria Math"/>
        </w:rPr>
      </w:pPr>
      <m:oMathPara>
        <m:oMath>
          <m:r>
            <w:rPr>
              <w:rFonts w:ascii="Cambria Math" w:hAnsi="Cambria Math"/>
            </w:rPr>
            <m:t>Acquisition.Cost=Build.Cost+Land.Cost</m:t>
          </m:r>
        </m:oMath>
      </m:oMathPara>
    </w:p>
    <w:p w14:paraId="50C716F2" w14:textId="0F1054A0" w:rsidR="007858C4" w:rsidRPr="006D54C9" w:rsidRDefault="0059594F" w:rsidP="007F5AEA">
      <w:pPr>
        <w:pStyle w:val="Heading5"/>
      </w:pPr>
      <w:r>
        <w:t>Cost of Building</w:t>
      </w:r>
    </w:p>
    <w:p w14:paraId="00C812C4" w14:textId="5EB50B71" w:rsidR="00231272" w:rsidRPr="00E3250F" w:rsidRDefault="00231272" w:rsidP="007F5AEA">
      <w:r>
        <w:t xml:space="preserve">The </w:t>
      </w:r>
      <w:proofErr w:type="spellStart"/>
      <w:r w:rsidRPr="00CE1A6C">
        <w:rPr>
          <w:b/>
          <w:bCs/>
        </w:rPr>
        <w:t>Build.</w:t>
      </w:r>
      <w:r w:rsidR="0059594F">
        <w:rPr>
          <w:b/>
          <w:bCs/>
        </w:rPr>
        <w:t>Cost</w:t>
      </w:r>
      <w:proofErr w:type="spellEnd"/>
      <w:r>
        <w:t xml:space="preserve"> parameter represents the initial (all inclusive) efficient costs of building the property in 2015-16. </w:t>
      </w:r>
    </w:p>
    <w:p w14:paraId="16849C4F" w14:textId="1664AE7F" w:rsidR="00231272" w:rsidRPr="00E3250F" w:rsidRDefault="00231272" w:rsidP="007F5AEA">
      <w:pPr>
        <w:spacing w:before="300" w:after="300"/>
        <w:rPr>
          <w:rFonts w:ascii="Cambria Math" w:hAnsi="Cambria Math"/>
          <w:i/>
        </w:rPr>
      </w:pPr>
      <m:oMathPara>
        <m:oMath>
          <m:r>
            <w:rPr>
              <w:rFonts w:ascii="Cambria Math" w:hAnsi="Cambria Math"/>
            </w:rPr>
            <m:t>Build.Cost=Build.Baseline*Build.Multiplier.Location*Build.Multiplier.Cyclone</m:t>
          </m:r>
        </m:oMath>
      </m:oMathPara>
    </w:p>
    <w:p w14:paraId="786D3187" w14:textId="77777777" w:rsidR="00231272" w:rsidRDefault="00231272" w:rsidP="007F5AEA">
      <w:proofErr w:type="gramStart"/>
      <w:r>
        <w:t>Where</w:t>
      </w:r>
      <w:proofErr w:type="gramEnd"/>
    </w:p>
    <w:p w14:paraId="1012018B" w14:textId="739E5CCF" w:rsidR="00231272" w:rsidRDefault="00231272" w:rsidP="007F5AEA">
      <w:pPr>
        <w:pStyle w:val="ListParagraph"/>
        <w:numPr>
          <w:ilvl w:val="0"/>
          <w:numId w:val="3"/>
        </w:numPr>
      </w:pPr>
      <w:proofErr w:type="spellStart"/>
      <w:r w:rsidRPr="00CE1A6C">
        <w:rPr>
          <w:b/>
          <w:bCs/>
        </w:rPr>
        <w:t>Build.Baseline</w:t>
      </w:r>
      <w:proofErr w:type="spellEnd"/>
      <w:r>
        <w:t xml:space="preserve"> represents the initial (all inclusive) efficient cost of building a property in Melbourne</w:t>
      </w:r>
      <w:r w:rsidR="00C173F7">
        <w:t>. The current assumptions are</w:t>
      </w:r>
      <w:r w:rsidR="00CC5D84">
        <w:t xml:space="preserve"> </w:t>
      </w:r>
      <w:r w:rsidR="00C173F7">
        <w:t xml:space="preserve">in </w:t>
      </w:r>
      <w:r w:rsidRPr="00FA12C8">
        <w:rPr>
          <w:b/>
        </w:rPr>
        <w:fldChar w:fldCharType="begin"/>
      </w:r>
      <w:r w:rsidRPr="00FA12C8">
        <w:rPr>
          <w:b/>
        </w:rPr>
        <w:instrText xml:space="preserve"> REF _Ref102134600 \h </w:instrText>
      </w:r>
      <w:r w:rsidR="00CC5D84" w:rsidRPr="00FA12C8">
        <w:rPr>
          <w:b/>
        </w:rPr>
        <w:instrText xml:space="preserve"> \* MERGEFORMAT </w:instrText>
      </w:r>
      <w:r w:rsidRPr="00FA12C8">
        <w:rPr>
          <w:b/>
        </w:rPr>
      </w:r>
      <w:r w:rsidRPr="00FA12C8">
        <w:rPr>
          <w:b/>
        </w:rPr>
        <w:fldChar w:fldCharType="separate"/>
      </w:r>
      <w:r w:rsidR="00765987" w:rsidRPr="00765987">
        <w:rPr>
          <w:b/>
        </w:rPr>
        <w:t>Table 7</w:t>
      </w:r>
      <w:r w:rsidRPr="00FA12C8">
        <w:rPr>
          <w:b/>
        </w:rPr>
        <w:fldChar w:fldCharType="end"/>
      </w:r>
      <w:r w:rsidRPr="009679B3">
        <w:t xml:space="preserve">, </w:t>
      </w:r>
      <w:r w:rsidRPr="00FA12C8">
        <w:rPr>
          <w:b/>
        </w:rPr>
        <w:fldChar w:fldCharType="begin"/>
      </w:r>
      <w:r w:rsidRPr="00FA12C8">
        <w:rPr>
          <w:b/>
        </w:rPr>
        <w:instrText xml:space="preserve"> REF _Ref102139421 \h </w:instrText>
      </w:r>
      <w:r w:rsidR="00CC5D84" w:rsidRPr="00FA12C8">
        <w:rPr>
          <w:b/>
        </w:rPr>
        <w:instrText xml:space="preserve"> \* MERGEFORMAT </w:instrText>
      </w:r>
      <w:r w:rsidRPr="00FA12C8">
        <w:rPr>
          <w:b/>
        </w:rPr>
      </w:r>
      <w:r w:rsidRPr="00FA12C8">
        <w:rPr>
          <w:b/>
        </w:rPr>
        <w:fldChar w:fldCharType="separate"/>
      </w:r>
      <w:r w:rsidR="00765987" w:rsidRPr="00765987">
        <w:rPr>
          <w:b/>
        </w:rPr>
        <w:t>Table 8</w:t>
      </w:r>
      <w:r w:rsidRPr="00FA12C8">
        <w:rPr>
          <w:b/>
        </w:rPr>
        <w:fldChar w:fldCharType="end"/>
      </w:r>
      <w:r w:rsidRPr="009679B3">
        <w:t xml:space="preserve"> and </w:t>
      </w:r>
      <w:r w:rsidRPr="00FA12C8">
        <w:rPr>
          <w:b/>
        </w:rPr>
        <w:fldChar w:fldCharType="begin"/>
      </w:r>
      <w:r w:rsidRPr="00FA12C8">
        <w:rPr>
          <w:b/>
        </w:rPr>
        <w:instrText xml:space="preserve"> REF _Ref102139413 \h </w:instrText>
      </w:r>
      <w:r w:rsidR="00CC5D84" w:rsidRPr="00FA12C8">
        <w:rPr>
          <w:b/>
        </w:rPr>
        <w:instrText xml:space="preserve"> \* MERGEFORMAT </w:instrText>
      </w:r>
      <w:r w:rsidRPr="00FA12C8">
        <w:rPr>
          <w:b/>
        </w:rPr>
      </w:r>
      <w:r w:rsidRPr="00FA12C8">
        <w:rPr>
          <w:b/>
        </w:rPr>
        <w:fldChar w:fldCharType="separate"/>
      </w:r>
      <w:r w:rsidR="00765987" w:rsidRPr="00765987">
        <w:rPr>
          <w:b/>
        </w:rPr>
        <w:t>Table 9</w:t>
      </w:r>
      <w:r w:rsidRPr="00FA12C8">
        <w:rPr>
          <w:b/>
        </w:rPr>
        <w:fldChar w:fldCharType="end"/>
      </w:r>
      <w:r w:rsidRPr="009679B3">
        <w:t xml:space="preserve">. </w:t>
      </w:r>
    </w:p>
    <w:p w14:paraId="1DD1E62C" w14:textId="35906F68" w:rsidR="00231272" w:rsidRDefault="00231272" w:rsidP="007F5AEA">
      <w:pPr>
        <w:pStyle w:val="ListParagraph"/>
        <w:numPr>
          <w:ilvl w:val="0"/>
          <w:numId w:val="3"/>
        </w:numPr>
      </w:pPr>
      <w:proofErr w:type="spellStart"/>
      <w:proofErr w:type="gramStart"/>
      <w:r w:rsidRPr="00CE1A6C">
        <w:rPr>
          <w:b/>
          <w:bCs/>
        </w:rPr>
        <w:t>Build.Multiplier.Location</w:t>
      </w:r>
      <w:proofErr w:type="spellEnd"/>
      <w:proofErr w:type="gramEnd"/>
      <w:r>
        <w:t xml:space="preserve"> adjusts the build cost for the geographic location of the dwelling</w:t>
      </w:r>
      <w:r w:rsidR="00CC5D84">
        <w:t xml:space="preserve">. The current assumptions are set out in </w:t>
      </w:r>
      <w:r w:rsidRPr="00FA12C8">
        <w:rPr>
          <w:b/>
        </w:rPr>
        <w:fldChar w:fldCharType="begin"/>
      </w:r>
      <w:r w:rsidRPr="00FA12C8">
        <w:rPr>
          <w:b/>
        </w:rPr>
        <w:instrText xml:space="preserve"> REF _Ref102134607 \h </w:instrText>
      </w:r>
      <w:r w:rsidR="00CC5D84" w:rsidRPr="00FA12C8">
        <w:rPr>
          <w:b/>
        </w:rPr>
        <w:instrText xml:space="preserve"> \* MERGEFORMAT </w:instrText>
      </w:r>
      <w:r w:rsidRPr="00FA12C8">
        <w:rPr>
          <w:b/>
        </w:rPr>
      </w:r>
      <w:r w:rsidRPr="00FA12C8">
        <w:rPr>
          <w:b/>
        </w:rPr>
        <w:fldChar w:fldCharType="separate"/>
      </w:r>
      <w:r w:rsidR="00765987" w:rsidRPr="00765987">
        <w:rPr>
          <w:b/>
        </w:rPr>
        <w:t>Table 10</w:t>
      </w:r>
      <w:r w:rsidRPr="00FA12C8">
        <w:rPr>
          <w:b/>
        </w:rPr>
        <w:fldChar w:fldCharType="end"/>
      </w:r>
      <w:r w:rsidR="00CC5D84">
        <w:t>.</w:t>
      </w:r>
    </w:p>
    <w:p w14:paraId="1877F410" w14:textId="77777777" w:rsidR="00231272" w:rsidRDefault="00231272" w:rsidP="007F5AEA">
      <w:pPr>
        <w:pStyle w:val="ListParagraph"/>
        <w:numPr>
          <w:ilvl w:val="0"/>
          <w:numId w:val="3"/>
        </w:numPr>
      </w:pPr>
      <w:proofErr w:type="spellStart"/>
      <w:proofErr w:type="gramStart"/>
      <w:r w:rsidRPr="00CC5D84">
        <w:rPr>
          <w:b/>
          <w:bCs/>
        </w:rPr>
        <w:t>Build.Multiplier.Cyclone</w:t>
      </w:r>
      <w:proofErr w:type="spellEnd"/>
      <w:proofErr w:type="gramEnd"/>
      <w:r>
        <w:t xml:space="preserve"> adjusts the build cost of the dwelling for regions that are prone to cyclones.</w:t>
      </w:r>
    </w:p>
    <w:p w14:paraId="4CDAC7A1" w14:textId="77EE39F7" w:rsidR="00231272" w:rsidRPr="006D54C9" w:rsidRDefault="00572304" w:rsidP="007F5AEA">
      <w:pPr>
        <w:pStyle w:val="Heading5"/>
      </w:pPr>
      <w:r w:rsidRPr="006D54C9">
        <w:t>Baseline</w:t>
      </w:r>
      <w:r w:rsidR="00AA37C7">
        <w:t xml:space="preserve"> Building Costs</w:t>
      </w:r>
    </w:p>
    <w:p w14:paraId="00293FB6" w14:textId="200EC479" w:rsidR="003502D9" w:rsidRDefault="003502D9" w:rsidP="007F5AEA">
      <w:r>
        <w:t xml:space="preserve">The value of </w:t>
      </w:r>
      <w:proofErr w:type="spellStart"/>
      <w:r w:rsidRPr="00CE1A6C">
        <w:rPr>
          <w:b/>
          <w:bCs/>
        </w:rPr>
        <w:t>Build</w:t>
      </w:r>
      <w:r w:rsidR="005C1107">
        <w:rPr>
          <w:b/>
          <w:bCs/>
        </w:rPr>
        <w:t>.</w:t>
      </w:r>
      <w:r w:rsidRPr="00CE1A6C">
        <w:rPr>
          <w:b/>
          <w:bCs/>
        </w:rPr>
        <w:t>Baseline</w:t>
      </w:r>
      <w:proofErr w:type="spellEnd"/>
      <w:r>
        <w:t xml:space="preserve"> varies by Type of dwelling, Number of Bedrooms in the dwelling and Design Category</w:t>
      </w:r>
      <w:r w:rsidR="00CC5D84">
        <w:t xml:space="preserve">. </w:t>
      </w:r>
      <w:r w:rsidRPr="00FA12C8">
        <w:rPr>
          <w:b/>
        </w:rPr>
        <w:fldChar w:fldCharType="begin"/>
      </w:r>
      <w:r w:rsidRPr="00FA12C8">
        <w:rPr>
          <w:b/>
        </w:rPr>
        <w:instrText xml:space="preserve"> REF _Ref102134600 \h </w:instrText>
      </w:r>
      <w:r w:rsidR="00CC5D84" w:rsidRPr="00FA12C8">
        <w:rPr>
          <w:b/>
        </w:rPr>
        <w:instrText xml:space="preserve"> \* MERGEFORMAT </w:instrText>
      </w:r>
      <w:r w:rsidRPr="00FA12C8">
        <w:rPr>
          <w:b/>
        </w:rPr>
      </w:r>
      <w:r w:rsidRPr="00FA12C8">
        <w:rPr>
          <w:b/>
        </w:rPr>
        <w:fldChar w:fldCharType="separate"/>
      </w:r>
      <w:r w:rsidR="00765987" w:rsidRPr="00765987">
        <w:rPr>
          <w:b/>
        </w:rPr>
        <w:t>Table 7</w:t>
      </w:r>
      <w:r w:rsidRPr="00FA12C8">
        <w:rPr>
          <w:b/>
        </w:rPr>
        <w:fldChar w:fldCharType="end"/>
      </w:r>
      <w:r>
        <w:t xml:space="preserve"> </w:t>
      </w:r>
      <w:r w:rsidR="00CC5D84">
        <w:t xml:space="preserve">sets out the current assumptions </w:t>
      </w:r>
      <w:r>
        <w:t>for dwellings that do not include Onsite Overnight Accommodation.</w:t>
      </w:r>
    </w:p>
    <w:p w14:paraId="497DE2E3" w14:textId="1D383506" w:rsidR="003502D9" w:rsidRPr="00392B76" w:rsidRDefault="003502D9" w:rsidP="007F5AEA">
      <w:pPr>
        <w:pStyle w:val="Caption"/>
        <w:spacing w:before="120"/>
        <w:rPr>
          <w:color w:val="6B2976" w:themeColor="text1"/>
        </w:rPr>
      </w:pPr>
      <w:bookmarkStart w:id="31" w:name="_Ref102134600"/>
      <w:r w:rsidRPr="00392B76">
        <w:rPr>
          <w:color w:val="6B2976" w:themeColor="text1"/>
        </w:rPr>
        <w:t xml:space="preserve">Table </w:t>
      </w:r>
      <w:r w:rsidRPr="00392B76">
        <w:rPr>
          <w:color w:val="6B2976" w:themeColor="text1"/>
        </w:rPr>
        <w:fldChar w:fldCharType="begin"/>
      </w:r>
      <w:r w:rsidRPr="00392B76">
        <w:rPr>
          <w:color w:val="6B2976" w:themeColor="text1"/>
        </w:rPr>
        <w:instrText xml:space="preserve"> SEQ Table \* ARABIC </w:instrText>
      </w:r>
      <w:r w:rsidRPr="00392B76">
        <w:rPr>
          <w:color w:val="6B2976" w:themeColor="text1"/>
        </w:rPr>
        <w:fldChar w:fldCharType="separate"/>
      </w:r>
      <w:r w:rsidR="00765987">
        <w:rPr>
          <w:noProof/>
          <w:color w:val="6B2976" w:themeColor="text1"/>
        </w:rPr>
        <w:t>7</w:t>
      </w:r>
      <w:r w:rsidRPr="00392B76">
        <w:rPr>
          <w:color w:val="6B2976" w:themeColor="text1"/>
        </w:rPr>
        <w:fldChar w:fldCharType="end"/>
      </w:r>
      <w:bookmarkEnd w:id="31"/>
      <w:r w:rsidRPr="00392B76">
        <w:rPr>
          <w:color w:val="6B2976" w:themeColor="text1"/>
        </w:rPr>
        <w:t xml:space="preserve">: </w:t>
      </w:r>
      <w:r>
        <w:rPr>
          <w:color w:val="6B2976" w:themeColor="text1"/>
        </w:rPr>
        <w:t>Build Cost without OOA</w:t>
      </w:r>
    </w:p>
    <w:tbl>
      <w:tblPr>
        <w:tblStyle w:val="GridTable4"/>
        <w:tblW w:w="5000" w:type="pct"/>
        <w:tblLook w:val="0420" w:firstRow="1" w:lastRow="0" w:firstColumn="0" w:lastColumn="0" w:noHBand="0" w:noVBand="1"/>
      </w:tblPr>
      <w:tblGrid>
        <w:gridCol w:w="2115"/>
        <w:gridCol w:w="1008"/>
        <w:gridCol w:w="1179"/>
        <w:gridCol w:w="1179"/>
        <w:gridCol w:w="1179"/>
        <w:gridCol w:w="1179"/>
        <w:gridCol w:w="1178"/>
      </w:tblGrid>
      <w:tr w:rsidR="003502D9" w:rsidRPr="004B2A97" w14:paraId="079C879A" w14:textId="77777777" w:rsidTr="00037CD9">
        <w:trPr>
          <w:cnfStyle w:val="100000000000" w:firstRow="1" w:lastRow="0" w:firstColumn="0" w:lastColumn="0" w:oddVBand="0" w:evenVBand="0" w:oddHBand="0" w:evenHBand="0" w:firstRowFirstColumn="0" w:firstRowLastColumn="0" w:lastRowFirstColumn="0" w:lastRowLastColumn="0"/>
        </w:trPr>
        <w:tc>
          <w:tcPr>
            <w:tcW w:w="1172" w:type="pct"/>
            <w:hideMark/>
          </w:tcPr>
          <w:p w14:paraId="7D75FA06" w14:textId="77777777" w:rsidR="003502D9" w:rsidRPr="004B2A97" w:rsidRDefault="003502D9" w:rsidP="00434E85">
            <w:pPr>
              <w:spacing w:line="200" w:lineRule="atLeast"/>
              <w:jc w:val="center"/>
              <w:rPr>
                <w:rFonts w:eastAsia="Times New Roman" w:cstheme="minorHAnsi"/>
                <w:szCs w:val="16"/>
                <w:lang w:eastAsia="en-AU"/>
              </w:rPr>
            </w:pPr>
            <w:r w:rsidRPr="004B2A97">
              <w:rPr>
                <w:rFonts w:eastAsia="Times New Roman" w:cstheme="minorHAnsi"/>
                <w:szCs w:val="16"/>
                <w:lang w:eastAsia="en-AU"/>
              </w:rPr>
              <w:t>Building Type</w:t>
            </w:r>
          </w:p>
        </w:tc>
        <w:tc>
          <w:tcPr>
            <w:tcW w:w="559" w:type="pct"/>
            <w:hideMark/>
          </w:tcPr>
          <w:p w14:paraId="3205C56C" w14:textId="77777777" w:rsidR="003502D9" w:rsidRPr="004B2A97" w:rsidRDefault="003502D9" w:rsidP="00434E85">
            <w:pPr>
              <w:spacing w:line="200" w:lineRule="atLeast"/>
              <w:jc w:val="center"/>
              <w:rPr>
                <w:rFonts w:eastAsia="Times New Roman" w:cstheme="minorHAnsi"/>
                <w:szCs w:val="16"/>
                <w:lang w:eastAsia="en-AU"/>
              </w:rPr>
            </w:pPr>
            <w:r w:rsidRPr="004B2A97">
              <w:rPr>
                <w:rFonts w:eastAsia="Times New Roman" w:cstheme="minorHAnsi"/>
                <w:szCs w:val="16"/>
                <w:lang w:eastAsia="en-AU"/>
              </w:rPr>
              <w:t>Bedrooms</w:t>
            </w:r>
          </w:p>
        </w:tc>
        <w:tc>
          <w:tcPr>
            <w:tcW w:w="654" w:type="pct"/>
            <w:noWrap/>
            <w:hideMark/>
          </w:tcPr>
          <w:p w14:paraId="227382D9" w14:textId="77777777" w:rsidR="003502D9" w:rsidRPr="004B2A97" w:rsidRDefault="003502D9" w:rsidP="00434E85">
            <w:pPr>
              <w:spacing w:line="200" w:lineRule="atLeast"/>
              <w:jc w:val="center"/>
              <w:rPr>
                <w:rFonts w:eastAsia="Times New Roman" w:cstheme="minorHAnsi"/>
                <w:szCs w:val="16"/>
                <w:lang w:eastAsia="en-AU"/>
              </w:rPr>
            </w:pPr>
            <w:r>
              <w:rPr>
                <w:rFonts w:eastAsia="Times New Roman" w:cstheme="minorHAnsi"/>
                <w:szCs w:val="16"/>
                <w:lang w:eastAsia="en-AU"/>
              </w:rPr>
              <w:t>Basic</w:t>
            </w:r>
          </w:p>
        </w:tc>
        <w:tc>
          <w:tcPr>
            <w:tcW w:w="654" w:type="pct"/>
            <w:hideMark/>
          </w:tcPr>
          <w:p w14:paraId="446F84AA" w14:textId="32C0035B" w:rsidR="003502D9" w:rsidRPr="004B2A97" w:rsidRDefault="003502D9" w:rsidP="00434E85">
            <w:pPr>
              <w:spacing w:line="200" w:lineRule="atLeast"/>
              <w:jc w:val="center"/>
              <w:rPr>
                <w:rFonts w:eastAsia="Times New Roman" w:cstheme="minorHAnsi"/>
                <w:szCs w:val="16"/>
                <w:lang w:eastAsia="en-AU"/>
              </w:rPr>
            </w:pPr>
            <w:r w:rsidRPr="004B2A97">
              <w:rPr>
                <w:rFonts w:eastAsia="Times New Roman" w:cstheme="minorHAnsi"/>
                <w:szCs w:val="16"/>
                <w:lang w:eastAsia="en-AU"/>
              </w:rPr>
              <w:t xml:space="preserve">Improved </w:t>
            </w:r>
            <w:r w:rsidR="005F132E">
              <w:rPr>
                <w:rFonts w:eastAsia="Times New Roman" w:cstheme="minorHAnsi"/>
                <w:szCs w:val="16"/>
                <w:lang w:eastAsia="en-AU"/>
              </w:rPr>
              <w:t>L</w:t>
            </w:r>
            <w:r w:rsidRPr="004B2A97">
              <w:rPr>
                <w:rFonts w:eastAsia="Times New Roman" w:cstheme="minorHAnsi"/>
                <w:szCs w:val="16"/>
                <w:lang w:eastAsia="en-AU"/>
              </w:rPr>
              <w:t>iveability</w:t>
            </w:r>
          </w:p>
        </w:tc>
        <w:tc>
          <w:tcPr>
            <w:tcW w:w="654" w:type="pct"/>
            <w:hideMark/>
          </w:tcPr>
          <w:p w14:paraId="054152B1" w14:textId="0B4D96C0" w:rsidR="003502D9" w:rsidRPr="004B2A97" w:rsidRDefault="003502D9" w:rsidP="00434E85">
            <w:pPr>
              <w:spacing w:line="200" w:lineRule="atLeast"/>
              <w:jc w:val="center"/>
              <w:rPr>
                <w:rFonts w:eastAsia="Times New Roman" w:cstheme="minorHAnsi"/>
                <w:szCs w:val="16"/>
                <w:lang w:eastAsia="en-AU"/>
              </w:rPr>
            </w:pPr>
            <w:r w:rsidRPr="004B2A97">
              <w:rPr>
                <w:rFonts w:eastAsia="Times New Roman" w:cstheme="minorHAnsi"/>
                <w:szCs w:val="16"/>
                <w:lang w:eastAsia="en-AU"/>
              </w:rPr>
              <w:t xml:space="preserve">Fully </w:t>
            </w:r>
            <w:r w:rsidR="005F132E">
              <w:rPr>
                <w:rFonts w:eastAsia="Times New Roman" w:cstheme="minorHAnsi"/>
                <w:szCs w:val="16"/>
                <w:lang w:eastAsia="en-AU"/>
              </w:rPr>
              <w:t>A</w:t>
            </w:r>
            <w:r w:rsidRPr="004B2A97">
              <w:rPr>
                <w:rFonts w:eastAsia="Times New Roman" w:cstheme="minorHAnsi"/>
                <w:szCs w:val="16"/>
                <w:lang w:eastAsia="en-AU"/>
              </w:rPr>
              <w:t>ccessible</w:t>
            </w:r>
          </w:p>
        </w:tc>
        <w:tc>
          <w:tcPr>
            <w:tcW w:w="654" w:type="pct"/>
            <w:hideMark/>
          </w:tcPr>
          <w:p w14:paraId="360DF71D" w14:textId="77777777" w:rsidR="003502D9" w:rsidRPr="004B2A97" w:rsidRDefault="003502D9" w:rsidP="00434E85">
            <w:pPr>
              <w:spacing w:line="200" w:lineRule="atLeast"/>
              <w:jc w:val="center"/>
              <w:rPr>
                <w:rFonts w:eastAsia="Times New Roman" w:cstheme="minorHAnsi"/>
                <w:szCs w:val="16"/>
                <w:lang w:eastAsia="en-AU"/>
              </w:rPr>
            </w:pPr>
            <w:r w:rsidRPr="004B2A97">
              <w:rPr>
                <w:rFonts w:eastAsia="Times New Roman" w:cstheme="minorHAnsi"/>
                <w:szCs w:val="16"/>
                <w:lang w:eastAsia="en-AU"/>
              </w:rPr>
              <w:t>Robust</w:t>
            </w:r>
          </w:p>
        </w:tc>
        <w:tc>
          <w:tcPr>
            <w:tcW w:w="654" w:type="pct"/>
            <w:hideMark/>
          </w:tcPr>
          <w:p w14:paraId="50CDF0D2" w14:textId="17148AB0" w:rsidR="003502D9" w:rsidRPr="004B2A97" w:rsidRDefault="003502D9" w:rsidP="00434E85">
            <w:pPr>
              <w:spacing w:line="200" w:lineRule="atLeast"/>
              <w:jc w:val="center"/>
              <w:rPr>
                <w:rFonts w:eastAsia="Times New Roman" w:cstheme="minorHAnsi"/>
                <w:szCs w:val="16"/>
                <w:lang w:eastAsia="en-AU"/>
              </w:rPr>
            </w:pPr>
            <w:r w:rsidRPr="004B2A97">
              <w:rPr>
                <w:rFonts w:eastAsia="Times New Roman" w:cstheme="minorHAnsi"/>
                <w:szCs w:val="16"/>
                <w:lang w:eastAsia="en-AU"/>
              </w:rPr>
              <w:t xml:space="preserve">High </w:t>
            </w:r>
            <w:r w:rsidR="005F132E">
              <w:rPr>
                <w:rFonts w:eastAsia="Times New Roman" w:cstheme="minorHAnsi"/>
                <w:szCs w:val="16"/>
                <w:lang w:eastAsia="en-AU"/>
              </w:rPr>
              <w:t xml:space="preserve">Physical </w:t>
            </w:r>
            <w:r w:rsidRPr="004B2A97">
              <w:rPr>
                <w:rFonts w:eastAsia="Times New Roman" w:cstheme="minorHAnsi"/>
                <w:szCs w:val="16"/>
                <w:lang w:eastAsia="en-AU"/>
              </w:rPr>
              <w:t>Support</w:t>
            </w:r>
          </w:p>
        </w:tc>
      </w:tr>
      <w:tr w:rsidR="003502D9" w:rsidRPr="004B2A97" w14:paraId="743AFA6B" w14:textId="77777777" w:rsidTr="00037CD9">
        <w:trPr>
          <w:cnfStyle w:val="000000100000" w:firstRow="0" w:lastRow="0" w:firstColumn="0" w:lastColumn="0" w:oddVBand="0" w:evenVBand="0" w:oddHBand="1" w:evenHBand="0" w:firstRowFirstColumn="0" w:firstRowLastColumn="0" w:lastRowFirstColumn="0" w:lastRowLastColumn="0"/>
        </w:trPr>
        <w:tc>
          <w:tcPr>
            <w:tcW w:w="1172" w:type="pct"/>
            <w:noWrap/>
            <w:hideMark/>
          </w:tcPr>
          <w:p w14:paraId="1B0AD439" w14:textId="77777777" w:rsidR="003502D9" w:rsidRPr="004B2A97" w:rsidRDefault="003502D9"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559" w:type="pct"/>
            <w:noWrap/>
            <w:hideMark/>
          </w:tcPr>
          <w:p w14:paraId="097C47CE" w14:textId="77777777" w:rsidR="003502D9" w:rsidRPr="004B2A97" w:rsidRDefault="003502D9"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1</w:t>
            </w:r>
          </w:p>
        </w:tc>
        <w:tc>
          <w:tcPr>
            <w:tcW w:w="654" w:type="pct"/>
            <w:noWrap/>
            <w:hideMark/>
          </w:tcPr>
          <w:p w14:paraId="7FDB6D0B"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$374,283</w:t>
            </w:r>
          </w:p>
        </w:tc>
        <w:tc>
          <w:tcPr>
            <w:tcW w:w="654" w:type="pct"/>
            <w:noWrap/>
            <w:hideMark/>
          </w:tcPr>
          <w:p w14:paraId="1FF33C94"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$380,330</w:t>
            </w:r>
          </w:p>
        </w:tc>
        <w:tc>
          <w:tcPr>
            <w:tcW w:w="654" w:type="pct"/>
            <w:noWrap/>
            <w:hideMark/>
          </w:tcPr>
          <w:p w14:paraId="5167BDBA"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$574,959</w:t>
            </w:r>
          </w:p>
        </w:tc>
        <w:tc>
          <w:tcPr>
            <w:tcW w:w="654" w:type="pct"/>
            <w:noWrap/>
            <w:hideMark/>
          </w:tcPr>
          <w:p w14:paraId="13E658BF" w14:textId="77777777" w:rsidR="003502D9" w:rsidRPr="009679B3" w:rsidRDefault="003502D9" w:rsidP="00130F86">
            <w:pPr>
              <w:spacing w:line="200" w:lineRule="atLeast"/>
              <w:jc w:val="center"/>
              <w:rPr>
                <w:rFonts w:eastAsia="Times New Roman" w:cstheme="minorHAnsi"/>
                <w:szCs w:val="16"/>
                <w:lang w:eastAsia="en-AU"/>
              </w:rPr>
            </w:pPr>
            <w:proofErr w:type="spellStart"/>
            <w:r w:rsidRPr="009679B3">
              <w:rPr>
                <w:rFonts w:eastAsia="Times New Roman" w:cstheme="minorHAnsi"/>
                <w:szCs w:val="16"/>
                <w:lang w:eastAsia="en-AU"/>
              </w:rPr>
              <w:t>na</w:t>
            </w:r>
            <w:proofErr w:type="spellEnd"/>
          </w:p>
        </w:tc>
        <w:tc>
          <w:tcPr>
            <w:tcW w:w="654" w:type="pct"/>
            <w:noWrap/>
            <w:hideMark/>
          </w:tcPr>
          <w:p w14:paraId="06E75881"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$838,715</w:t>
            </w:r>
          </w:p>
        </w:tc>
      </w:tr>
      <w:tr w:rsidR="003502D9" w:rsidRPr="004B2A97" w14:paraId="708AB190" w14:textId="77777777" w:rsidTr="00037CD9">
        <w:tc>
          <w:tcPr>
            <w:tcW w:w="1172" w:type="pct"/>
            <w:noWrap/>
            <w:hideMark/>
          </w:tcPr>
          <w:p w14:paraId="15A5C57F" w14:textId="77777777" w:rsidR="003502D9" w:rsidRPr="004B2A97" w:rsidRDefault="003502D9"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559" w:type="pct"/>
            <w:noWrap/>
            <w:hideMark/>
          </w:tcPr>
          <w:p w14:paraId="13965EE6" w14:textId="77777777" w:rsidR="003502D9" w:rsidRPr="004B2A97" w:rsidRDefault="003502D9"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654" w:type="pct"/>
            <w:noWrap/>
            <w:hideMark/>
          </w:tcPr>
          <w:p w14:paraId="0AC35528"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$461,796</w:t>
            </w:r>
          </w:p>
        </w:tc>
        <w:tc>
          <w:tcPr>
            <w:tcW w:w="654" w:type="pct"/>
            <w:noWrap/>
            <w:hideMark/>
          </w:tcPr>
          <w:p w14:paraId="02A68A78"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$469,202</w:t>
            </w:r>
          </w:p>
        </w:tc>
        <w:tc>
          <w:tcPr>
            <w:tcW w:w="654" w:type="pct"/>
            <w:noWrap/>
            <w:hideMark/>
          </w:tcPr>
          <w:p w14:paraId="4A1AD424"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$716,527</w:t>
            </w:r>
          </w:p>
        </w:tc>
        <w:tc>
          <w:tcPr>
            <w:tcW w:w="654" w:type="pct"/>
            <w:noWrap/>
            <w:hideMark/>
          </w:tcPr>
          <w:p w14:paraId="02494BEA" w14:textId="77777777" w:rsidR="003502D9" w:rsidRPr="009679B3" w:rsidRDefault="003502D9" w:rsidP="00130F86">
            <w:pPr>
              <w:spacing w:line="200" w:lineRule="atLeast"/>
              <w:jc w:val="center"/>
              <w:rPr>
                <w:rFonts w:eastAsia="Times New Roman" w:cstheme="minorHAnsi"/>
                <w:szCs w:val="16"/>
                <w:lang w:eastAsia="en-AU"/>
              </w:rPr>
            </w:pPr>
            <w:proofErr w:type="spellStart"/>
            <w:r w:rsidRPr="009679B3">
              <w:rPr>
                <w:rFonts w:eastAsia="Times New Roman" w:cstheme="minorHAnsi"/>
                <w:szCs w:val="16"/>
                <w:lang w:eastAsia="en-AU"/>
              </w:rPr>
              <w:t>na</w:t>
            </w:r>
            <w:proofErr w:type="spellEnd"/>
          </w:p>
        </w:tc>
        <w:tc>
          <w:tcPr>
            <w:tcW w:w="654" w:type="pct"/>
            <w:noWrap/>
            <w:hideMark/>
          </w:tcPr>
          <w:p w14:paraId="50F20A87"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$1,060,239</w:t>
            </w:r>
          </w:p>
        </w:tc>
      </w:tr>
      <w:tr w:rsidR="003502D9" w:rsidRPr="004B2A97" w14:paraId="6A5AA813" w14:textId="77777777" w:rsidTr="00037CD9">
        <w:trPr>
          <w:cnfStyle w:val="000000100000" w:firstRow="0" w:lastRow="0" w:firstColumn="0" w:lastColumn="0" w:oddVBand="0" w:evenVBand="0" w:oddHBand="1" w:evenHBand="0" w:firstRowFirstColumn="0" w:firstRowLastColumn="0" w:lastRowFirstColumn="0" w:lastRowLastColumn="0"/>
        </w:trPr>
        <w:tc>
          <w:tcPr>
            <w:tcW w:w="1172" w:type="pct"/>
            <w:noWrap/>
            <w:hideMark/>
          </w:tcPr>
          <w:p w14:paraId="13CACDF6" w14:textId="77777777" w:rsidR="003502D9" w:rsidRPr="004B2A97" w:rsidRDefault="003502D9"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559" w:type="pct"/>
            <w:noWrap/>
            <w:hideMark/>
          </w:tcPr>
          <w:p w14:paraId="664C1887" w14:textId="77777777" w:rsidR="003502D9" w:rsidRPr="004B2A97" w:rsidRDefault="003502D9"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654" w:type="pct"/>
            <w:noWrap/>
            <w:hideMark/>
          </w:tcPr>
          <w:p w14:paraId="1055DBCC"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$590,865</w:t>
            </w:r>
          </w:p>
        </w:tc>
        <w:tc>
          <w:tcPr>
            <w:tcW w:w="654" w:type="pct"/>
            <w:noWrap/>
            <w:hideMark/>
          </w:tcPr>
          <w:p w14:paraId="48DDD20A"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$600,448</w:t>
            </w:r>
          </w:p>
        </w:tc>
        <w:tc>
          <w:tcPr>
            <w:tcW w:w="654" w:type="pct"/>
            <w:noWrap/>
            <w:hideMark/>
          </w:tcPr>
          <w:p w14:paraId="00CF9491"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$928,588</w:t>
            </w:r>
          </w:p>
        </w:tc>
        <w:tc>
          <w:tcPr>
            <w:tcW w:w="654" w:type="pct"/>
            <w:noWrap/>
            <w:hideMark/>
          </w:tcPr>
          <w:p w14:paraId="3683245E" w14:textId="77777777" w:rsidR="003502D9" w:rsidRPr="009679B3" w:rsidRDefault="003502D9" w:rsidP="00130F86">
            <w:pPr>
              <w:spacing w:line="200" w:lineRule="atLeast"/>
              <w:jc w:val="center"/>
              <w:rPr>
                <w:rFonts w:eastAsia="Times New Roman" w:cstheme="minorHAnsi"/>
                <w:szCs w:val="16"/>
                <w:lang w:eastAsia="en-AU"/>
              </w:rPr>
            </w:pPr>
            <w:proofErr w:type="spellStart"/>
            <w:r w:rsidRPr="009679B3">
              <w:rPr>
                <w:rFonts w:eastAsia="Times New Roman" w:cstheme="minorHAnsi"/>
                <w:szCs w:val="16"/>
                <w:lang w:eastAsia="en-AU"/>
              </w:rPr>
              <w:t>na</w:t>
            </w:r>
            <w:proofErr w:type="spellEnd"/>
          </w:p>
        </w:tc>
        <w:tc>
          <w:tcPr>
            <w:tcW w:w="654" w:type="pct"/>
            <w:noWrap/>
            <w:hideMark/>
          </w:tcPr>
          <w:p w14:paraId="6016EBA3"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$1,406,490</w:t>
            </w:r>
          </w:p>
        </w:tc>
      </w:tr>
      <w:tr w:rsidR="003502D9" w:rsidRPr="004B2A97" w14:paraId="4BD33FC5" w14:textId="77777777" w:rsidTr="00037CD9">
        <w:trPr>
          <w:trHeight w:val="71"/>
        </w:trPr>
        <w:tc>
          <w:tcPr>
            <w:tcW w:w="1172" w:type="pct"/>
            <w:noWrap/>
            <w:hideMark/>
          </w:tcPr>
          <w:p w14:paraId="32EED544" w14:textId="77777777" w:rsidR="003502D9" w:rsidRPr="004B2A97" w:rsidRDefault="003502D9"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559" w:type="pct"/>
            <w:noWrap/>
            <w:hideMark/>
          </w:tcPr>
          <w:p w14:paraId="0F786EEB" w14:textId="77777777" w:rsidR="003502D9" w:rsidRPr="004B2A97" w:rsidRDefault="003502D9"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1</w:t>
            </w:r>
          </w:p>
        </w:tc>
        <w:tc>
          <w:tcPr>
            <w:tcW w:w="654" w:type="pct"/>
            <w:noWrap/>
            <w:hideMark/>
          </w:tcPr>
          <w:p w14:paraId="1A43DF5A"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$218,052</w:t>
            </w:r>
          </w:p>
        </w:tc>
        <w:tc>
          <w:tcPr>
            <w:tcW w:w="654" w:type="pct"/>
            <w:noWrap/>
            <w:hideMark/>
          </w:tcPr>
          <w:p w14:paraId="38DC3917"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$222,357</w:t>
            </w:r>
          </w:p>
        </w:tc>
        <w:tc>
          <w:tcPr>
            <w:tcW w:w="654" w:type="pct"/>
            <w:noWrap/>
            <w:hideMark/>
          </w:tcPr>
          <w:p w14:paraId="73870670"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$334,942</w:t>
            </w:r>
          </w:p>
        </w:tc>
        <w:tc>
          <w:tcPr>
            <w:tcW w:w="654" w:type="pct"/>
            <w:noWrap/>
            <w:hideMark/>
          </w:tcPr>
          <w:p w14:paraId="1E0EE3C9"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$402,669</w:t>
            </w:r>
          </w:p>
        </w:tc>
        <w:tc>
          <w:tcPr>
            <w:tcW w:w="654" w:type="pct"/>
            <w:noWrap/>
            <w:hideMark/>
          </w:tcPr>
          <w:p w14:paraId="3C455B7B"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$519,682</w:t>
            </w:r>
          </w:p>
        </w:tc>
      </w:tr>
      <w:tr w:rsidR="003502D9" w:rsidRPr="004B2A97" w14:paraId="5F3D9811" w14:textId="77777777" w:rsidTr="00037CD9">
        <w:trPr>
          <w:cnfStyle w:val="000000100000" w:firstRow="0" w:lastRow="0" w:firstColumn="0" w:lastColumn="0" w:oddVBand="0" w:evenVBand="0" w:oddHBand="1" w:evenHBand="0" w:firstRowFirstColumn="0" w:firstRowLastColumn="0" w:lastRowFirstColumn="0" w:lastRowLastColumn="0"/>
        </w:trPr>
        <w:tc>
          <w:tcPr>
            <w:tcW w:w="1172" w:type="pct"/>
            <w:noWrap/>
            <w:hideMark/>
          </w:tcPr>
          <w:p w14:paraId="02424A5A" w14:textId="77777777" w:rsidR="003502D9" w:rsidRPr="004B2A97" w:rsidRDefault="003502D9"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559" w:type="pct"/>
            <w:noWrap/>
            <w:hideMark/>
          </w:tcPr>
          <w:p w14:paraId="442B13BF" w14:textId="77777777" w:rsidR="003502D9" w:rsidRPr="004B2A97" w:rsidRDefault="003502D9"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654" w:type="pct"/>
            <w:noWrap/>
            <w:hideMark/>
          </w:tcPr>
          <w:p w14:paraId="43A150F1"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$278,868</w:t>
            </w:r>
          </w:p>
        </w:tc>
        <w:tc>
          <w:tcPr>
            <w:tcW w:w="654" w:type="pct"/>
            <w:noWrap/>
            <w:hideMark/>
          </w:tcPr>
          <w:p w14:paraId="1EAB1421"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$284,505</w:t>
            </w:r>
          </w:p>
        </w:tc>
        <w:tc>
          <w:tcPr>
            <w:tcW w:w="654" w:type="pct"/>
            <w:noWrap/>
            <w:hideMark/>
          </w:tcPr>
          <w:p w14:paraId="24300304"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$420,954</w:t>
            </w:r>
          </w:p>
        </w:tc>
        <w:tc>
          <w:tcPr>
            <w:tcW w:w="654" w:type="pct"/>
            <w:noWrap/>
            <w:hideMark/>
          </w:tcPr>
          <w:p w14:paraId="60F07FCD"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$509,654</w:t>
            </w:r>
          </w:p>
        </w:tc>
        <w:tc>
          <w:tcPr>
            <w:tcW w:w="654" w:type="pct"/>
            <w:noWrap/>
            <w:hideMark/>
          </w:tcPr>
          <w:p w14:paraId="0563C307"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$668,640</w:t>
            </w:r>
          </w:p>
        </w:tc>
      </w:tr>
      <w:tr w:rsidR="003502D9" w:rsidRPr="004B2A97" w14:paraId="3C0487BD" w14:textId="77777777" w:rsidTr="00037CD9">
        <w:tc>
          <w:tcPr>
            <w:tcW w:w="1172" w:type="pct"/>
            <w:noWrap/>
            <w:hideMark/>
          </w:tcPr>
          <w:p w14:paraId="58FFAAAD" w14:textId="77777777" w:rsidR="003502D9" w:rsidRPr="004B2A97" w:rsidRDefault="003502D9"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559" w:type="pct"/>
            <w:noWrap/>
            <w:hideMark/>
          </w:tcPr>
          <w:p w14:paraId="63439B44" w14:textId="77777777" w:rsidR="003502D9" w:rsidRPr="004B2A97" w:rsidRDefault="003502D9"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654" w:type="pct"/>
            <w:noWrap/>
            <w:hideMark/>
          </w:tcPr>
          <w:p w14:paraId="33A8798A"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$364,623</w:t>
            </w:r>
          </w:p>
        </w:tc>
        <w:tc>
          <w:tcPr>
            <w:tcW w:w="654" w:type="pct"/>
            <w:noWrap/>
            <w:hideMark/>
          </w:tcPr>
          <w:p w14:paraId="614B63F2"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$371,798</w:t>
            </w:r>
          </w:p>
        </w:tc>
        <w:tc>
          <w:tcPr>
            <w:tcW w:w="654" w:type="pct"/>
            <w:noWrap/>
            <w:hideMark/>
          </w:tcPr>
          <w:p w14:paraId="24461953"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$552,033</w:t>
            </w:r>
          </w:p>
        </w:tc>
        <w:tc>
          <w:tcPr>
            <w:tcW w:w="654" w:type="pct"/>
            <w:noWrap/>
            <w:hideMark/>
          </w:tcPr>
          <w:p w14:paraId="304659E6"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$674,227</w:t>
            </w:r>
          </w:p>
        </w:tc>
        <w:tc>
          <w:tcPr>
            <w:tcW w:w="654" w:type="pct"/>
            <w:noWrap/>
            <w:hideMark/>
          </w:tcPr>
          <w:p w14:paraId="15F390BE"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$890,075</w:t>
            </w:r>
          </w:p>
        </w:tc>
      </w:tr>
      <w:tr w:rsidR="003502D9" w:rsidRPr="004B2A97" w14:paraId="04D7B6C1" w14:textId="77777777" w:rsidTr="00037CD9">
        <w:trPr>
          <w:cnfStyle w:val="000000100000" w:firstRow="0" w:lastRow="0" w:firstColumn="0" w:lastColumn="0" w:oddVBand="0" w:evenVBand="0" w:oddHBand="1" w:evenHBand="0" w:firstRowFirstColumn="0" w:firstRowLastColumn="0" w:lastRowFirstColumn="0" w:lastRowLastColumn="0"/>
        </w:trPr>
        <w:tc>
          <w:tcPr>
            <w:tcW w:w="1172" w:type="pct"/>
            <w:noWrap/>
            <w:hideMark/>
          </w:tcPr>
          <w:p w14:paraId="14D838C7" w14:textId="77777777" w:rsidR="003502D9" w:rsidRPr="004B2A97" w:rsidRDefault="003502D9"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559" w:type="pct"/>
            <w:noWrap/>
            <w:hideMark/>
          </w:tcPr>
          <w:p w14:paraId="4606D8F9" w14:textId="77777777" w:rsidR="003502D9" w:rsidRPr="004B2A97" w:rsidRDefault="003502D9"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654" w:type="pct"/>
            <w:noWrap/>
            <w:hideMark/>
          </w:tcPr>
          <w:p w14:paraId="0FBEA885"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$304,493</w:t>
            </w:r>
          </w:p>
        </w:tc>
        <w:tc>
          <w:tcPr>
            <w:tcW w:w="654" w:type="pct"/>
            <w:noWrap/>
            <w:hideMark/>
          </w:tcPr>
          <w:p w14:paraId="2053A48D"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$308,593</w:t>
            </w:r>
          </w:p>
        </w:tc>
        <w:tc>
          <w:tcPr>
            <w:tcW w:w="654" w:type="pct"/>
            <w:noWrap/>
            <w:hideMark/>
          </w:tcPr>
          <w:p w14:paraId="43DC6B79"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$445,554</w:t>
            </w:r>
          </w:p>
        </w:tc>
        <w:tc>
          <w:tcPr>
            <w:tcW w:w="654" w:type="pct"/>
            <w:noWrap/>
            <w:hideMark/>
          </w:tcPr>
          <w:p w14:paraId="7A13C7E9"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$545,529</w:t>
            </w:r>
          </w:p>
        </w:tc>
        <w:tc>
          <w:tcPr>
            <w:tcW w:w="654" w:type="pct"/>
            <w:noWrap/>
            <w:hideMark/>
          </w:tcPr>
          <w:p w14:paraId="63E9365F"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$705,540</w:t>
            </w:r>
          </w:p>
        </w:tc>
      </w:tr>
      <w:tr w:rsidR="003502D9" w:rsidRPr="004B2A97" w14:paraId="1EC5DA8F" w14:textId="77777777" w:rsidTr="00037CD9">
        <w:tc>
          <w:tcPr>
            <w:tcW w:w="1172" w:type="pct"/>
            <w:noWrap/>
            <w:hideMark/>
          </w:tcPr>
          <w:p w14:paraId="628AAE3A" w14:textId="77777777" w:rsidR="003502D9" w:rsidRPr="004B2A97" w:rsidRDefault="003502D9"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559" w:type="pct"/>
            <w:noWrap/>
            <w:hideMark/>
          </w:tcPr>
          <w:p w14:paraId="7D4AD609" w14:textId="77777777" w:rsidR="003502D9" w:rsidRPr="004B2A97" w:rsidRDefault="003502D9"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654" w:type="pct"/>
            <w:noWrap/>
            <w:hideMark/>
          </w:tcPr>
          <w:p w14:paraId="3B0217D9"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$383,073</w:t>
            </w:r>
          </w:p>
        </w:tc>
        <w:tc>
          <w:tcPr>
            <w:tcW w:w="654" w:type="pct"/>
            <w:noWrap/>
            <w:hideMark/>
          </w:tcPr>
          <w:p w14:paraId="5A59ADFB"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$425,098</w:t>
            </w:r>
          </w:p>
        </w:tc>
        <w:tc>
          <w:tcPr>
            <w:tcW w:w="654" w:type="pct"/>
            <w:noWrap/>
            <w:hideMark/>
          </w:tcPr>
          <w:p w14:paraId="3D746155"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$625,833</w:t>
            </w:r>
          </w:p>
        </w:tc>
        <w:tc>
          <w:tcPr>
            <w:tcW w:w="654" w:type="pct"/>
            <w:noWrap/>
            <w:hideMark/>
          </w:tcPr>
          <w:p w14:paraId="34C6C9FA"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$755,715</w:t>
            </w:r>
          </w:p>
        </w:tc>
        <w:tc>
          <w:tcPr>
            <w:tcW w:w="654" w:type="pct"/>
            <w:noWrap/>
            <w:hideMark/>
          </w:tcPr>
          <w:p w14:paraId="493F5C54"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$1,070,988</w:t>
            </w:r>
          </w:p>
        </w:tc>
      </w:tr>
      <w:tr w:rsidR="003502D9" w:rsidRPr="004B2A97" w14:paraId="6EE16A49" w14:textId="77777777" w:rsidTr="00037CD9">
        <w:trPr>
          <w:cnfStyle w:val="000000100000" w:firstRow="0" w:lastRow="0" w:firstColumn="0" w:lastColumn="0" w:oddVBand="0" w:evenVBand="0" w:oddHBand="1" w:evenHBand="0" w:firstRowFirstColumn="0" w:firstRowLastColumn="0" w:lastRowFirstColumn="0" w:lastRowLastColumn="0"/>
        </w:trPr>
        <w:tc>
          <w:tcPr>
            <w:tcW w:w="1172" w:type="pct"/>
            <w:noWrap/>
            <w:hideMark/>
          </w:tcPr>
          <w:p w14:paraId="275E63D6" w14:textId="6553DD50" w:rsidR="003502D9" w:rsidRPr="004B2A97" w:rsidRDefault="00601689" w:rsidP="007F5A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559" w:type="pct"/>
            <w:noWrap/>
            <w:hideMark/>
          </w:tcPr>
          <w:p w14:paraId="6B28D1F2" w14:textId="77777777" w:rsidR="003502D9" w:rsidRPr="004B2A97" w:rsidRDefault="003502D9"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4</w:t>
            </w:r>
          </w:p>
        </w:tc>
        <w:tc>
          <w:tcPr>
            <w:tcW w:w="654" w:type="pct"/>
            <w:noWrap/>
            <w:hideMark/>
          </w:tcPr>
          <w:p w14:paraId="180B1C84"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$574,790</w:t>
            </w:r>
          </w:p>
        </w:tc>
        <w:tc>
          <w:tcPr>
            <w:tcW w:w="654" w:type="pct"/>
            <w:noWrap/>
            <w:hideMark/>
          </w:tcPr>
          <w:p w14:paraId="7D51A122"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$586,065</w:t>
            </w:r>
          </w:p>
        </w:tc>
        <w:tc>
          <w:tcPr>
            <w:tcW w:w="654" w:type="pct"/>
            <w:noWrap/>
            <w:hideMark/>
          </w:tcPr>
          <w:p w14:paraId="3F9F837F"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$830,719</w:t>
            </w:r>
          </w:p>
        </w:tc>
        <w:tc>
          <w:tcPr>
            <w:tcW w:w="654" w:type="pct"/>
            <w:noWrap/>
            <w:hideMark/>
          </w:tcPr>
          <w:p w14:paraId="65847993"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$992,352</w:t>
            </w:r>
          </w:p>
        </w:tc>
        <w:tc>
          <w:tcPr>
            <w:tcW w:w="654" w:type="pct"/>
            <w:noWrap/>
            <w:hideMark/>
          </w:tcPr>
          <w:p w14:paraId="2638DF76"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$1,367,945</w:t>
            </w:r>
          </w:p>
        </w:tc>
      </w:tr>
      <w:tr w:rsidR="003502D9" w:rsidRPr="004B2A97" w14:paraId="02DBDF4D" w14:textId="77777777" w:rsidTr="00037CD9">
        <w:tc>
          <w:tcPr>
            <w:tcW w:w="1172" w:type="pct"/>
            <w:noWrap/>
            <w:hideMark/>
          </w:tcPr>
          <w:p w14:paraId="58B76A1B" w14:textId="013998BB" w:rsidR="003502D9" w:rsidRPr="004B2A97" w:rsidRDefault="00601689" w:rsidP="007F5A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559" w:type="pct"/>
            <w:noWrap/>
            <w:hideMark/>
          </w:tcPr>
          <w:p w14:paraId="0F6E63C1" w14:textId="77777777" w:rsidR="003502D9" w:rsidRPr="004B2A97" w:rsidRDefault="003502D9"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5</w:t>
            </w:r>
          </w:p>
        </w:tc>
        <w:tc>
          <w:tcPr>
            <w:tcW w:w="654" w:type="pct"/>
            <w:noWrap/>
            <w:hideMark/>
          </w:tcPr>
          <w:p w14:paraId="18F5A3B4"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$625,268</w:t>
            </w:r>
          </w:p>
        </w:tc>
        <w:tc>
          <w:tcPr>
            <w:tcW w:w="654" w:type="pct"/>
            <w:noWrap/>
            <w:hideMark/>
          </w:tcPr>
          <w:p w14:paraId="2295F9E6"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$636,543</w:t>
            </w:r>
          </w:p>
        </w:tc>
        <w:tc>
          <w:tcPr>
            <w:tcW w:w="654" w:type="pct"/>
            <w:noWrap/>
            <w:hideMark/>
          </w:tcPr>
          <w:p w14:paraId="6EA0A74C"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$917,417</w:t>
            </w:r>
          </w:p>
        </w:tc>
        <w:tc>
          <w:tcPr>
            <w:tcW w:w="654" w:type="pct"/>
            <w:noWrap/>
            <w:hideMark/>
          </w:tcPr>
          <w:p w14:paraId="243EF809"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$1,094,956</w:t>
            </w:r>
          </w:p>
        </w:tc>
        <w:tc>
          <w:tcPr>
            <w:tcW w:w="654" w:type="pct"/>
            <w:noWrap/>
            <w:hideMark/>
          </w:tcPr>
          <w:p w14:paraId="1EBE3AA0" w14:textId="77777777" w:rsidR="003502D9" w:rsidRPr="009679B3" w:rsidRDefault="003502D9"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$1,523,852</w:t>
            </w:r>
          </w:p>
        </w:tc>
      </w:tr>
    </w:tbl>
    <w:p w14:paraId="481231EA" w14:textId="65123F7D" w:rsidR="00B41AEA" w:rsidRDefault="00B41AEA" w:rsidP="007F5AEA">
      <w:bookmarkStart w:id="32" w:name="_Ref102134602"/>
      <w:r>
        <w:t xml:space="preserve">Separate </w:t>
      </w:r>
      <w:proofErr w:type="spellStart"/>
      <w:r w:rsidRPr="00F668F8">
        <w:rPr>
          <w:b/>
          <w:bCs/>
        </w:rPr>
        <w:t>Build.Baseline</w:t>
      </w:r>
      <w:proofErr w:type="spellEnd"/>
      <w:r>
        <w:t xml:space="preserve"> values exist for </w:t>
      </w:r>
      <w:r w:rsidR="005F132E">
        <w:t>d</w:t>
      </w:r>
      <w:r>
        <w:t>wellings that include Onsite Overnight Accommodation (OOA)</w:t>
      </w:r>
      <w:r w:rsidR="00CC5D84">
        <w:t xml:space="preserve">. The current assumptions for these dwellings are set out in </w:t>
      </w:r>
      <w:r w:rsidRPr="00FA12C8">
        <w:rPr>
          <w:b/>
        </w:rPr>
        <w:fldChar w:fldCharType="begin"/>
      </w:r>
      <w:r w:rsidRPr="00FA12C8">
        <w:rPr>
          <w:b/>
        </w:rPr>
        <w:instrText xml:space="preserve"> REF _Ref102139421 \h </w:instrText>
      </w:r>
      <w:r w:rsidR="00CC5D84" w:rsidRPr="00FA12C8">
        <w:rPr>
          <w:b/>
        </w:rPr>
        <w:instrText xml:space="preserve"> \* MERGEFORMAT </w:instrText>
      </w:r>
      <w:r w:rsidRPr="00FA12C8">
        <w:rPr>
          <w:b/>
        </w:rPr>
      </w:r>
      <w:r w:rsidRPr="00FA12C8">
        <w:rPr>
          <w:b/>
        </w:rPr>
        <w:fldChar w:fldCharType="separate"/>
      </w:r>
      <w:r w:rsidR="00765987" w:rsidRPr="00765987">
        <w:rPr>
          <w:b/>
        </w:rPr>
        <w:t>Table 8</w:t>
      </w:r>
      <w:r w:rsidRPr="00FA12C8">
        <w:rPr>
          <w:b/>
        </w:rPr>
        <w:fldChar w:fldCharType="end"/>
      </w:r>
      <w:r>
        <w:t>.</w:t>
      </w:r>
    </w:p>
    <w:p w14:paraId="7D11A68A" w14:textId="3A5411B9" w:rsidR="00B41AEA" w:rsidRDefault="00B41AEA" w:rsidP="007F5AEA">
      <w:pPr>
        <w:pStyle w:val="Caption"/>
        <w:spacing w:before="120"/>
        <w:rPr>
          <w:color w:val="6B2976" w:themeColor="text1"/>
        </w:rPr>
      </w:pPr>
      <w:bookmarkStart w:id="33" w:name="_Ref102139421"/>
      <w:r w:rsidRPr="00392B76">
        <w:rPr>
          <w:color w:val="6B2976" w:themeColor="text1"/>
        </w:rPr>
        <w:lastRenderedPageBreak/>
        <w:t xml:space="preserve">Table </w:t>
      </w:r>
      <w:r w:rsidRPr="00392B76">
        <w:rPr>
          <w:color w:val="6B2976" w:themeColor="text1"/>
        </w:rPr>
        <w:fldChar w:fldCharType="begin"/>
      </w:r>
      <w:r w:rsidRPr="00392B76">
        <w:rPr>
          <w:color w:val="6B2976" w:themeColor="text1"/>
        </w:rPr>
        <w:instrText xml:space="preserve"> SEQ Table \* ARABIC </w:instrText>
      </w:r>
      <w:r w:rsidRPr="00392B76">
        <w:rPr>
          <w:color w:val="6B2976" w:themeColor="text1"/>
        </w:rPr>
        <w:fldChar w:fldCharType="separate"/>
      </w:r>
      <w:r w:rsidR="00765987">
        <w:rPr>
          <w:noProof/>
          <w:color w:val="6B2976" w:themeColor="text1"/>
        </w:rPr>
        <w:t>8</w:t>
      </w:r>
      <w:r w:rsidRPr="00392B76">
        <w:rPr>
          <w:color w:val="6B2976" w:themeColor="text1"/>
        </w:rPr>
        <w:fldChar w:fldCharType="end"/>
      </w:r>
      <w:bookmarkEnd w:id="32"/>
      <w:bookmarkEnd w:id="33"/>
      <w:r w:rsidRPr="00392B76">
        <w:rPr>
          <w:color w:val="6B2976" w:themeColor="text1"/>
        </w:rPr>
        <w:t xml:space="preserve">: </w:t>
      </w:r>
      <w:r>
        <w:rPr>
          <w:color w:val="6B2976" w:themeColor="text1"/>
        </w:rPr>
        <w:t>Build Cost with OOA</w:t>
      </w:r>
    </w:p>
    <w:tbl>
      <w:tblPr>
        <w:tblStyle w:val="GridTable4"/>
        <w:tblW w:w="5000" w:type="pct"/>
        <w:tblLook w:val="0420" w:firstRow="1" w:lastRow="0" w:firstColumn="0" w:lastColumn="0" w:noHBand="0" w:noVBand="1"/>
      </w:tblPr>
      <w:tblGrid>
        <w:gridCol w:w="2116"/>
        <w:gridCol w:w="1011"/>
        <w:gridCol w:w="1179"/>
        <w:gridCol w:w="1179"/>
        <w:gridCol w:w="1179"/>
        <w:gridCol w:w="1179"/>
        <w:gridCol w:w="1174"/>
      </w:tblGrid>
      <w:tr w:rsidR="00B41AEA" w:rsidRPr="00434E85" w14:paraId="38E2004D" w14:textId="77777777" w:rsidTr="00434E85">
        <w:trPr>
          <w:cnfStyle w:val="100000000000" w:firstRow="1" w:lastRow="0" w:firstColumn="0" w:lastColumn="0" w:oddVBand="0" w:evenVBand="0" w:oddHBand="0" w:evenHBand="0" w:firstRowFirstColumn="0" w:firstRowLastColumn="0" w:lastRowFirstColumn="0" w:lastRowLastColumn="0"/>
        </w:trPr>
        <w:tc>
          <w:tcPr>
            <w:tcW w:w="1173" w:type="pct"/>
            <w:hideMark/>
          </w:tcPr>
          <w:p w14:paraId="292EE662" w14:textId="77777777" w:rsidR="00B41AEA" w:rsidRPr="004B2A97" w:rsidRDefault="00B41AEA"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Building Type</w:t>
            </w:r>
          </w:p>
        </w:tc>
        <w:tc>
          <w:tcPr>
            <w:tcW w:w="560" w:type="pct"/>
            <w:hideMark/>
          </w:tcPr>
          <w:p w14:paraId="074906F6" w14:textId="77777777" w:rsidR="00B41AEA" w:rsidRPr="004B2A97" w:rsidRDefault="00B41AEA"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Bedrooms</w:t>
            </w:r>
          </w:p>
        </w:tc>
        <w:tc>
          <w:tcPr>
            <w:tcW w:w="654" w:type="pct"/>
            <w:noWrap/>
            <w:hideMark/>
          </w:tcPr>
          <w:p w14:paraId="179CB82D" w14:textId="77777777" w:rsidR="00B41AEA" w:rsidRPr="004B2A97" w:rsidRDefault="00B41AEA" w:rsidP="00B26383">
            <w:pPr>
              <w:spacing w:line="200" w:lineRule="atLeast"/>
              <w:jc w:val="center"/>
              <w:rPr>
                <w:rFonts w:eastAsia="Times New Roman" w:cstheme="minorHAnsi"/>
                <w:szCs w:val="16"/>
                <w:lang w:eastAsia="en-AU"/>
              </w:rPr>
            </w:pPr>
            <w:r>
              <w:rPr>
                <w:rFonts w:eastAsia="Times New Roman" w:cstheme="minorHAnsi"/>
                <w:szCs w:val="16"/>
                <w:lang w:eastAsia="en-AU"/>
              </w:rPr>
              <w:t>Basic</w:t>
            </w:r>
          </w:p>
        </w:tc>
        <w:tc>
          <w:tcPr>
            <w:tcW w:w="654" w:type="pct"/>
            <w:hideMark/>
          </w:tcPr>
          <w:p w14:paraId="725261A6" w14:textId="20710FC7" w:rsidR="00B41AEA" w:rsidRPr="004B2A97" w:rsidRDefault="00B41AEA"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 xml:space="preserve">Improved </w:t>
            </w:r>
            <w:r w:rsidR="005F132E">
              <w:rPr>
                <w:rFonts w:eastAsia="Times New Roman" w:cstheme="minorHAnsi"/>
                <w:szCs w:val="16"/>
                <w:lang w:eastAsia="en-AU"/>
              </w:rPr>
              <w:t>L</w:t>
            </w:r>
            <w:r w:rsidRPr="004B2A97">
              <w:rPr>
                <w:rFonts w:eastAsia="Times New Roman" w:cstheme="minorHAnsi"/>
                <w:szCs w:val="16"/>
                <w:lang w:eastAsia="en-AU"/>
              </w:rPr>
              <w:t>iveability</w:t>
            </w:r>
          </w:p>
        </w:tc>
        <w:tc>
          <w:tcPr>
            <w:tcW w:w="654" w:type="pct"/>
            <w:hideMark/>
          </w:tcPr>
          <w:p w14:paraId="5D790C32" w14:textId="2C76FE2A" w:rsidR="00B41AEA" w:rsidRPr="004B2A97" w:rsidRDefault="00B41AEA"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 xml:space="preserve">Fully </w:t>
            </w:r>
            <w:r w:rsidR="005F132E">
              <w:rPr>
                <w:rFonts w:eastAsia="Times New Roman" w:cstheme="minorHAnsi"/>
                <w:szCs w:val="16"/>
                <w:lang w:eastAsia="en-AU"/>
              </w:rPr>
              <w:t>A</w:t>
            </w:r>
            <w:r w:rsidRPr="004B2A97">
              <w:rPr>
                <w:rFonts w:eastAsia="Times New Roman" w:cstheme="minorHAnsi"/>
                <w:szCs w:val="16"/>
                <w:lang w:eastAsia="en-AU"/>
              </w:rPr>
              <w:t>ccessible</w:t>
            </w:r>
          </w:p>
        </w:tc>
        <w:tc>
          <w:tcPr>
            <w:tcW w:w="654" w:type="pct"/>
            <w:hideMark/>
          </w:tcPr>
          <w:p w14:paraId="07D5D3C7" w14:textId="77777777" w:rsidR="00B41AEA" w:rsidRPr="004B2A97" w:rsidRDefault="00B41AEA"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Robust</w:t>
            </w:r>
          </w:p>
        </w:tc>
        <w:tc>
          <w:tcPr>
            <w:tcW w:w="652" w:type="pct"/>
            <w:hideMark/>
          </w:tcPr>
          <w:p w14:paraId="312A2534" w14:textId="5AC5262F" w:rsidR="00B41AEA" w:rsidRPr="004B2A97" w:rsidRDefault="00B41AEA"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High</w:t>
            </w:r>
            <w:r w:rsidR="005F132E">
              <w:rPr>
                <w:rFonts w:eastAsia="Times New Roman" w:cstheme="minorHAnsi"/>
                <w:szCs w:val="16"/>
                <w:lang w:eastAsia="en-AU"/>
              </w:rPr>
              <w:t xml:space="preserve"> Physical</w:t>
            </w:r>
            <w:r w:rsidRPr="004B2A97">
              <w:rPr>
                <w:rFonts w:eastAsia="Times New Roman" w:cstheme="minorHAnsi"/>
                <w:szCs w:val="16"/>
                <w:lang w:eastAsia="en-AU"/>
              </w:rPr>
              <w:t xml:space="preserve"> Support</w:t>
            </w:r>
          </w:p>
        </w:tc>
      </w:tr>
      <w:tr w:rsidR="00B41AEA" w:rsidRPr="004B2A97" w14:paraId="71CD5CB8" w14:textId="77777777" w:rsidTr="00434E85">
        <w:trPr>
          <w:cnfStyle w:val="000000100000" w:firstRow="0" w:lastRow="0" w:firstColumn="0" w:lastColumn="0" w:oddVBand="0" w:evenVBand="0" w:oddHBand="1" w:evenHBand="0" w:firstRowFirstColumn="0" w:firstRowLastColumn="0" w:lastRowFirstColumn="0" w:lastRowLastColumn="0"/>
        </w:trPr>
        <w:tc>
          <w:tcPr>
            <w:tcW w:w="1173" w:type="pct"/>
            <w:noWrap/>
            <w:hideMark/>
          </w:tcPr>
          <w:p w14:paraId="51325D98" w14:textId="77777777" w:rsidR="00B41AEA" w:rsidRPr="004B2A97" w:rsidRDefault="00B41AEA"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560" w:type="pct"/>
            <w:noWrap/>
            <w:hideMark/>
          </w:tcPr>
          <w:p w14:paraId="143D5EF9" w14:textId="77777777" w:rsidR="00B41AEA" w:rsidRPr="004B2A97" w:rsidRDefault="00B41AEA"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1</w:t>
            </w:r>
          </w:p>
        </w:tc>
        <w:tc>
          <w:tcPr>
            <w:tcW w:w="654" w:type="pct"/>
            <w:noWrap/>
            <w:hideMark/>
          </w:tcPr>
          <w:p w14:paraId="11712644" w14:textId="77777777" w:rsidR="00B41AEA" w:rsidRPr="004B2A97" w:rsidRDefault="00B41AEA"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3CD5ADD5"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$254,890</w:t>
            </w:r>
          </w:p>
        </w:tc>
        <w:tc>
          <w:tcPr>
            <w:tcW w:w="654" w:type="pct"/>
            <w:noWrap/>
            <w:hideMark/>
          </w:tcPr>
          <w:p w14:paraId="6C7AA7E2"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$369,184</w:t>
            </w:r>
          </w:p>
        </w:tc>
        <w:tc>
          <w:tcPr>
            <w:tcW w:w="654" w:type="pct"/>
            <w:noWrap/>
            <w:hideMark/>
          </w:tcPr>
          <w:p w14:paraId="38876B55"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$445,260</w:t>
            </w:r>
          </w:p>
        </w:tc>
        <w:tc>
          <w:tcPr>
            <w:tcW w:w="652" w:type="pct"/>
            <w:noWrap/>
            <w:hideMark/>
          </w:tcPr>
          <w:p w14:paraId="3E2D7AD0"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$564,743</w:t>
            </w:r>
          </w:p>
        </w:tc>
      </w:tr>
      <w:tr w:rsidR="00B41AEA" w:rsidRPr="004B2A97" w14:paraId="22FB62E9" w14:textId="77777777" w:rsidTr="00434E85">
        <w:tc>
          <w:tcPr>
            <w:tcW w:w="1173" w:type="pct"/>
            <w:noWrap/>
            <w:hideMark/>
          </w:tcPr>
          <w:p w14:paraId="6E6AF2E8" w14:textId="77777777" w:rsidR="00B41AEA" w:rsidRPr="004B2A97" w:rsidRDefault="00B41AEA"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560" w:type="pct"/>
            <w:noWrap/>
            <w:hideMark/>
          </w:tcPr>
          <w:p w14:paraId="17F5960F" w14:textId="77777777" w:rsidR="00B41AEA" w:rsidRPr="004B2A97" w:rsidRDefault="00B41AEA"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654" w:type="pct"/>
            <w:noWrap/>
            <w:hideMark/>
          </w:tcPr>
          <w:p w14:paraId="438A86F4" w14:textId="77777777" w:rsidR="00B41AEA" w:rsidRPr="004B2A97" w:rsidRDefault="00B41AEA"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34681FC0"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$315,454</w:t>
            </w:r>
          </w:p>
        </w:tc>
        <w:tc>
          <w:tcPr>
            <w:tcW w:w="654" w:type="pct"/>
            <w:noWrap/>
            <w:hideMark/>
          </w:tcPr>
          <w:p w14:paraId="1996CBD0"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$453,528</w:t>
            </w:r>
          </w:p>
        </w:tc>
        <w:tc>
          <w:tcPr>
            <w:tcW w:w="654" w:type="pct"/>
            <w:noWrap/>
            <w:hideMark/>
          </w:tcPr>
          <w:p w14:paraId="4915B3D8"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$549,877</w:t>
            </w:r>
          </w:p>
        </w:tc>
        <w:tc>
          <w:tcPr>
            <w:tcW w:w="652" w:type="pct"/>
            <w:noWrap/>
            <w:hideMark/>
          </w:tcPr>
          <w:p w14:paraId="60A131AB"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$711,092</w:t>
            </w:r>
          </w:p>
        </w:tc>
      </w:tr>
      <w:tr w:rsidR="00B41AEA" w:rsidRPr="004B2A97" w14:paraId="66D8878A" w14:textId="77777777" w:rsidTr="00434E85">
        <w:trPr>
          <w:cnfStyle w:val="000000100000" w:firstRow="0" w:lastRow="0" w:firstColumn="0" w:lastColumn="0" w:oddVBand="0" w:evenVBand="0" w:oddHBand="1" w:evenHBand="0" w:firstRowFirstColumn="0" w:firstRowLastColumn="0" w:lastRowFirstColumn="0" w:lastRowLastColumn="0"/>
        </w:trPr>
        <w:tc>
          <w:tcPr>
            <w:tcW w:w="1173" w:type="pct"/>
            <w:noWrap/>
            <w:hideMark/>
          </w:tcPr>
          <w:p w14:paraId="210E4CCD" w14:textId="77777777" w:rsidR="00B41AEA" w:rsidRPr="004B2A97" w:rsidRDefault="00B41AEA"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560" w:type="pct"/>
            <w:noWrap/>
            <w:hideMark/>
          </w:tcPr>
          <w:p w14:paraId="3CA52B3D" w14:textId="77777777" w:rsidR="00B41AEA" w:rsidRPr="004B2A97" w:rsidRDefault="00B41AEA"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654" w:type="pct"/>
            <w:noWrap/>
            <w:hideMark/>
          </w:tcPr>
          <w:p w14:paraId="2778AA0A" w14:textId="77777777" w:rsidR="00B41AEA" w:rsidRPr="004B2A97" w:rsidRDefault="00B41AEA"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5B20042B"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$402,033</w:t>
            </w:r>
          </w:p>
        </w:tc>
        <w:tc>
          <w:tcPr>
            <w:tcW w:w="654" w:type="pct"/>
            <w:noWrap/>
            <w:hideMark/>
          </w:tcPr>
          <w:p w14:paraId="764CCAD9"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$583,853</w:t>
            </w:r>
          </w:p>
        </w:tc>
        <w:tc>
          <w:tcPr>
            <w:tcW w:w="654" w:type="pct"/>
            <w:noWrap/>
            <w:hideMark/>
          </w:tcPr>
          <w:p w14:paraId="7B0ECFE1"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$713,371</w:t>
            </w:r>
          </w:p>
        </w:tc>
        <w:tc>
          <w:tcPr>
            <w:tcW w:w="652" w:type="pct"/>
            <w:noWrap/>
            <w:hideMark/>
          </w:tcPr>
          <w:p w14:paraId="0249DE0F"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$931,343</w:t>
            </w:r>
          </w:p>
        </w:tc>
      </w:tr>
      <w:tr w:rsidR="00B41AEA" w:rsidRPr="004B2A97" w14:paraId="406217CC" w14:textId="77777777" w:rsidTr="00434E85">
        <w:tc>
          <w:tcPr>
            <w:tcW w:w="1173" w:type="pct"/>
            <w:noWrap/>
            <w:hideMark/>
          </w:tcPr>
          <w:p w14:paraId="1BD4ABC7" w14:textId="77777777" w:rsidR="00B41AEA" w:rsidRPr="004B2A97" w:rsidRDefault="00B41AEA"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560" w:type="pct"/>
            <w:noWrap/>
            <w:hideMark/>
          </w:tcPr>
          <w:p w14:paraId="48CEB853" w14:textId="77777777" w:rsidR="00B41AEA" w:rsidRPr="004B2A97" w:rsidRDefault="00B41AEA"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654" w:type="pct"/>
            <w:noWrap/>
            <w:hideMark/>
          </w:tcPr>
          <w:p w14:paraId="3D82297C" w14:textId="77777777" w:rsidR="00B41AEA" w:rsidRPr="004B2A97" w:rsidRDefault="00B41AEA"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457E5203"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$339,541</w:t>
            </w:r>
          </w:p>
        </w:tc>
        <w:tc>
          <w:tcPr>
            <w:tcW w:w="654" w:type="pct"/>
            <w:noWrap/>
            <w:hideMark/>
          </w:tcPr>
          <w:p w14:paraId="1A1D205F"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$478,128</w:t>
            </w:r>
          </w:p>
        </w:tc>
        <w:tc>
          <w:tcPr>
            <w:tcW w:w="654" w:type="pct"/>
            <w:noWrap/>
            <w:hideMark/>
          </w:tcPr>
          <w:p w14:paraId="6A6FA9D6"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$585,752</w:t>
            </w:r>
          </w:p>
        </w:tc>
        <w:tc>
          <w:tcPr>
            <w:tcW w:w="652" w:type="pct"/>
            <w:noWrap/>
            <w:hideMark/>
          </w:tcPr>
          <w:p w14:paraId="58D361F7"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$747,992</w:t>
            </w:r>
          </w:p>
        </w:tc>
      </w:tr>
      <w:tr w:rsidR="00B41AEA" w:rsidRPr="004B2A97" w14:paraId="5C1F90C7" w14:textId="77777777" w:rsidTr="00434E85">
        <w:trPr>
          <w:cnfStyle w:val="000000100000" w:firstRow="0" w:lastRow="0" w:firstColumn="0" w:lastColumn="0" w:oddVBand="0" w:evenVBand="0" w:oddHBand="1" w:evenHBand="0" w:firstRowFirstColumn="0" w:firstRowLastColumn="0" w:lastRowFirstColumn="0" w:lastRowLastColumn="0"/>
        </w:trPr>
        <w:tc>
          <w:tcPr>
            <w:tcW w:w="1173" w:type="pct"/>
            <w:noWrap/>
            <w:hideMark/>
          </w:tcPr>
          <w:p w14:paraId="0E37C980" w14:textId="77777777" w:rsidR="00B41AEA" w:rsidRPr="004B2A97" w:rsidRDefault="00B41AEA"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560" w:type="pct"/>
            <w:noWrap/>
            <w:hideMark/>
          </w:tcPr>
          <w:p w14:paraId="0D39E58E" w14:textId="77777777" w:rsidR="00B41AEA" w:rsidRPr="004B2A97" w:rsidRDefault="00B41AEA"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654" w:type="pct"/>
            <w:noWrap/>
            <w:hideMark/>
          </w:tcPr>
          <w:p w14:paraId="012838F4" w14:textId="77777777" w:rsidR="00B41AEA" w:rsidRPr="004B2A97" w:rsidRDefault="00B41AEA"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7F1D9D3D"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$458,981</w:t>
            </w:r>
          </w:p>
        </w:tc>
        <w:tc>
          <w:tcPr>
            <w:tcW w:w="654" w:type="pct"/>
            <w:noWrap/>
            <w:hideMark/>
          </w:tcPr>
          <w:p w14:paraId="2E261AA2"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$661,484</w:t>
            </w:r>
          </w:p>
        </w:tc>
        <w:tc>
          <w:tcPr>
            <w:tcW w:w="654" w:type="pct"/>
            <w:noWrap/>
            <w:hideMark/>
          </w:tcPr>
          <w:p w14:paraId="06D88668"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$798,970</w:t>
            </w:r>
          </w:p>
        </w:tc>
        <w:tc>
          <w:tcPr>
            <w:tcW w:w="652" w:type="pct"/>
            <w:noWrap/>
            <w:hideMark/>
          </w:tcPr>
          <w:p w14:paraId="3BA8F72F"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$1,120,945</w:t>
            </w:r>
          </w:p>
        </w:tc>
      </w:tr>
      <w:tr w:rsidR="00B41AEA" w:rsidRPr="004B2A97" w14:paraId="41E8736D" w14:textId="77777777" w:rsidTr="00434E85">
        <w:tc>
          <w:tcPr>
            <w:tcW w:w="1173" w:type="pct"/>
            <w:noWrap/>
            <w:hideMark/>
          </w:tcPr>
          <w:p w14:paraId="4201FFCE" w14:textId="64F3FBAA" w:rsidR="00B41AEA" w:rsidRPr="004B2A97" w:rsidRDefault="00601689" w:rsidP="007F5A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560" w:type="pct"/>
            <w:noWrap/>
            <w:hideMark/>
          </w:tcPr>
          <w:p w14:paraId="61BF4FAF" w14:textId="77777777" w:rsidR="00B41AEA" w:rsidRPr="004B2A97" w:rsidRDefault="00B41AEA"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4</w:t>
            </w:r>
          </w:p>
        </w:tc>
        <w:tc>
          <w:tcPr>
            <w:tcW w:w="654" w:type="pct"/>
            <w:noWrap/>
            <w:hideMark/>
          </w:tcPr>
          <w:p w14:paraId="0360E237" w14:textId="77777777" w:rsidR="00B41AEA" w:rsidRPr="004B2A97" w:rsidRDefault="00B41AEA"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36D31233"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$620,164</w:t>
            </w:r>
          </w:p>
        </w:tc>
        <w:tc>
          <w:tcPr>
            <w:tcW w:w="654" w:type="pct"/>
            <w:noWrap/>
            <w:hideMark/>
          </w:tcPr>
          <w:p w14:paraId="5A6E0D89"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$866,596</w:t>
            </w:r>
          </w:p>
        </w:tc>
        <w:tc>
          <w:tcPr>
            <w:tcW w:w="654" w:type="pct"/>
            <w:noWrap/>
            <w:hideMark/>
          </w:tcPr>
          <w:p w14:paraId="4B0A26E5"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$1,035,595</w:t>
            </w:r>
          </w:p>
        </w:tc>
        <w:tc>
          <w:tcPr>
            <w:tcW w:w="652" w:type="pct"/>
            <w:noWrap/>
            <w:hideMark/>
          </w:tcPr>
          <w:p w14:paraId="5F830F22"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$1,417,556</w:t>
            </w:r>
          </w:p>
        </w:tc>
      </w:tr>
      <w:tr w:rsidR="00B41AEA" w:rsidRPr="004B2A97" w14:paraId="35D10A34" w14:textId="77777777" w:rsidTr="00434E85">
        <w:trPr>
          <w:cnfStyle w:val="000000100000" w:firstRow="0" w:lastRow="0" w:firstColumn="0" w:lastColumn="0" w:oddVBand="0" w:evenVBand="0" w:oddHBand="1" w:evenHBand="0" w:firstRowFirstColumn="0" w:firstRowLastColumn="0" w:lastRowFirstColumn="0" w:lastRowLastColumn="0"/>
        </w:trPr>
        <w:tc>
          <w:tcPr>
            <w:tcW w:w="1173" w:type="pct"/>
            <w:noWrap/>
            <w:hideMark/>
          </w:tcPr>
          <w:p w14:paraId="0DA101E7" w14:textId="548CA355" w:rsidR="00B41AEA" w:rsidRPr="004B2A97" w:rsidRDefault="00601689" w:rsidP="007F5A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560" w:type="pct"/>
            <w:noWrap/>
            <w:hideMark/>
          </w:tcPr>
          <w:p w14:paraId="74D2C492" w14:textId="77777777" w:rsidR="00B41AEA" w:rsidRPr="004B2A97" w:rsidRDefault="00B41AEA"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5</w:t>
            </w:r>
          </w:p>
        </w:tc>
        <w:tc>
          <w:tcPr>
            <w:tcW w:w="654" w:type="pct"/>
            <w:noWrap/>
            <w:hideMark/>
          </w:tcPr>
          <w:p w14:paraId="54CC0415" w14:textId="77777777" w:rsidR="00B41AEA" w:rsidRPr="004B2A97" w:rsidRDefault="00B41AEA"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31C57AF6"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$669,757</w:t>
            </w:r>
          </w:p>
        </w:tc>
        <w:tc>
          <w:tcPr>
            <w:tcW w:w="654" w:type="pct"/>
            <w:noWrap/>
            <w:hideMark/>
          </w:tcPr>
          <w:p w14:paraId="000B0756"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$952,367</w:t>
            </w:r>
          </w:p>
        </w:tc>
        <w:tc>
          <w:tcPr>
            <w:tcW w:w="654" w:type="pct"/>
            <w:noWrap/>
            <w:hideMark/>
          </w:tcPr>
          <w:p w14:paraId="42252B29"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$1,136,948</w:t>
            </w:r>
          </w:p>
        </w:tc>
        <w:tc>
          <w:tcPr>
            <w:tcW w:w="652" w:type="pct"/>
            <w:noWrap/>
            <w:hideMark/>
          </w:tcPr>
          <w:p w14:paraId="26F59139" w14:textId="77777777" w:rsidR="00B41AEA" w:rsidRPr="009679B3" w:rsidRDefault="00B41AEA"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$1,571,895</w:t>
            </w:r>
          </w:p>
        </w:tc>
      </w:tr>
    </w:tbl>
    <w:p w14:paraId="2F814635" w14:textId="445B6275" w:rsidR="00EE37FE" w:rsidRPr="00E3250F" w:rsidRDefault="00EE37FE" w:rsidP="007F5AEA">
      <w:bookmarkStart w:id="34" w:name="_Ref102134604"/>
      <w:r>
        <w:t xml:space="preserve">For robust buildings with OOA then the cost also varies according to </w:t>
      </w:r>
      <w:proofErr w:type="gramStart"/>
      <w:r>
        <w:t>whether or not</w:t>
      </w:r>
      <w:proofErr w:type="gramEnd"/>
      <w:r>
        <w:t xml:space="preserve"> the </w:t>
      </w:r>
      <w:r w:rsidR="005F132E">
        <w:t>d</w:t>
      </w:r>
      <w:r>
        <w:t>welling includes an additional breakout room</w:t>
      </w:r>
      <w:r w:rsidR="00CC5D84">
        <w:t xml:space="preserve">. The current assumptions are in </w:t>
      </w:r>
      <w:r w:rsidRPr="00FA12C8">
        <w:rPr>
          <w:b/>
        </w:rPr>
        <w:fldChar w:fldCharType="begin"/>
      </w:r>
      <w:r w:rsidRPr="00FA12C8">
        <w:rPr>
          <w:b/>
        </w:rPr>
        <w:instrText xml:space="preserve"> REF _Ref102139413 \h </w:instrText>
      </w:r>
      <w:r w:rsidR="00AA37C7" w:rsidRPr="00FA12C8">
        <w:rPr>
          <w:b/>
        </w:rPr>
        <w:instrText xml:space="preserve"> \* MERGEFORMAT </w:instrText>
      </w:r>
      <w:r w:rsidRPr="00FA12C8">
        <w:rPr>
          <w:b/>
        </w:rPr>
      </w:r>
      <w:r w:rsidRPr="00FA12C8">
        <w:rPr>
          <w:b/>
        </w:rPr>
        <w:fldChar w:fldCharType="separate"/>
      </w:r>
      <w:r w:rsidR="00765987" w:rsidRPr="00765987">
        <w:rPr>
          <w:b/>
        </w:rPr>
        <w:t>Table 9</w:t>
      </w:r>
      <w:r w:rsidRPr="00FA12C8">
        <w:rPr>
          <w:b/>
        </w:rPr>
        <w:fldChar w:fldCharType="end"/>
      </w:r>
      <w:r>
        <w:t>.</w:t>
      </w:r>
    </w:p>
    <w:p w14:paraId="0D6F2684" w14:textId="3CD122F0" w:rsidR="00EE37FE" w:rsidRDefault="00EE37FE" w:rsidP="007F5AEA">
      <w:pPr>
        <w:pStyle w:val="Caption"/>
        <w:spacing w:before="120"/>
        <w:rPr>
          <w:color w:val="6B2976" w:themeColor="text1"/>
        </w:rPr>
      </w:pPr>
      <w:bookmarkStart w:id="35" w:name="_Ref102139413"/>
      <w:r w:rsidRPr="00392B76">
        <w:rPr>
          <w:color w:val="6B2976" w:themeColor="text1"/>
        </w:rPr>
        <w:t xml:space="preserve">Table </w:t>
      </w:r>
      <w:r w:rsidRPr="00392B76">
        <w:rPr>
          <w:color w:val="6B2976" w:themeColor="text1"/>
        </w:rPr>
        <w:fldChar w:fldCharType="begin"/>
      </w:r>
      <w:r w:rsidRPr="00392B76">
        <w:rPr>
          <w:color w:val="6B2976" w:themeColor="text1"/>
        </w:rPr>
        <w:instrText xml:space="preserve"> SEQ Table \* ARABIC </w:instrText>
      </w:r>
      <w:r w:rsidRPr="00392B76">
        <w:rPr>
          <w:color w:val="6B2976" w:themeColor="text1"/>
        </w:rPr>
        <w:fldChar w:fldCharType="separate"/>
      </w:r>
      <w:r w:rsidR="00765987">
        <w:rPr>
          <w:noProof/>
          <w:color w:val="6B2976" w:themeColor="text1"/>
        </w:rPr>
        <w:t>9</w:t>
      </w:r>
      <w:r w:rsidRPr="00392B76">
        <w:rPr>
          <w:color w:val="6B2976" w:themeColor="text1"/>
        </w:rPr>
        <w:fldChar w:fldCharType="end"/>
      </w:r>
      <w:bookmarkEnd w:id="34"/>
      <w:bookmarkEnd w:id="35"/>
      <w:r w:rsidRPr="00392B76">
        <w:rPr>
          <w:color w:val="6B2976" w:themeColor="text1"/>
        </w:rPr>
        <w:t xml:space="preserve">: </w:t>
      </w:r>
      <w:r>
        <w:rPr>
          <w:color w:val="6B2976" w:themeColor="text1"/>
        </w:rPr>
        <w:t>Build Cost with OOA + Additional Breakout Room</w:t>
      </w:r>
    </w:p>
    <w:tbl>
      <w:tblPr>
        <w:tblStyle w:val="GridTable4"/>
        <w:tblW w:w="5000" w:type="pct"/>
        <w:tblLook w:val="0420" w:firstRow="1" w:lastRow="0" w:firstColumn="0" w:lastColumn="0" w:noHBand="0" w:noVBand="1"/>
      </w:tblPr>
      <w:tblGrid>
        <w:gridCol w:w="2115"/>
        <w:gridCol w:w="1010"/>
        <w:gridCol w:w="1179"/>
        <w:gridCol w:w="1179"/>
        <w:gridCol w:w="1179"/>
        <w:gridCol w:w="1179"/>
        <w:gridCol w:w="1176"/>
      </w:tblGrid>
      <w:tr w:rsidR="00EE37FE" w:rsidRPr="004B2A97" w14:paraId="28E99191" w14:textId="77777777" w:rsidTr="00B26383">
        <w:trPr>
          <w:cnfStyle w:val="100000000000" w:firstRow="1" w:lastRow="0" w:firstColumn="0" w:lastColumn="0" w:oddVBand="0" w:evenVBand="0" w:oddHBand="0" w:evenHBand="0" w:firstRowFirstColumn="0" w:firstRowLastColumn="0" w:lastRowFirstColumn="0" w:lastRowLastColumn="0"/>
        </w:trPr>
        <w:tc>
          <w:tcPr>
            <w:tcW w:w="1172" w:type="pct"/>
            <w:hideMark/>
          </w:tcPr>
          <w:p w14:paraId="7C253F76" w14:textId="77777777" w:rsidR="00EE37FE" w:rsidRPr="004B2A97" w:rsidRDefault="00EE37FE"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Building Type</w:t>
            </w:r>
          </w:p>
        </w:tc>
        <w:tc>
          <w:tcPr>
            <w:tcW w:w="560" w:type="pct"/>
            <w:hideMark/>
          </w:tcPr>
          <w:p w14:paraId="3C0083D5" w14:textId="77777777" w:rsidR="00EE37FE" w:rsidRPr="004B2A97" w:rsidRDefault="00EE37FE"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Bedrooms</w:t>
            </w:r>
          </w:p>
        </w:tc>
        <w:tc>
          <w:tcPr>
            <w:tcW w:w="654" w:type="pct"/>
            <w:noWrap/>
            <w:hideMark/>
          </w:tcPr>
          <w:p w14:paraId="7ACE66DB" w14:textId="77777777" w:rsidR="00EE37FE" w:rsidRPr="004B2A97" w:rsidRDefault="00EE37FE" w:rsidP="00B26383">
            <w:pPr>
              <w:spacing w:line="200" w:lineRule="atLeast"/>
              <w:jc w:val="center"/>
              <w:rPr>
                <w:rFonts w:eastAsia="Times New Roman" w:cstheme="minorHAnsi"/>
                <w:szCs w:val="16"/>
                <w:lang w:eastAsia="en-AU"/>
              </w:rPr>
            </w:pPr>
            <w:r>
              <w:rPr>
                <w:rFonts w:eastAsia="Times New Roman" w:cstheme="minorHAnsi"/>
                <w:szCs w:val="16"/>
                <w:lang w:eastAsia="en-AU"/>
              </w:rPr>
              <w:t>Basic</w:t>
            </w:r>
          </w:p>
        </w:tc>
        <w:tc>
          <w:tcPr>
            <w:tcW w:w="654" w:type="pct"/>
            <w:hideMark/>
          </w:tcPr>
          <w:p w14:paraId="5B4CCFA6" w14:textId="4950D70B" w:rsidR="00EE37FE" w:rsidRPr="004B2A97" w:rsidRDefault="00EE37FE"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 xml:space="preserve">Improved </w:t>
            </w:r>
            <w:r w:rsidR="005F132E">
              <w:rPr>
                <w:rFonts w:eastAsia="Times New Roman" w:cstheme="minorHAnsi"/>
                <w:szCs w:val="16"/>
                <w:lang w:eastAsia="en-AU"/>
              </w:rPr>
              <w:t>L</w:t>
            </w:r>
            <w:r w:rsidRPr="004B2A97">
              <w:rPr>
                <w:rFonts w:eastAsia="Times New Roman" w:cstheme="minorHAnsi"/>
                <w:szCs w:val="16"/>
                <w:lang w:eastAsia="en-AU"/>
              </w:rPr>
              <w:t>iveability</w:t>
            </w:r>
          </w:p>
        </w:tc>
        <w:tc>
          <w:tcPr>
            <w:tcW w:w="654" w:type="pct"/>
            <w:hideMark/>
          </w:tcPr>
          <w:p w14:paraId="2CC70951" w14:textId="3D56A6F9" w:rsidR="00EE37FE" w:rsidRPr="004B2A97" w:rsidRDefault="00EE37FE"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 xml:space="preserve">Fully </w:t>
            </w:r>
            <w:r w:rsidR="005F132E">
              <w:rPr>
                <w:rFonts w:eastAsia="Times New Roman" w:cstheme="minorHAnsi"/>
                <w:szCs w:val="16"/>
                <w:lang w:eastAsia="en-AU"/>
              </w:rPr>
              <w:t>A</w:t>
            </w:r>
            <w:r w:rsidRPr="004B2A97">
              <w:rPr>
                <w:rFonts w:eastAsia="Times New Roman" w:cstheme="minorHAnsi"/>
                <w:szCs w:val="16"/>
                <w:lang w:eastAsia="en-AU"/>
              </w:rPr>
              <w:t>ccessible</w:t>
            </w:r>
          </w:p>
        </w:tc>
        <w:tc>
          <w:tcPr>
            <w:tcW w:w="654" w:type="pct"/>
            <w:hideMark/>
          </w:tcPr>
          <w:p w14:paraId="6ABD457C" w14:textId="77777777" w:rsidR="00EE37FE" w:rsidRPr="004B2A97" w:rsidRDefault="00EE37FE"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Robust</w:t>
            </w:r>
          </w:p>
        </w:tc>
        <w:tc>
          <w:tcPr>
            <w:tcW w:w="652" w:type="pct"/>
            <w:hideMark/>
          </w:tcPr>
          <w:p w14:paraId="7A1F96D0" w14:textId="494B602C" w:rsidR="00EE37FE" w:rsidRPr="004B2A97" w:rsidRDefault="00EE37FE" w:rsidP="00B26383">
            <w:pPr>
              <w:spacing w:line="200" w:lineRule="atLeast"/>
              <w:jc w:val="center"/>
              <w:rPr>
                <w:rFonts w:eastAsia="Times New Roman" w:cstheme="minorHAnsi"/>
                <w:szCs w:val="16"/>
                <w:lang w:eastAsia="en-AU"/>
              </w:rPr>
            </w:pPr>
            <w:r w:rsidRPr="004B2A97">
              <w:rPr>
                <w:rFonts w:eastAsia="Times New Roman" w:cstheme="minorHAnsi"/>
                <w:szCs w:val="16"/>
                <w:lang w:eastAsia="en-AU"/>
              </w:rPr>
              <w:t xml:space="preserve">High </w:t>
            </w:r>
            <w:r w:rsidR="005F132E">
              <w:rPr>
                <w:rFonts w:eastAsia="Times New Roman" w:cstheme="minorHAnsi"/>
                <w:szCs w:val="16"/>
                <w:lang w:eastAsia="en-AU"/>
              </w:rPr>
              <w:t xml:space="preserve">Physical </w:t>
            </w:r>
            <w:r w:rsidRPr="004B2A97">
              <w:rPr>
                <w:rFonts w:eastAsia="Times New Roman" w:cstheme="minorHAnsi"/>
                <w:szCs w:val="16"/>
                <w:lang w:eastAsia="en-AU"/>
              </w:rPr>
              <w:t>Support</w:t>
            </w:r>
          </w:p>
        </w:tc>
      </w:tr>
      <w:tr w:rsidR="00EE37FE" w:rsidRPr="004B2A97" w14:paraId="5429F7FE" w14:textId="77777777" w:rsidTr="00B26383">
        <w:trPr>
          <w:cnfStyle w:val="000000100000" w:firstRow="0" w:lastRow="0" w:firstColumn="0" w:lastColumn="0" w:oddVBand="0" w:evenVBand="0" w:oddHBand="1" w:evenHBand="0" w:firstRowFirstColumn="0" w:firstRowLastColumn="0" w:lastRowFirstColumn="0" w:lastRowLastColumn="0"/>
        </w:trPr>
        <w:tc>
          <w:tcPr>
            <w:tcW w:w="1172" w:type="pct"/>
            <w:noWrap/>
            <w:hideMark/>
          </w:tcPr>
          <w:p w14:paraId="23821FA6" w14:textId="77777777" w:rsidR="00EE37FE" w:rsidRPr="004B2A97" w:rsidRDefault="00EE37FE"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560" w:type="pct"/>
            <w:noWrap/>
            <w:hideMark/>
          </w:tcPr>
          <w:p w14:paraId="5204F114" w14:textId="77777777" w:rsidR="00EE37FE" w:rsidRPr="004B2A97" w:rsidRDefault="00EE37FE"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1</w:t>
            </w:r>
          </w:p>
        </w:tc>
        <w:tc>
          <w:tcPr>
            <w:tcW w:w="654" w:type="pct"/>
            <w:noWrap/>
            <w:hideMark/>
          </w:tcPr>
          <w:p w14:paraId="22A17AF0"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27F60788"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248BA4AE"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1C396A80" w14:textId="77777777" w:rsidR="00EE37FE" w:rsidRPr="009679B3" w:rsidRDefault="00EE37FE"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$481,082</w:t>
            </w:r>
          </w:p>
        </w:tc>
        <w:tc>
          <w:tcPr>
            <w:tcW w:w="652" w:type="pct"/>
            <w:noWrap/>
            <w:hideMark/>
          </w:tcPr>
          <w:p w14:paraId="61B76852"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r>
      <w:tr w:rsidR="00EE37FE" w:rsidRPr="004B2A97" w14:paraId="5910E965" w14:textId="77777777" w:rsidTr="00B26383">
        <w:tc>
          <w:tcPr>
            <w:tcW w:w="1172" w:type="pct"/>
            <w:noWrap/>
            <w:hideMark/>
          </w:tcPr>
          <w:p w14:paraId="691B9BD2" w14:textId="77777777" w:rsidR="00EE37FE" w:rsidRPr="004B2A97" w:rsidRDefault="00EE37FE"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560" w:type="pct"/>
            <w:noWrap/>
            <w:hideMark/>
          </w:tcPr>
          <w:p w14:paraId="6335AB3E" w14:textId="77777777" w:rsidR="00EE37FE" w:rsidRPr="004B2A97" w:rsidRDefault="00EE37FE"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654" w:type="pct"/>
            <w:noWrap/>
            <w:hideMark/>
          </w:tcPr>
          <w:p w14:paraId="1CF74F34"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56A64406"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438C749E"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7E62B473" w14:textId="77777777" w:rsidR="00EE37FE" w:rsidRPr="009679B3" w:rsidRDefault="00EE37FE"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$583,706</w:t>
            </w:r>
          </w:p>
        </w:tc>
        <w:tc>
          <w:tcPr>
            <w:tcW w:w="652" w:type="pct"/>
            <w:noWrap/>
            <w:hideMark/>
          </w:tcPr>
          <w:p w14:paraId="2BB1A4ED"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r>
      <w:tr w:rsidR="00EE37FE" w:rsidRPr="004B2A97" w14:paraId="1DEF775F" w14:textId="77777777" w:rsidTr="00B26383">
        <w:trPr>
          <w:cnfStyle w:val="000000100000" w:firstRow="0" w:lastRow="0" w:firstColumn="0" w:lastColumn="0" w:oddVBand="0" w:evenVBand="0" w:oddHBand="1" w:evenHBand="0" w:firstRowFirstColumn="0" w:firstRowLastColumn="0" w:lastRowFirstColumn="0" w:lastRowLastColumn="0"/>
        </w:trPr>
        <w:tc>
          <w:tcPr>
            <w:tcW w:w="1172" w:type="pct"/>
            <w:noWrap/>
            <w:hideMark/>
          </w:tcPr>
          <w:p w14:paraId="78D6A499" w14:textId="77777777" w:rsidR="00EE37FE" w:rsidRPr="004B2A97" w:rsidRDefault="00EE37FE"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560" w:type="pct"/>
            <w:noWrap/>
            <w:hideMark/>
          </w:tcPr>
          <w:p w14:paraId="5D758AC6" w14:textId="77777777" w:rsidR="00EE37FE" w:rsidRPr="004B2A97" w:rsidRDefault="00EE37FE"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654" w:type="pct"/>
            <w:noWrap/>
            <w:hideMark/>
          </w:tcPr>
          <w:p w14:paraId="0159BE40"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6AE45B70"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5594CEC0"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48CC72E4" w14:textId="77777777" w:rsidR="00EE37FE" w:rsidRPr="009679B3" w:rsidRDefault="00EE37FE"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$746,293</w:t>
            </w:r>
          </w:p>
        </w:tc>
        <w:tc>
          <w:tcPr>
            <w:tcW w:w="652" w:type="pct"/>
            <w:noWrap/>
            <w:hideMark/>
          </w:tcPr>
          <w:p w14:paraId="6660782E"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r>
      <w:tr w:rsidR="00EE37FE" w:rsidRPr="004B2A97" w14:paraId="0ED9A6D4" w14:textId="77777777" w:rsidTr="00B26383">
        <w:tc>
          <w:tcPr>
            <w:tcW w:w="1172" w:type="pct"/>
            <w:noWrap/>
            <w:hideMark/>
          </w:tcPr>
          <w:p w14:paraId="06C33841" w14:textId="77777777" w:rsidR="00EE37FE" w:rsidRPr="004B2A97" w:rsidRDefault="00EE37FE"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560" w:type="pct"/>
            <w:noWrap/>
            <w:hideMark/>
          </w:tcPr>
          <w:p w14:paraId="0A51C6B2" w14:textId="77777777" w:rsidR="00EE37FE" w:rsidRPr="004B2A97" w:rsidRDefault="00EE37FE"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654" w:type="pct"/>
            <w:noWrap/>
            <w:hideMark/>
          </w:tcPr>
          <w:p w14:paraId="7E404D2A"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03DD2E6F"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574B1AA2"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7749AF89" w14:textId="77777777" w:rsidR="00EE37FE" w:rsidRPr="009679B3" w:rsidRDefault="00EE37FE"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$619,581</w:t>
            </w:r>
          </w:p>
        </w:tc>
        <w:tc>
          <w:tcPr>
            <w:tcW w:w="652" w:type="pct"/>
            <w:noWrap/>
            <w:hideMark/>
          </w:tcPr>
          <w:p w14:paraId="60E0102E"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r>
      <w:tr w:rsidR="00EE37FE" w:rsidRPr="004B2A97" w14:paraId="29490D61" w14:textId="77777777" w:rsidTr="00B26383">
        <w:trPr>
          <w:cnfStyle w:val="000000100000" w:firstRow="0" w:lastRow="0" w:firstColumn="0" w:lastColumn="0" w:oddVBand="0" w:evenVBand="0" w:oddHBand="1" w:evenHBand="0" w:firstRowFirstColumn="0" w:firstRowLastColumn="0" w:lastRowFirstColumn="0" w:lastRowLastColumn="0"/>
        </w:trPr>
        <w:tc>
          <w:tcPr>
            <w:tcW w:w="1172" w:type="pct"/>
            <w:noWrap/>
            <w:hideMark/>
          </w:tcPr>
          <w:p w14:paraId="4EE1DEFE" w14:textId="77777777" w:rsidR="00EE37FE" w:rsidRPr="004B2A97" w:rsidRDefault="00EE37FE"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560" w:type="pct"/>
            <w:noWrap/>
            <w:hideMark/>
          </w:tcPr>
          <w:p w14:paraId="4A349728" w14:textId="77777777" w:rsidR="00EE37FE" w:rsidRPr="004B2A97" w:rsidRDefault="00EE37FE"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654" w:type="pct"/>
            <w:noWrap/>
            <w:hideMark/>
          </w:tcPr>
          <w:p w14:paraId="5E97AE0C"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7BFCFE5D"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33B7273A"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1468B636" w14:textId="77777777" w:rsidR="00EE37FE" w:rsidRPr="009679B3" w:rsidRDefault="00EE37FE"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$835,354</w:t>
            </w:r>
          </w:p>
        </w:tc>
        <w:tc>
          <w:tcPr>
            <w:tcW w:w="652" w:type="pct"/>
            <w:noWrap/>
            <w:hideMark/>
          </w:tcPr>
          <w:p w14:paraId="1022FCCD"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r>
      <w:tr w:rsidR="00EE37FE" w:rsidRPr="004B2A97" w14:paraId="16CDB969" w14:textId="77777777" w:rsidTr="00B26383">
        <w:tc>
          <w:tcPr>
            <w:tcW w:w="1172" w:type="pct"/>
            <w:noWrap/>
            <w:hideMark/>
          </w:tcPr>
          <w:p w14:paraId="729311F6" w14:textId="16AB38CA" w:rsidR="00EE37FE" w:rsidRPr="004B2A97" w:rsidRDefault="00601689" w:rsidP="007F5A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560" w:type="pct"/>
            <w:noWrap/>
            <w:hideMark/>
          </w:tcPr>
          <w:p w14:paraId="0F24EE66" w14:textId="77777777" w:rsidR="00EE37FE" w:rsidRPr="004B2A97" w:rsidRDefault="00EE37FE"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4</w:t>
            </w:r>
          </w:p>
        </w:tc>
        <w:tc>
          <w:tcPr>
            <w:tcW w:w="654" w:type="pct"/>
            <w:noWrap/>
            <w:hideMark/>
          </w:tcPr>
          <w:p w14:paraId="16DA856A"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583CFC7D"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36AF1E1A"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7722AB5A" w14:textId="77777777" w:rsidR="00EE37FE" w:rsidRPr="009679B3" w:rsidRDefault="00EE37FE"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$1,071,970</w:t>
            </w:r>
          </w:p>
        </w:tc>
        <w:tc>
          <w:tcPr>
            <w:tcW w:w="652" w:type="pct"/>
            <w:noWrap/>
            <w:hideMark/>
          </w:tcPr>
          <w:p w14:paraId="081488B8"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r>
      <w:tr w:rsidR="00EE37FE" w:rsidRPr="004B2A97" w14:paraId="2FB3A201" w14:textId="77777777" w:rsidTr="00B26383">
        <w:trPr>
          <w:cnfStyle w:val="000000100000" w:firstRow="0" w:lastRow="0" w:firstColumn="0" w:lastColumn="0" w:oddVBand="0" w:evenVBand="0" w:oddHBand="1" w:evenHBand="0" w:firstRowFirstColumn="0" w:firstRowLastColumn="0" w:lastRowFirstColumn="0" w:lastRowLastColumn="0"/>
        </w:trPr>
        <w:tc>
          <w:tcPr>
            <w:tcW w:w="1172" w:type="pct"/>
            <w:noWrap/>
            <w:hideMark/>
          </w:tcPr>
          <w:p w14:paraId="6D4EBE51" w14:textId="5A23F9C7" w:rsidR="00EE37FE" w:rsidRPr="004B2A97" w:rsidRDefault="00601689" w:rsidP="007F5A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560" w:type="pct"/>
            <w:noWrap/>
            <w:hideMark/>
          </w:tcPr>
          <w:p w14:paraId="00E82D14" w14:textId="77777777" w:rsidR="00EE37FE" w:rsidRPr="004B2A97" w:rsidRDefault="00EE37FE"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5</w:t>
            </w:r>
          </w:p>
        </w:tc>
        <w:tc>
          <w:tcPr>
            <w:tcW w:w="654" w:type="pct"/>
            <w:noWrap/>
            <w:hideMark/>
          </w:tcPr>
          <w:p w14:paraId="66161149"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77A20020"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1CEBB26E"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c>
          <w:tcPr>
            <w:tcW w:w="654" w:type="pct"/>
            <w:noWrap/>
            <w:hideMark/>
          </w:tcPr>
          <w:p w14:paraId="1928E188" w14:textId="77777777" w:rsidR="00EE37FE" w:rsidRPr="009679B3" w:rsidRDefault="00EE37FE"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$1,172,270</w:t>
            </w:r>
          </w:p>
        </w:tc>
        <w:tc>
          <w:tcPr>
            <w:tcW w:w="652" w:type="pct"/>
            <w:noWrap/>
            <w:hideMark/>
          </w:tcPr>
          <w:p w14:paraId="5060E164" w14:textId="77777777" w:rsidR="00EE37FE" w:rsidRPr="004B2A97" w:rsidRDefault="00EE37FE" w:rsidP="00130F86">
            <w:pPr>
              <w:spacing w:line="200" w:lineRule="atLeast"/>
              <w:jc w:val="center"/>
              <w:rPr>
                <w:rFonts w:eastAsia="Times New Roman" w:cstheme="minorHAnsi"/>
                <w:color w:val="000000"/>
                <w:szCs w:val="16"/>
                <w:lang w:eastAsia="en-AU"/>
              </w:rPr>
            </w:pPr>
            <w:proofErr w:type="spellStart"/>
            <w:r w:rsidRPr="004B2A97">
              <w:rPr>
                <w:rFonts w:eastAsia="Times New Roman" w:cstheme="minorHAnsi"/>
                <w:color w:val="000000"/>
                <w:szCs w:val="16"/>
                <w:lang w:eastAsia="en-AU"/>
              </w:rPr>
              <w:t>na</w:t>
            </w:r>
            <w:proofErr w:type="spellEnd"/>
          </w:p>
        </w:tc>
      </w:tr>
    </w:tbl>
    <w:p w14:paraId="195AD0B0" w14:textId="393108FC" w:rsidR="00EE37FE" w:rsidRPr="00BA1D10" w:rsidRDefault="00EE37FE" w:rsidP="007F5AEA">
      <w:pPr>
        <w:spacing w:before="40" w:after="40" w:line="240" w:lineRule="atLeast"/>
        <w:rPr>
          <w:sz w:val="16"/>
          <w:szCs w:val="16"/>
        </w:rPr>
      </w:pPr>
      <w:r w:rsidRPr="00BA1D10">
        <w:rPr>
          <w:sz w:val="16"/>
          <w:szCs w:val="16"/>
        </w:rPr>
        <w:t xml:space="preserve">NOTE: There is no separate “with OOA” building cost for Apartments. The SDA amount for Apartments with OOA is calculated at the </w:t>
      </w:r>
      <w:proofErr w:type="spellStart"/>
      <w:r w:rsidRPr="00F668F8">
        <w:rPr>
          <w:b/>
          <w:bCs/>
          <w:sz w:val="16"/>
          <w:szCs w:val="16"/>
        </w:rPr>
        <w:t>SDA.Payment</w:t>
      </w:r>
      <w:proofErr w:type="spellEnd"/>
      <w:r w:rsidRPr="00BA1D10">
        <w:rPr>
          <w:sz w:val="16"/>
          <w:szCs w:val="16"/>
        </w:rPr>
        <w:t xml:space="preserve"> stage of the </w:t>
      </w:r>
      <w:r w:rsidRPr="001A5DFE">
        <w:rPr>
          <w:sz w:val="16"/>
          <w:szCs w:val="16"/>
        </w:rPr>
        <w:t xml:space="preserve">calculation (see page </w:t>
      </w:r>
      <w:r w:rsidR="00CC5D84" w:rsidRPr="00B30610">
        <w:rPr>
          <w:sz w:val="16"/>
          <w:szCs w:val="16"/>
        </w:rPr>
        <w:fldChar w:fldCharType="begin"/>
      </w:r>
      <w:r w:rsidR="00CC5D84" w:rsidRPr="00B30610">
        <w:rPr>
          <w:sz w:val="16"/>
          <w:szCs w:val="16"/>
        </w:rPr>
        <w:instrText xml:space="preserve"> PAGEREF _Ref113461038 \h </w:instrText>
      </w:r>
      <w:r w:rsidR="00CC5D84" w:rsidRPr="00B30610">
        <w:rPr>
          <w:sz w:val="16"/>
          <w:szCs w:val="16"/>
        </w:rPr>
      </w:r>
      <w:r w:rsidR="00CC5D84" w:rsidRPr="00B30610">
        <w:rPr>
          <w:sz w:val="16"/>
          <w:szCs w:val="16"/>
        </w:rPr>
        <w:fldChar w:fldCharType="separate"/>
      </w:r>
      <w:r w:rsidR="00765987">
        <w:rPr>
          <w:noProof/>
          <w:sz w:val="16"/>
          <w:szCs w:val="16"/>
        </w:rPr>
        <w:t>19</w:t>
      </w:r>
      <w:r w:rsidR="00CC5D84" w:rsidRPr="00B30610">
        <w:rPr>
          <w:sz w:val="16"/>
          <w:szCs w:val="16"/>
        </w:rPr>
        <w:fldChar w:fldCharType="end"/>
      </w:r>
      <w:r w:rsidR="00CC5D84" w:rsidRPr="00B30610">
        <w:rPr>
          <w:sz w:val="16"/>
          <w:szCs w:val="16"/>
        </w:rPr>
        <w:t xml:space="preserve"> </w:t>
      </w:r>
      <w:r w:rsidRPr="00B30610">
        <w:rPr>
          <w:sz w:val="16"/>
          <w:szCs w:val="16"/>
        </w:rPr>
        <w:t>above</w:t>
      </w:r>
      <w:r w:rsidRPr="001A5DFE">
        <w:rPr>
          <w:sz w:val="16"/>
          <w:szCs w:val="16"/>
        </w:rPr>
        <w:t>) by adding</w:t>
      </w:r>
      <w:r w:rsidRPr="00BA1D10">
        <w:rPr>
          <w:sz w:val="16"/>
          <w:szCs w:val="16"/>
        </w:rPr>
        <w:t xml:space="preserve"> a specified fraction of the </w:t>
      </w:r>
      <w:proofErr w:type="spellStart"/>
      <w:r w:rsidRPr="00F668F8">
        <w:rPr>
          <w:b/>
          <w:bCs/>
          <w:sz w:val="16"/>
          <w:szCs w:val="16"/>
        </w:rPr>
        <w:t>SDA.Payment</w:t>
      </w:r>
      <w:proofErr w:type="spellEnd"/>
      <w:r w:rsidRPr="00BA1D10">
        <w:rPr>
          <w:sz w:val="16"/>
          <w:szCs w:val="16"/>
        </w:rPr>
        <w:t xml:space="preserve"> of an equivalent dwelling without OOA. </w:t>
      </w:r>
    </w:p>
    <w:p w14:paraId="4C04BEFD" w14:textId="389341B4" w:rsidR="005153ED" w:rsidRDefault="0059594F" w:rsidP="007F5AEA">
      <w:pPr>
        <w:pStyle w:val="Heading5"/>
      </w:pPr>
      <w:r>
        <w:t xml:space="preserve">Adjusting Build Costs for Geographic </w:t>
      </w:r>
      <w:r w:rsidR="0099450E" w:rsidRPr="0099450E">
        <w:t>Location</w:t>
      </w:r>
    </w:p>
    <w:p w14:paraId="6D1FBB96" w14:textId="66451150" w:rsidR="008808E2" w:rsidRPr="003C1C9E" w:rsidRDefault="008808E2" w:rsidP="007F5AEA">
      <w:r>
        <w:t>This parameter varies by state and degree of remoteness</w:t>
      </w:r>
      <w:r w:rsidR="00F96C01">
        <w:t xml:space="preserve">. The current assumptions are </w:t>
      </w:r>
      <w:r w:rsidR="00CC5D84">
        <w:t xml:space="preserve">set out </w:t>
      </w:r>
      <w:r w:rsidR="00F96C01">
        <w:t>in</w:t>
      </w:r>
      <w:r>
        <w:t xml:space="preserve"> </w:t>
      </w:r>
      <w:r w:rsidRPr="00FA12C8">
        <w:rPr>
          <w:b/>
        </w:rPr>
        <w:fldChar w:fldCharType="begin"/>
      </w:r>
      <w:r w:rsidRPr="00FA12C8">
        <w:rPr>
          <w:b/>
        </w:rPr>
        <w:instrText xml:space="preserve"> REF _Ref102134607 \h </w:instrText>
      </w:r>
      <w:r w:rsidR="00CC5D84" w:rsidRPr="00FA12C8">
        <w:rPr>
          <w:b/>
        </w:rPr>
        <w:instrText xml:space="preserve"> \* MERGEFORMAT </w:instrText>
      </w:r>
      <w:r w:rsidRPr="00FA12C8">
        <w:rPr>
          <w:b/>
        </w:rPr>
      </w:r>
      <w:r w:rsidRPr="00FA12C8">
        <w:rPr>
          <w:b/>
        </w:rPr>
        <w:fldChar w:fldCharType="separate"/>
      </w:r>
      <w:r w:rsidR="00765987" w:rsidRPr="00765987">
        <w:rPr>
          <w:b/>
        </w:rPr>
        <w:t>Table 10</w:t>
      </w:r>
      <w:r w:rsidRPr="00FA12C8">
        <w:rPr>
          <w:b/>
        </w:rPr>
        <w:fldChar w:fldCharType="end"/>
      </w:r>
      <w:r>
        <w:t>.</w:t>
      </w:r>
    </w:p>
    <w:p w14:paraId="756C54DD" w14:textId="505867F8" w:rsidR="008808E2" w:rsidRPr="004B2A97" w:rsidRDefault="008808E2" w:rsidP="007F5AEA">
      <w:pPr>
        <w:pStyle w:val="Caption"/>
        <w:spacing w:before="120"/>
        <w:rPr>
          <w:color w:val="6B2976" w:themeColor="text1"/>
        </w:rPr>
      </w:pPr>
      <w:bookmarkStart w:id="36" w:name="_Ref102134607"/>
      <w:r w:rsidRPr="00392B76">
        <w:rPr>
          <w:color w:val="6B2976" w:themeColor="text1"/>
        </w:rPr>
        <w:t xml:space="preserve">Table </w:t>
      </w:r>
      <w:r w:rsidRPr="00392B76">
        <w:rPr>
          <w:color w:val="6B2976" w:themeColor="text1"/>
        </w:rPr>
        <w:fldChar w:fldCharType="begin"/>
      </w:r>
      <w:r w:rsidRPr="00392B76">
        <w:rPr>
          <w:color w:val="6B2976" w:themeColor="text1"/>
        </w:rPr>
        <w:instrText xml:space="preserve"> SEQ Table \* ARABIC </w:instrText>
      </w:r>
      <w:r w:rsidRPr="00392B76">
        <w:rPr>
          <w:color w:val="6B2976" w:themeColor="text1"/>
        </w:rPr>
        <w:fldChar w:fldCharType="separate"/>
      </w:r>
      <w:r w:rsidR="00765987">
        <w:rPr>
          <w:noProof/>
          <w:color w:val="6B2976" w:themeColor="text1"/>
        </w:rPr>
        <w:t>10</w:t>
      </w:r>
      <w:r w:rsidRPr="00392B76">
        <w:rPr>
          <w:color w:val="6B2976" w:themeColor="text1"/>
        </w:rPr>
        <w:fldChar w:fldCharType="end"/>
      </w:r>
      <w:bookmarkEnd w:id="36"/>
      <w:r w:rsidRPr="00392B76">
        <w:rPr>
          <w:color w:val="6B2976" w:themeColor="text1"/>
        </w:rPr>
        <w:t xml:space="preserve">: </w:t>
      </w:r>
      <w:r>
        <w:rPr>
          <w:color w:val="6B2976" w:themeColor="text1"/>
        </w:rPr>
        <w:t>Building Cost Location Multiplier</w:t>
      </w:r>
    </w:p>
    <w:tbl>
      <w:tblPr>
        <w:tblStyle w:val="GridTable4"/>
        <w:tblW w:w="4000" w:type="pct"/>
        <w:tblInd w:w="897" w:type="dxa"/>
        <w:tblLook w:val="0420" w:firstRow="1" w:lastRow="0" w:firstColumn="0" w:lastColumn="0" w:noHBand="0" w:noVBand="1"/>
      </w:tblPr>
      <w:tblGrid>
        <w:gridCol w:w="1804"/>
        <w:gridCol w:w="1352"/>
        <w:gridCol w:w="1353"/>
        <w:gridCol w:w="1353"/>
        <w:gridCol w:w="1352"/>
      </w:tblGrid>
      <w:tr w:rsidR="008808E2" w:rsidRPr="008D7BBF" w14:paraId="214269F8" w14:textId="77777777" w:rsidTr="00B26383">
        <w:trPr>
          <w:cnfStyle w:val="100000000000" w:firstRow="1" w:lastRow="0" w:firstColumn="0" w:lastColumn="0" w:oddVBand="0" w:evenVBand="0" w:oddHBand="0" w:evenHBand="0" w:firstRowFirstColumn="0" w:firstRowLastColumn="0" w:lastRowFirstColumn="0" w:lastRowLastColumn="0"/>
        </w:trPr>
        <w:tc>
          <w:tcPr>
            <w:tcW w:w="1250" w:type="pct"/>
            <w:noWrap/>
            <w:hideMark/>
          </w:tcPr>
          <w:p w14:paraId="5800875D" w14:textId="77777777" w:rsidR="008808E2" w:rsidRPr="008D7BBF" w:rsidRDefault="008808E2" w:rsidP="00130F86">
            <w:pPr>
              <w:spacing w:line="200" w:lineRule="atLeast"/>
              <w:rPr>
                <w:rFonts w:eastAsia="Times New Roman" w:cstheme="minorHAnsi"/>
                <w:szCs w:val="16"/>
                <w:lang w:eastAsia="en-AU"/>
              </w:rPr>
            </w:pPr>
            <w:r w:rsidRPr="008D7BBF">
              <w:rPr>
                <w:rFonts w:eastAsia="Times New Roman" w:cstheme="minorHAnsi"/>
                <w:szCs w:val="16"/>
                <w:lang w:eastAsia="en-AU"/>
              </w:rPr>
              <w:t> </w:t>
            </w:r>
            <w:r>
              <w:rPr>
                <w:rFonts w:eastAsia="Times New Roman" w:cstheme="minorHAnsi"/>
                <w:szCs w:val="16"/>
                <w:lang w:eastAsia="en-AU"/>
              </w:rPr>
              <w:t>State</w:t>
            </w:r>
          </w:p>
        </w:tc>
        <w:tc>
          <w:tcPr>
            <w:tcW w:w="937" w:type="pct"/>
            <w:hideMark/>
          </w:tcPr>
          <w:p w14:paraId="2755D5FA" w14:textId="77777777" w:rsidR="008808E2" w:rsidRPr="008D7BBF" w:rsidRDefault="008808E2" w:rsidP="00130F86">
            <w:pPr>
              <w:spacing w:line="200" w:lineRule="atLeast"/>
              <w:jc w:val="center"/>
              <w:rPr>
                <w:rFonts w:eastAsia="Times New Roman" w:cstheme="minorHAnsi"/>
                <w:szCs w:val="16"/>
                <w:lang w:eastAsia="en-AU"/>
              </w:rPr>
            </w:pPr>
            <w:r w:rsidRPr="008D7BBF">
              <w:rPr>
                <w:rFonts w:eastAsia="Times New Roman" w:cstheme="minorHAnsi"/>
                <w:szCs w:val="16"/>
                <w:lang w:eastAsia="en-AU"/>
              </w:rPr>
              <w:t>Major city</w:t>
            </w:r>
          </w:p>
        </w:tc>
        <w:tc>
          <w:tcPr>
            <w:tcW w:w="938" w:type="pct"/>
            <w:hideMark/>
          </w:tcPr>
          <w:p w14:paraId="22FE8D79" w14:textId="77777777" w:rsidR="008808E2" w:rsidRPr="008D7BBF" w:rsidRDefault="008808E2" w:rsidP="00130F86">
            <w:pPr>
              <w:spacing w:line="200" w:lineRule="atLeast"/>
              <w:jc w:val="center"/>
              <w:rPr>
                <w:rFonts w:eastAsia="Times New Roman" w:cstheme="minorHAnsi"/>
                <w:szCs w:val="16"/>
                <w:lang w:eastAsia="en-AU"/>
              </w:rPr>
            </w:pPr>
            <w:r w:rsidRPr="008D7BBF">
              <w:rPr>
                <w:rFonts w:eastAsia="Times New Roman" w:cstheme="minorHAnsi"/>
                <w:szCs w:val="16"/>
                <w:lang w:eastAsia="en-AU"/>
              </w:rPr>
              <w:t>Inner regional</w:t>
            </w:r>
          </w:p>
        </w:tc>
        <w:tc>
          <w:tcPr>
            <w:tcW w:w="938" w:type="pct"/>
            <w:hideMark/>
          </w:tcPr>
          <w:p w14:paraId="1A861089" w14:textId="77777777" w:rsidR="008808E2" w:rsidRPr="008D7BBF" w:rsidRDefault="008808E2" w:rsidP="00130F86">
            <w:pPr>
              <w:spacing w:line="200" w:lineRule="atLeast"/>
              <w:jc w:val="center"/>
              <w:rPr>
                <w:rFonts w:eastAsia="Times New Roman" w:cstheme="minorHAnsi"/>
                <w:szCs w:val="16"/>
                <w:lang w:eastAsia="en-AU"/>
              </w:rPr>
            </w:pPr>
            <w:r w:rsidRPr="008D7BBF">
              <w:rPr>
                <w:rFonts w:eastAsia="Times New Roman" w:cstheme="minorHAnsi"/>
                <w:szCs w:val="16"/>
                <w:lang w:eastAsia="en-AU"/>
              </w:rPr>
              <w:t>Outer regional</w:t>
            </w:r>
          </w:p>
        </w:tc>
        <w:tc>
          <w:tcPr>
            <w:tcW w:w="937" w:type="pct"/>
            <w:hideMark/>
          </w:tcPr>
          <w:p w14:paraId="24350661" w14:textId="77777777" w:rsidR="008808E2" w:rsidRPr="008D7BBF" w:rsidRDefault="008808E2" w:rsidP="00130F86">
            <w:pPr>
              <w:spacing w:line="200" w:lineRule="atLeast"/>
              <w:jc w:val="center"/>
              <w:rPr>
                <w:rFonts w:eastAsia="Times New Roman" w:cstheme="minorHAnsi"/>
                <w:szCs w:val="16"/>
                <w:lang w:eastAsia="en-AU"/>
              </w:rPr>
            </w:pPr>
            <w:r w:rsidRPr="008D7BBF">
              <w:rPr>
                <w:rFonts w:eastAsia="Times New Roman" w:cstheme="minorHAnsi"/>
                <w:szCs w:val="16"/>
                <w:lang w:eastAsia="en-AU"/>
              </w:rPr>
              <w:t>Remote</w:t>
            </w:r>
          </w:p>
        </w:tc>
      </w:tr>
      <w:tr w:rsidR="008808E2" w:rsidRPr="008D7BBF" w14:paraId="5847A292" w14:textId="77777777" w:rsidTr="00B26383">
        <w:trPr>
          <w:cnfStyle w:val="000000100000" w:firstRow="0" w:lastRow="0" w:firstColumn="0" w:lastColumn="0" w:oddVBand="0" w:evenVBand="0" w:oddHBand="1" w:evenHBand="0" w:firstRowFirstColumn="0" w:firstRowLastColumn="0" w:lastRowFirstColumn="0" w:lastRowLastColumn="0"/>
        </w:trPr>
        <w:tc>
          <w:tcPr>
            <w:tcW w:w="1250" w:type="pct"/>
            <w:noWrap/>
            <w:hideMark/>
          </w:tcPr>
          <w:p w14:paraId="0BE80173" w14:textId="77777777" w:rsidR="008808E2" w:rsidRPr="008D7BBF" w:rsidRDefault="008808E2" w:rsidP="00130F86">
            <w:pPr>
              <w:spacing w:line="200" w:lineRule="atLeast"/>
              <w:rPr>
                <w:rFonts w:eastAsia="Times New Roman" w:cstheme="minorHAnsi"/>
                <w:color w:val="000000"/>
                <w:szCs w:val="16"/>
                <w:lang w:eastAsia="en-AU"/>
              </w:rPr>
            </w:pPr>
            <w:r w:rsidRPr="008D7BBF">
              <w:rPr>
                <w:rFonts w:eastAsia="Times New Roman" w:cstheme="minorHAnsi"/>
                <w:color w:val="000000"/>
                <w:szCs w:val="16"/>
                <w:lang w:eastAsia="en-AU"/>
              </w:rPr>
              <w:t>NSW</w:t>
            </w:r>
          </w:p>
        </w:tc>
        <w:tc>
          <w:tcPr>
            <w:tcW w:w="937" w:type="pct"/>
            <w:noWrap/>
            <w:hideMark/>
          </w:tcPr>
          <w:p w14:paraId="5E8C4EA6"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1.03</w:t>
            </w:r>
          </w:p>
        </w:tc>
        <w:tc>
          <w:tcPr>
            <w:tcW w:w="938" w:type="pct"/>
            <w:noWrap/>
            <w:hideMark/>
          </w:tcPr>
          <w:p w14:paraId="47B22726"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1.08</w:t>
            </w:r>
          </w:p>
        </w:tc>
        <w:tc>
          <w:tcPr>
            <w:tcW w:w="938" w:type="pct"/>
            <w:noWrap/>
            <w:hideMark/>
          </w:tcPr>
          <w:p w14:paraId="1894A56A"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1.13</w:t>
            </w:r>
          </w:p>
        </w:tc>
        <w:tc>
          <w:tcPr>
            <w:tcW w:w="937" w:type="pct"/>
            <w:noWrap/>
            <w:hideMark/>
          </w:tcPr>
          <w:p w14:paraId="199A875C"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1.24</w:t>
            </w:r>
          </w:p>
        </w:tc>
      </w:tr>
      <w:tr w:rsidR="008808E2" w:rsidRPr="008D7BBF" w14:paraId="749364B1" w14:textId="77777777" w:rsidTr="00B26383">
        <w:tc>
          <w:tcPr>
            <w:tcW w:w="1250" w:type="pct"/>
            <w:noWrap/>
            <w:hideMark/>
          </w:tcPr>
          <w:p w14:paraId="4F34A630" w14:textId="77777777" w:rsidR="008808E2" w:rsidRPr="008D7BBF" w:rsidRDefault="008808E2" w:rsidP="00130F86">
            <w:pPr>
              <w:spacing w:line="200" w:lineRule="atLeast"/>
              <w:rPr>
                <w:rFonts w:eastAsia="Times New Roman" w:cstheme="minorHAnsi"/>
                <w:color w:val="000000"/>
                <w:szCs w:val="16"/>
                <w:lang w:eastAsia="en-AU"/>
              </w:rPr>
            </w:pPr>
            <w:r w:rsidRPr="008D7BBF">
              <w:rPr>
                <w:rFonts w:eastAsia="Times New Roman" w:cstheme="minorHAnsi"/>
                <w:color w:val="000000"/>
                <w:szCs w:val="16"/>
                <w:lang w:eastAsia="en-AU"/>
              </w:rPr>
              <w:t>Vic</w:t>
            </w:r>
          </w:p>
        </w:tc>
        <w:tc>
          <w:tcPr>
            <w:tcW w:w="937" w:type="pct"/>
            <w:noWrap/>
            <w:hideMark/>
          </w:tcPr>
          <w:p w14:paraId="31D84F89"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1.00</w:t>
            </w:r>
          </w:p>
        </w:tc>
        <w:tc>
          <w:tcPr>
            <w:tcW w:w="938" w:type="pct"/>
            <w:noWrap/>
            <w:hideMark/>
          </w:tcPr>
          <w:p w14:paraId="52701B47"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1.05</w:t>
            </w:r>
          </w:p>
        </w:tc>
        <w:tc>
          <w:tcPr>
            <w:tcW w:w="938" w:type="pct"/>
            <w:noWrap/>
            <w:hideMark/>
          </w:tcPr>
          <w:p w14:paraId="31D34AD6"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1.10</w:t>
            </w:r>
          </w:p>
        </w:tc>
        <w:tc>
          <w:tcPr>
            <w:tcW w:w="937" w:type="pct"/>
            <w:noWrap/>
            <w:hideMark/>
          </w:tcPr>
          <w:p w14:paraId="11EAB7A1"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1.20</w:t>
            </w:r>
          </w:p>
        </w:tc>
      </w:tr>
      <w:tr w:rsidR="008808E2" w:rsidRPr="008D7BBF" w14:paraId="06331B2A" w14:textId="77777777" w:rsidTr="00B26383">
        <w:trPr>
          <w:cnfStyle w:val="000000100000" w:firstRow="0" w:lastRow="0" w:firstColumn="0" w:lastColumn="0" w:oddVBand="0" w:evenVBand="0" w:oddHBand="1" w:evenHBand="0" w:firstRowFirstColumn="0" w:firstRowLastColumn="0" w:lastRowFirstColumn="0" w:lastRowLastColumn="0"/>
        </w:trPr>
        <w:tc>
          <w:tcPr>
            <w:tcW w:w="1250" w:type="pct"/>
            <w:noWrap/>
            <w:hideMark/>
          </w:tcPr>
          <w:p w14:paraId="558AC5E6" w14:textId="77777777" w:rsidR="008808E2" w:rsidRPr="008D7BBF" w:rsidRDefault="008808E2" w:rsidP="00130F86">
            <w:pPr>
              <w:spacing w:line="200" w:lineRule="atLeast"/>
              <w:rPr>
                <w:rFonts w:eastAsia="Times New Roman" w:cstheme="minorHAnsi"/>
                <w:color w:val="000000"/>
                <w:szCs w:val="16"/>
                <w:lang w:eastAsia="en-AU"/>
              </w:rPr>
            </w:pPr>
            <w:r w:rsidRPr="008D7BBF">
              <w:rPr>
                <w:rFonts w:eastAsia="Times New Roman" w:cstheme="minorHAnsi"/>
                <w:color w:val="000000"/>
                <w:szCs w:val="16"/>
                <w:lang w:eastAsia="en-AU"/>
              </w:rPr>
              <w:t>QLD</w:t>
            </w:r>
          </w:p>
        </w:tc>
        <w:tc>
          <w:tcPr>
            <w:tcW w:w="937" w:type="pct"/>
            <w:noWrap/>
            <w:hideMark/>
          </w:tcPr>
          <w:p w14:paraId="47D6DC19"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0.97</w:t>
            </w:r>
          </w:p>
        </w:tc>
        <w:tc>
          <w:tcPr>
            <w:tcW w:w="938" w:type="pct"/>
            <w:noWrap/>
            <w:hideMark/>
          </w:tcPr>
          <w:p w14:paraId="18C6993B"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1.02</w:t>
            </w:r>
          </w:p>
        </w:tc>
        <w:tc>
          <w:tcPr>
            <w:tcW w:w="938" w:type="pct"/>
            <w:noWrap/>
            <w:hideMark/>
          </w:tcPr>
          <w:p w14:paraId="15F1205D"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1.07</w:t>
            </w:r>
          </w:p>
        </w:tc>
        <w:tc>
          <w:tcPr>
            <w:tcW w:w="937" w:type="pct"/>
            <w:noWrap/>
            <w:hideMark/>
          </w:tcPr>
          <w:p w14:paraId="5E733E8A"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1.16</w:t>
            </w:r>
          </w:p>
        </w:tc>
      </w:tr>
      <w:tr w:rsidR="008808E2" w:rsidRPr="008D7BBF" w14:paraId="005D8AD8" w14:textId="77777777" w:rsidTr="00B26383">
        <w:tc>
          <w:tcPr>
            <w:tcW w:w="1250" w:type="pct"/>
            <w:noWrap/>
            <w:hideMark/>
          </w:tcPr>
          <w:p w14:paraId="71A5C45D" w14:textId="77777777" w:rsidR="008808E2" w:rsidRPr="008D7BBF" w:rsidRDefault="008808E2" w:rsidP="00130F86">
            <w:pPr>
              <w:spacing w:line="200" w:lineRule="atLeast"/>
              <w:rPr>
                <w:rFonts w:eastAsia="Times New Roman" w:cstheme="minorHAnsi"/>
                <w:color w:val="000000"/>
                <w:szCs w:val="16"/>
                <w:lang w:eastAsia="en-AU"/>
              </w:rPr>
            </w:pPr>
            <w:r w:rsidRPr="008D7BBF">
              <w:rPr>
                <w:rFonts w:eastAsia="Times New Roman" w:cstheme="minorHAnsi"/>
                <w:color w:val="000000"/>
                <w:szCs w:val="16"/>
                <w:lang w:eastAsia="en-AU"/>
              </w:rPr>
              <w:t>SA</w:t>
            </w:r>
          </w:p>
        </w:tc>
        <w:tc>
          <w:tcPr>
            <w:tcW w:w="937" w:type="pct"/>
            <w:noWrap/>
            <w:hideMark/>
          </w:tcPr>
          <w:p w14:paraId="7F6B2722"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1.02</w:t>
            </w:r>
          </w:p>
        </w:tc>
        <w:tc>
          <w:tcPr>
            <w:tcW w:w="938" w:type="pct"/>
            <w:noWrap/>
            <w:hideMark/>
          </w:tcPr>
          <w:p w14:paraId="4CC92D3A"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1.07</w:t>
            </w:r>
          </w:p>
        </w:tc>
        <w:tc>
          <w:tcPr>
            <w:tcW w:w="938" w:type="pct"/>
            <w:noWrap/>
            <w:hideMark/>
          </w:tcPr>
          <w:p w14:paraId="5CD8D6DF"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1.12</w:t>
            </w:r>
          </w:p>
        </w:tc>
        <w:tc>
          <w:tcPr>
            <w:tcW w:w="937" w:type="pct"/>
            <w:noWrap/>
            <w:hideMark/>
          </w:tcPr>
          <w:p w14:paraId="05B809D3"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1.22</w:t>
            </w:r>
          </w:p>
        </w:tc>
      </w:tr>
      <w:tr w:rsidR="008808E2" w:rsidRPr="008D7BBF" w14:paraId="2FDA87F1" w14:textId="77777777" w:rsidTr="00B26383">
        <w:trPr>
          <w:cnfStyle w:val="000000100000" w:firstRow="0" w:lastRow="0" w:firstColumn="0" w:lastColumn="0" w:oddVBand="0" w:evenVBand="0" w:oddHBand="1" w:evenHBand="0" w:firstRowFirstColumn="0" w:firstRowLastColumn="0" w:lastRowFirstColumn="0" w:lastRowLastColumn="0"/>
        </w:trPr>
        <w:tc>
          <w:tcPr>
            <w:tcW w:w="1250" w:type="pct"/>
            <w:noWrap/>
            <w:hideMark/>
          </w:tcPr>
          <w:p w14:paraId="1FA433DF" w14:textId="77777777" w:rsidR="008808E2" w:rsidRPr="008D7BBF" w:rsidRDefault="008808E2" w:rsidP="00130F86">
            <w:pPr>
              <w:spacing w:line="200" w:lineRule="atLeast"/>
              <w:rPr>
                <w:rFonts w:eastAsia="Times New Roman" w:cstheme="minorHAnsi"/>
                <w:color w:val="000000"/>
                <w:szCs w:val="16"/>
                <w:lang w:eastAsia="en-AU"/>
              </w:rPr>
            </w:pPr>
            <w:r w:rsidRPr="008D7BBF">
              <w:rPr>
                <w:rFonts w:eastAsia="Times New Roman" w:cstheme="minorHAnsi"/>
                <w:color w:val="000000"/>
                <w:szCs w:val="16"/>
                <w:lang w:eastAsia="en-AU"/>
              </w:rPr>
              <w:t>WA</w:t>
            </w:r>
          </w:p>
        </w:tc>
        <w:tc>
          <w:tcPr>
            <w:tcW w:w="937" w:type="pct"/>
            <w:noWrap/>
            <w:hideMark/>
          </w:tcPr>
          <w:p w14:paraId="7966BCB7"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1.07</w:t>
            </w:r>
          </w:p>
        </w:tc>
        <w:tc>
          <w:tcPr>
            <w:tcW w:w="938" w:type="pct"/>
            <w:noWrap/>
            <w:hideMark/>
          </w:tcPr>
          <w:p w14:paraId="7562A460"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1.12</w:t>
            </w:r>
          </w:p>
        </w:tc>
        <w:tc>
          <w:tcPr>
            <w:tcW w:w="938" w:type="pct"/>
            <w:noWrap/>
            <w:hideMark/>
          </w:tcPr>
          <w:p w14:paraId="6448E64B"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1.18</w:t>
            </w:r>
          </w:p>
        </w:tc>
        <w:tc>
          <w:tcPr>
            <w:tcW w:w="937" w:type="pct"/>
            <w:noWrap/>
            <w:hideMark/>
          </w:tcPr>
          <w:p w14:paraId="5BB7A8FB"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1.28</w:t>
            </w:r>
          </w:p>
        </w:tc>
      </w:tr>
      <w:tr w:rsidR="008808E2" w:rsidRPr="008D7BBF" w14:paraId="5C2761F4" w14:textId="77777777" w:rsidTr="00B26383">
        <w:tc>
          <w:tcPr>
            <w:tcW w:w="1250" w:type="pct"/>
            <w:noWrap/>
            <w:hideMark/>
          </w:tcPr>
          <w:p w14:paraId="6D9DEB76" w14:textId="77777777" w:rsidR="008808E2" w:rsidRPr="008D7BBF" w:rsidRDefault="008808E2" w:rsidP="00130F86">
            <w:pPr>
              <w:spacing w:line="200" w:lineRule="atLeast"/>
              <w:rPr>
                <w:rFonts w:eastAsia="Times New Roman" w:cstheme="minorHAnsi"/>
                <w:color w:val="000000"/>
                <w:szCs w:val="16"/>
                <w:lang w:eastAsia="en-AU"/>
              </w:rPr>
            </w:pPr>
            <w:r w:rsidRPr="008D7BBF">
              <w:rPr>
                <w:rFonts w:eastAsia="Times New Roman" w:cstheme="minorHAnsi"/>
                <w:color w:val="000000"/>
                <w:szCs w:val="16"/>
                <w:lang w:eastAsia="en-AU"/>
              </w:rPr>
              <w:t>Tas</w:t>
            </w:r>
          </w:p>
        </w:tc>
        <w:tc>
          <w:tcPr>
            <w:tcW w:w="937" w:type="pct"/>
            <w:noWrap/>
            <w:hideMark/>
          </w:tcPr>
          <w:p w14:paraId="5E5EEF92"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1.04</w:t>
            </w:r>
          </w:p>
        </w:tc>
        <w:tc>
          <w:tcPr>
            <w:tcW w:w="938" w:type="pct"/>
            <w:noWrap/>
            <w:hideMark/>
          </w:tcPr>
          <w:p w14:paraId="7B19AED8"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1.09</w:t>
            </w:r>
          </w:p>
        </w:tc>
        <w:tc>
          <w:tcPr>
            <w:tcW w:w="938" w:type="pct"/>
            <w:noWrap/>
            <w:hideMark/>
          </w:tcPr>
          <w:p w14:paraId="23558982"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1.14</w:t>
            </w:r>
          </w:p>
        </w:tc>
        <w:tc>
          <w:tcPr>
            <w:tcW w:w="937" w:type="pct"/>
            <w:noWrap/>
            <w:hideMark/>
          </w:tcPr>
          <w:p w14:paraId="23890F94"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1.25</w:t>
            </w:r>
          </w:p>
        </w:tc>
      </w:tr>
      <w:tr w:rsidR="008808E2" w:rsidRPr="008D7BBF" w14:paraId="4827FE91" w14:textId="77777777" w:rsidTr="00B26383">
        <w:trPr>
          <w:cnfStyle w:val="000000100000" w:firstRow="0" w:lastRow="0" w:firstColumn="0" w:lastColumn="0" w:oddVBand="0" w:evenVBand="0" w:oddHBand="1" w:evenHBand="0" w:firstRowFirstColumn="0" w:firstRowLastColumn="0" w:lastRowFirstColumn="0" w:lastRowLastColumn="0"/>
        </w:trPr>
        <w:tc>
          <w:tcPr>
            <w:tcW w:w="1250" w:type="pct"/>
            <w:noWrap/>
            <w:hideMark/>
          </w:tcPr>
          <w:p w14:paraId="6DE5A887" w14:textId="77777777" w:rsidR="008808E2" w:rsidRPr="008D7BBF" w:rsidRDefault="008808E2" w:rsidP="00130F86">
            <w:pPr>
              <w:spacing w:line="200" w:lineRule="atLeast"/>
              <w:rPr>
                <w:rFonts w:eastAsia="Times New Roman" w:cstheme="minorHAnsi"/>
                <w:color w:val="000000"/>
                <w:szCs w:val="16"/>
                <w:lang w:eastAsia="en-AU"/>
              </w:rPr>
            </w:pPr>
            <w:r w:rsidRPr="008D7BBF">
              <w:rPr>
                <w:rFonts w:eastAsia="Times New Roman" w:cstheme="minorHAnsi"/>
                <w:color w:val="000000"/>
                <w:szCs w:val="16"/>
                <w:lang w:eastAsia="en-AU"/>
              </w:rPr>
              <w:t>ACT</w:t>
            </w:r>
          </w:p>
        </w:tc>
        <w:tc>
          <w:tcPr>
            <w:tcW w:w="937" w:type="pct"/>
            <w:noWrap/>
            <w:hideMark/>
          </w:tcPr>
          <w:p w14:paraId="1E7F298C"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1.06</w:t>
            </w:r>
          </w:p>
        </w:tc>
        <w:tc>
          <w:tcPr>
            <w:tcW w:w="938" w:type="pct"/>
            <w:noWrap/>
            <w:hideMark/>
          </w:tcPr>
          <w:p w14:paraId="0F69A5EC"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1.11</w:t>
            </w:r>
          </w:p>
        </w:tc>
        <w:tc>
          <w:tcPr>
            <w:tcW w:w="938" w:type="pct"/>
            <w:noWrap/>
            <w:hideMark/>
          </w:tcPr>
          <w:p w14:paraId="630EFBD7"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1.17</w:t>
            </w:r>
          </w:p>
        </w:tc>
        <w:tc>
          <w:tcPr>
            <w:tcW w:w="937" w:type="pct"/>
            <w:noWrap/>
            <w:hideMark/>
          </w:tcPr>
          <w:p w14:paraId="50E04E48"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1.27</w:t>
            </w:r>
          </w:p>
        </w:tc>
      </w:tr>
      <w:tr w:rsidR="008808E2" w:rsidRPr="008D7BBF" w14:paraId="1C466B93" w14:textId="77777777" w:rsidTr="00B26383">
        <w:tc>
          <w:tcPr>
            <w:tcW w:w="1250" w:type="pct"/>
            <w:noWrap/>
            <w:hideMark/>
          </w:tcPr>
          <w:p w14:paraId="415DD56C" w14:textId="77777777" w:rsidR="008808E2" w:rsidRPr="008D7BBF" w:rsidRDefault="008808E2" w:rsidP="00130F86">
            <w:pPr>
              <w:spacing w:line="200" w:lineRule="atLeast"/>
              <w:rPr>
                <w:rFonts w:eastAsia="Times New Roman" w:cstheme="minorHAnsi"/>
                <w:color w:val="000000"/>
                <w:szCs w:val="16"/>
                <w:lang w:eastAsia="en-AU"/>
              </w:rPr>
            </w:pPr>
            <w:r w:rsidRPr="008D7BBF">
              <w:rPr>
                <w:rFonts w:eastAsia="Times New Roman" w:cstheme="minorHAnsi"/>
                <w:color w:val="000000"/>
                <w:szCs w:val="16"/>
                <w:lang w:eastAsia="en-AU"/>
              </w:rPr>
              <w:t>NT</w:t>
            </w:r>
          </w:p>
        </w:tc>
        <w:tc>
          <w:tcPr>
            <w:tcW w:w="937" w:type="pct"/>
            <w:noWrap/>
            <w:hideMark/>
          </w:tcPr>
          <w:p w14:paraId="47D1546B"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1.26</w:t>
            </w:r>
          </w:p>
        </w:tc>
        <w:tc>
          <w:tcPr>
            <w:tcW w:w="938" w:type="pct"/>
            <w:noWrap/>
            <w:hideMark/>
          </w:tcPr>
          <w:p w14:paraId="44A071F3"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1.32</w:t>
            </w:r>
          </w:p>
        </w:tc>
        <w:tc>
          <w:tcPr>
            <w:tcW w:w="938" w:type="pct"/>
            <w:noWrap/>
            <w:hideMark/>
          </w:tcPr>
          <w:p w14:paraId="5A405264"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1.39</w:t>
            </w:r>
          </w:p>
        </w:tc>
        <w:tc>
          <w:tcPr>
            <w:tcW w:w="937" w:type="pct"/>
            <w:noWrap/>
            <w:hideMark/>
          </w:tcPr>
          <w:p w14:paraId="70A59B5E" w14:textId="77777777" w:rsidR="008808E2" w:rsidRPr="00444454" w:rsidRDefault="008808E2" w:rsidP="00130F86">
            <w:pPr>
              <w:spacing w:line="200" w:lineRule="atLeast"/>
              <w:jc w:val="center"/>
              <w:rPr>
                <w:rFonts w:eastAsia="Times New Roman" w:cstheme="minorHAnsi"/>
                <w:szCs w:val="16"/>
                <w:lang w:eastAsia="en-AU"/>
              </w:rPr>
            </w:pPr>
            <w:r w:rsidRPr="00444454">
              <w:rPr>
                <w:rFonts w:eastAsia="Times New Roman" w:cstheme="minorHAnsi"/>
                <w:szCs w:val="16"/>
                <w:lang w:eastAsia="en-AU"/>
              </w:rPr>
              <w:t>1.51</w:t>
            </w:r>
          </w:p>
        </w:tc>
      </w:tr>
    </w:tbl>
    <w:p w14:paraId="549994C8" w14:textId="65A5E423" w:rsidR="00A15DD4" w:rsidRDefault="0059594F" w:rsidP="007F5AEA">
      <w:pPr>
        <w:pStyle w:val="Heading5"/>
      </w:pPr>
      <w:r>
        <w:t>Further Adjusting Build Costs for Cyclonic Conditions</w:t>
      </w:r>
    </w:p>
    <w:p w14:paraId="22EDA735" w14:textId="2287A857" w:rsidR="00F22A5F" w:rsidRPr="009E4955" w:rsidRDefault="00F22A5F" w:rsidP="007F5AEA">
      <w:r>
        <w:t xml:space="preserve">The </w:t>
      </w:r>
      <w:proofErr w:type="spellStart"/>
      <w:proofErr w:type="gramStart"/>
      <w:r w:rsidRPr="00F668F8">
        <w:rPr>
          <w:b/>
          <w:bCs/>
        </w:rPr>
        <w:t>Build.Multiplier.Cyclone</w:t>
      </w:r>
      <w:proofErr w:type="spellEnd"/>
      <w:proofErr w:type="gramEnd"/>
      <w:r>
        <w:t xml:space="preserve"> parameter further adjusts the build cost of the dwelling for regions that are prone to cyclones and applies in five regions</w:t>
      </w:r>
      <w:r w:rsidRPr="006F19EB">
        <w:rPr>
          <w:color w:val="E35205" w:themeColor="accent6"/>
        </w:rPr>
        <w:t xml:space="preserve">. </w:t>
      </w:r>
      <w:r w:rsidRPr="009679B3">
        <w:t xml:space="preserve">It is </w:t>
      </w:r>
      <w:r w:rsidR="0059594F">
        <w:t xml:space="preserve">currently assumed to </w:t>
      </w:r>
      <w:proofErr w:type="gramStart"/>
      <w:r w:rsidR="0059594F">
        <w:t xml:space="preserve">be </w:t>
      </w:r>
      <w:r w:rsidRPr="009679B3">
        <w:t xml:space="preserve"> </w:t>
      </w:r>
      <w:r w:rsidRPr="009679B3">
        <w:lastRenderedPageBreak/>
        <w:t>1.015</w:t>
      </w:r>
      <w:proofErr w:type="gramEnd"/>
      <w:r w:rsidRPr="009679B3">
        <w:t xml:space="preserve"> and applies to dwellings in the Cairns, Fitzroy, MacKay and Townsville regions of Queensland and in the Darwin region of the Northern </w:t>
      </w:r>
      <w:r w:rsidRPr="009E4955">
        <w:t>Territory.</w:t>
      </w:r>
    </w:p>
    <w:p w14:paraId="12345AF9" w14:textId="6F1557D2" w:rsidR="00F02A17" w:rsidRDefault="0059594F" w:rsidP="007F5AEA">
      <w:pPr>
        <w:pStyle w:val="Heading5"/>
      </w:pPr>
      <w:r>
        <w:t>Cost of Land</w:t>
      </w:r>
    </w:p>
    <w:p w14:paraId="7D92B734" w14:textId="1B1BDBCE" w:rsidR="00FC3B46" w:rsidRDefault="00FC3B46" w:rsidP="007F5AEA">
      <w:r>
        <w:t xml:space="preserve">The </w:t>
      </w:r>
      <w:proofErr w:type="spellStart"/>
      <w:r w:rsidRPr="00F668F8">
        <w:rPr>
          <w:b/>
          <w:bCs/>
        </w:rPr>
        <w:t>Land.</w:t>
      </w:r>
      <w:r w:rsidR="0059594F">
        <w:rPr>
          <w:b/>
          <w:bCs/>
        </w:rPr>
        <w:t>Cost</w:t>
      </w:r>
      <w:proofErr w:type="spellEnd"/>
      <w:r>
        <w:t xml:space="preserve"> parameter represents the purchase price of the land on which the </w:t>
      </w:r>
      <w:r w:rsidR="005F132E">
        <w:t>d</w:t>
      </w:r>
      <w:r>
        <w:t>welling is situated. It is calculated by the following formula:</w:t>
      </w:r>
    </w:p>
    <w:p w14:paraId="008B414D" w14:textId="0FE8CF43" w:rsidR="00FC3B46" w:rsidRPr="003C1C9E" w:rsidRDefault="00FC3B46" w:rsidP="007F5AEA">
      <w:pPr>
        <w:spacing w:before="300" w:after="300"/>
        <w:rPr>
          <w:rFonts w:ascii="Cambria Math" w:hAnsi="Cambria Math"/>
        </w:rPr>
      </w:pPr>
      <m:oMathPara>
        <m:oMath>
          <m:r>
            <w:rPr>
              <w:rFonts w:ascii="Cambria Math" w:hAnsi="Cambria Math"/>
            </w:rPr>
            <m:t>Land.Cost=Area*Cost.Per.Square.Metre</m:t>
          </m:r>
        </m:oMath>
      </m:oMathPara>
    </w:p>
    <w:p w14:paraId="7954E0BD" w14:textId="77777777" w:rsidR="00FC3B46" w:rsidRDefault="00FC3B46" w:rsidP="007F5AEA">
      <w:proofErr w:type="gramStart"/>
      <w:r>
        <w:t>Where</w:t>
      </w:r>
      <w:proofErr w:type="gramEnd"/>
    </w:p>
    <w:p w14:paraId="483EB496" w14:textId="15F767F9" w:rsidR="00FC3B46" w:rsidRDefault="00FC3B46" w:rsidP="007F5AEA">
      <w:pPr>
        <w:pStyle w:val="ListParagraph"/>
        <w:numPr>
          <w:ilvl w:val="0"/>
          <w:numId w:val="3"/>
        </w:numPr>
      </w:pPr>
      <w:r w:rsidRPr="0059594F">
        <w:rPr>
          <w:b/>
          <w:bCs/>
        </w:rPr>
        <w:t>Area</w:t>
      </w:r>
      <w:r>
        <w:t xml:space="preserve"> is the size of the footprint of the dwelling and surrounding area</w:t>
      </w:r>
      <w:r w:rsidR="00F96C01">
        <w:t xml:space="preserve">. The current assumptions are in </w:t>
      </w:r>
      <w:r w:rsidRPr="00FA12C8">
        <w:rPr>
          <w:b/>
        </w:rPr>
        <w:fldChar w:fldCharType="begin"/>
      </w:r>
      <w:r w:rsidRPr="00FA12C8">
        <w:rPr>
          <w:b/>
        </w:rPr>
        <w:instrText xml:space="preserve"> REF _Ref102136994 \h </w:instrText>
      </w:r>
      <w:r w:rsidR="0059594F" w:rsidRPr="00FA12C8">
        <w:rPr>
          <w:b/>
        </w:rPr>
        <w:instrText xml:space="preserve"> \* MERGEFORMAT </w:instrText>
      </w:r>
      <w:r w:rsidRPr="00FA12C8">
        <w:rPr>
          <w:b/>
        </w:rPr>
      </w:r>
      <w:r w:rsidRPr="00FA12C8">
        <w:rPr>
          <w:b/>
        </w:rPr>
        <w:fldChar w:fldCharType="separate"/>
      </w:r>
      <w:r w:rsidR="00765987" w:rsidRPr="00765987">
        <w:rPr>
          <w:b/>
        </w:rPr>
        <w:t>Table 11</w:t>
      </w:r>
      <w:r w:rsidRPr="00FA12C8">
        <w:rPr>
          <w:b/>
        </w:rPr>
        <w:fldChar w:fldCharType="end"/>
      </w:r>
      <w:r w:rsidR="00F96C01">
        <w:t>.</w:t>
      </w:r>
    </w:p>
    <w:p w14:paraId="28A2C286" w14:textId="2F032CB3" w:rsidR="00FC3B46" w:rsidRDefault="00FC3B46" w:rsidP="007F5AEA">
      <w:pPr>
        <w:pStyle w:val="ListParagraph"/>
        <w:numPr>
          <w:ilvl w:val="0"/>
          <w:numId w:val="3"/>
        </w:numPr>
      </w:pPr>
      <w:proofErr w:type="spellStart"/>
      <w:proofErr w:type="gramStart"/>
      <w:r w:rsidRPr="00F668F8">
        <w:rPr>
          <w:b/>
          <w:bCs/>
        </w:rPr>
        <w:t>Cost.Per.Square.Metre</w:t>
      </w:r>
      <w:proofErr w:type="spellEnd"/>
      <w:proofErr w:type="gramEnd"/>
      <w:r>
        <w:t xml:space="preserve"> is the average cost per square metre to purchase land by region</w:t>
      </w:r>
      <w:r w:rsidR="00F96C01">
        <w:t xml:space="preserve">. The current assumptions are in </w:t>
      </w:r>
      <w:r w:rsidRPr="00FA12C8">
        <w:rPr>
          <w:b/>
        </w:rPr>
        <w:fldChar w:fldCharType="begin"/>
      </w:r>
      <w:r w:rsidRPr="00FA12C8">
        <w:rPr>
          <w:b/>
        </w:rPr>
        <w:instrText xml:space="preserve"> REF _Ref102136988 \h </w:instrText>
      </w:r>
      <w:r w:rsidR="0059594F" w:rsidRPr="00FA12C8">
        <w:rPr>
          <w:b/>
        </w:rPr>
        <w:instrText xml:space="preserve"> \* MERGEFORMAT </w:instrText>
      </w:r>
      <w:r w:rsidRPr="00FA12C8">
        <w:rPr>
          <w:b/>
        </w:rPr>
      </w:r>
      <w:r w:rsidRPr="00FA12C8">
        <w:rPr>
          <w:b/>
        </w:rPr>
        <w:fldChar w:fldCharType="separate"/>
      </w:r>
      <w:r w:rsidR="00765987" w:rsidRPr="00765987">
        <w:rPr>
          <w:b/>
        </w:rPr>
        <w:t>Table 12</w:t>
      </w:r>
      <w:r w:rsidRPr="00FA12C8">
        <w:rPr>
          <w:b/>
        </w:rPr>
        <w:fldChar w:fldCharType="end"/>
      </w:r>
      <w:r w:rsidR="00F96C01">
        <w:t>.</w:t>
      </w:r>
    </w:p>
    <w:p w14:paraId="070D54F7" w14:textId="5A3E3190" w:rsidR="00FC3B46" w:rsidRPr="00392B76" w:rsidRDefault="00FC3B46" w:rsidP="007F5AEA">
      <w:pPr>
        <w:pStyle w:val="Caption"/>
        <w:spacing w:before="120"/>
        <w:rPr>
          <w:color w:val="6B2976" w:themeColor="text1"/>
        </w:rPr>
      </w:pPr>
      <w:bookmarkStart w:id="37" w:name="_Ref102136994"/>
      <w:r w:rsidRPr="00392B76">
        <w:rPr>
          <w:color w:val="6B2976" w:themeColor="text1"/>
        </w:rPr>
        <w:t xml:space="preserve">Table </w:t>
      </w:r>
      <w:r w:rsidRPr="00392B76">
        <w:rPr>
          <w:color w:val="6B2976" w:themeColor="text1"/>
        </w:rPr>
        <w:fldChar w:fldCharType="begin"/>
      </w:r>
      <w:r w:rsidRPr="00392B76">
        <w:rPr>
          <w:color w:val="6B2976" w:themeColor="text1"/>
        </w:rPr>
        <w:instrText xml:space="preserve"> SEQ Table \* ARABIC </w:instrText>
      </w:r>
      <w:r w:rsidRPr="00392B76">
        <w:rPr>
          <w:color w:val="6B2976" w:themeColor="text1"/>
        </w:rPr>
        <w:fldChar w:fldCharType="separate"/>
      </w:r>
      <w:r w:rsidR="00765987">
        <w:rPr>
          <w:noProof/>
          <w:color w:val="6B2976" w:themeColor="text1"/>
        </w:rPr>
        <w:t>11</w:t>
      </w:r>
      <w:r w:rsidRPr="00392B76">
        <w:rPr>
          <w:color w:val="6B2976" w:themeColor="text1"/>
        </w:rPr>
        <w:fldChar w:fldCharType="end"/>
      </w:r>
      <w:bookmarkEnd w:id="37"/>
      <w:r w:rsidRPr="00392B76">
        <w:rPr>
          <w:color w:val="6B2976" w:themeColor="text1"/>
        </w:rPr>
        <w:t xml:space="preserve">: </w:t>
      </w:r>
      <w:r>
        <w:rPr>
          <w:color w:val="6B2976" w:themeColor="text1"/>
        </w:rPr>
        <w:t>Area of Dwellings</w:t>
      </w:r>
    </w:p>
    <w:tbl>
      <w:tblPr>
        <w:tblStyle w:val="GridTable4"/>
        <w:tblW w:w="3000" w:type="pct"/>
        <w:tblInd w:w="1800" w:type="dxa"/>
        <w:tblLook w:val="0420" w:firstRow="1" w:lastRow="0" w:firstColumn="0" w:lastColumn="0" w:noHBand="0" w:noVBand="1"/>
      </w:tblPr>
      <w:tblGrid>
        <w:gridCol w:w="2657"/>
        <w:gridCol w:w="1268"/>
        <w:gridCol w:w="1485"/>
      </w:tblGrid>
      <w:tr w:rsidR="00FC3B46" w:rsidRPr="004B2A97" w14:paraId="5078930C" w14:textId="77777777" w:rsidTr="00B26383">
        <w:trPr>
          <w:cnfStyle w:val="100000000000" w:firstRow="1" w:lastRow="0" w:firstColumn="0" w:lastColumn="0" w:oddVBand="0" w:evenVBand="0" w:oddHBand="0" w:evenHBand="0" w:firstRowFirstColumn="0" w:firstRowLastColumn="0" w:lastRowFirstColumn="0" w:lastRowLastColumn="0"/>
        </w:trPr>
        <w:tc>
          <w:tcPr>
            <w:tcW w:w="2456" w:type="pct"/>
            <w:hideMark/>
          </w:tcPr>
          <w:p w14:paraId="258149BF" w14:textId="77777777" w:rsidR="00FC3B46" w:rsidRPr="004B2A97" w:rsidRDefault="00FC3B46" w:rsidP="007F5AEA">
            <w:pPr>
              <w:spacing w:line="200" w:lineRule="atLeast"/>
              <w:rPr>
                <w:rFonts w:eastAsia="Times New Roman" w:cstheme="minorHAnsi"/>
                <w:szCs w:val="16"/>
                <w:lang w:eastAsia="en-AU"/>
              </w:rPr>
            </w:pPr>
            <w:r w:rsidRPr="004B2A97">
              <w:rPr>
                <w:rFonts w:eastAsia="Times New Roman" w:cstheme="minorHAnsi"/>
                <w:szCs w:val="16"/>
                <w:lang w:eastAsia="en-AU"/>
              </w:rPr>
              <w:t>Building Type</w:t>
            </w:r>
          </w:p>
        </w:tc>
        <w:tc>
          <w:tcPr>
            <w:tcW w:w="1172" w:type="pct"/>
            <w:hideMark/>
          </w:tcPr>
          <w:p w14:paraId="6BF6D8D6" w14:textId="77777777" w:rsidR="00FC3B46" w:rsidRPr="004B2A97" w:rsidRDefault="00FC3B46" w:rsidP="007F5AEA">
            <w:pPr>
              <w:spacing w:line="200" w:lineRule="atLeast"/>
              <w:jc w:val="center"/>
              <w:rPr>
                <w:rFonts w:eastAsia="Times New Roman" w:cstheme="minorHAnsi"/>
                <w:szCs w:val="16"/>
                <w:lang w:eastAsia="en-AU"/>
              </w:rPr>
            </w:pPr>
            <w:r w:rsidRPr="004B2A97">
              <w:rPr>
                <w:rFonts w:eastAsia="Times New Roman" w:cstheme="minorHAnsi"/>
                <w:szCs w:val="16"/>
                <w:lang w:eastAsia="en-AU"/>
              </w:rPr>
              <w:t>Bedrooms</w:t>
            </w:r>
          </w:p>
        </w:tc>
        <w:tc>
          <w:tcPr>
            <w:tcW w:w="1372" w:type="pct"/>
            <w:noWrap/>
            <w:hideMark/>
          </w:tcPr>
          <w:p w14:paraId="77E96946" w14:textId="77777777" w:rsidR="00FC3B46" w:rsidRPr="004B2A97" w:rsidRDefault="00FC3B46" w:rsidP="00130F86">
            <w:pPr>
              <w:spacing w:line="200" w:lineRule="atLeast"/>
              <w:jc w:val="center"/>
              <w:rPr>
                <w:rFonts w:eastAsia="Times New Roman" w:cstheme="minorHAnsi"/>
                <w:szCs w:val="16"/>
                <w:lang w:eastAsia="en-AU"/>
              </w:rPr>
            </w:pPr>
            <w:r>
              <w:rPr>
                <w:rFonts w:eastAsia="Times New Roman" w:cstheme="minorHAnsi"/>
                <w:szCs w:val="16"/>
                <w:lang w:eastAsia="en-AU"/>
              </w:rPr>
              <w:t>Area (M</w:t>
            </w:r>
            <w:r w:rsidRPr="0023516A">
              <w:rPr>
                <w:rFonts w:eastAsia="Times New Roman" w:cstheme="minorHAnsi"/>
                <w:szCs w:val="16"/>
                <w:vertAlign w:val="superscript"/>
                <w:lang w:eastAsia="en-AU"/>
              </w:rPr>
              <w:t>2</w:t>
            </w:r>
            <w:r>
              <w:rPr>
                <w:rFonts w:eastAsia="Times New Roman" w:cstheme="minorHAnsi"/>
                <w:szCs w:val="16"/>
                <w:lang w:eastAsia="en-AU"/>
              </w:rPr>
              <w:t>)</w:t>
            </w:r>
          </w:p>
        </w:tc>
      </w:tr>
      <w:tr w:rsidR="00FC3B46" w:rsidRPr="00BA1D10" w14:paraId="521D967B" w14:textId="77777777" w:rsidTr="00B26383">
        <w:trPr>
          <w:cnfStyle w:val="000000100000" w:firstRow="0" w:lastRow="0" w:firstColumn="0" w:lastColumn="0" w:oddVBand="0" w:evenVBand="0" w:oddHBand="1" w:evenHBand="0" w:firstRowFirstColumn="0" w:firstRowLastColumn="0" w:lastRowFirstColumn="0" w:lastRowLastColumn="0"/>
        </w:trPr>
        <w:tc>
          <w:tcPr>
            <w:tcW w:w="2456" w:type="pct"/>
            <w:noWrap/>
            <w:hideMark/>
          </w:tcPr>
          <w:p w14:paraId="3CAE0D80" w14:textId="77777777" w:rsidR="00FC3B46" w:rsidRPr="004B2A97" w:rsidRDefault="00FC3B46"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172" w:type="pct"/>
            <w:noWrap/>
            <w:hideMark/>
          </w:tcPr>
          <w:p w14:paraId="7C48AEAE" w14:textId="77777777" w:rsidR="00FC3B46" w:rsidRPr="004B2A97" w:rsidRDefault="00FC3B46" w:rsidP="007F5AEA">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1</w:t>
            </w:r>
          </w:p>
        </w:tc>
        <w:tc>
          <w:tcPr>
            <w:tcW w:w="1372" w:type="pct"/>
            <w:noWrap/>
            <w:hideMark/>
          </w:tcPr>
          <w:p w14:paraId="0B62387C" w14:textId="77777777" w:rsidR="00FC3B46" w:rsidRPr="009679B3" w:rsidRDefault="00FC3B46"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50</w:t>
            </w:r>
          </w:p>
        </w:tc>
      </w:tr>
      <w:tr w:rsidR="00FC3B46" w:rsidRPr="00BA1D10" w14:paraId="01A98AA8" w14:textId="77777777" w:rsidTr="00B26383">
        <w:tc>
          <w:tcPr>
            <w:tcW w:w="2456" w:type="pct"/>
            <w:noWrap/>
            <w:hideMark/>
          </w:tcPr>
          <w:p w14:paraId="5422D7AE" w14:textId="77777777" w:rsidR="00FC3B46" w:rsidRPr="004B2A97" w:rsidRDefault="00FC3B46"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172" w:type="pct"/>
            <w:noWrap/>
            <w:hideMark/>
          </w:tcPr>
          <w:p w14:paraId="57B916BC" w14:textId="77777777" w:rsidR="00FC3B46" w:rsidRPr="004B2A97" w:rsidRDefault="00FC3B46" w:rsidP="007F5AEA">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1372" w:type="pct"/>
            <w:noWrap/>
            <w:hideMark/>
          </w:tcPr>
          <w:p w14:paraId="72AA130B" w14:textId="77777777" w:rsidR="00FC3B46" w:rsidRPr="009679B3" w:rsidRDefault="00FC3B46"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50</w:t>
            </w:r>
          </w:p>
        </w:tc>
      </w:tr>
      <w:tr w:rsidR="00FC3B46" w:rsidRPr="00BA1D10" w14:paraId="5F179C34" w14:textId="77777777" w:rsidTr="00B26383">
        <w:trPr>
          <w:cnfStyle w:val="000000100000" w:firstRow="0" w:lastRow="0" w:firstColumn="0" w:lastColumn="0" w:oddVBand="0" w:evenVBand="0" w:oddHBand="1" w:evenHBand="0" w:firstRowFirstColumn="0" w:firstRowLastColumn="0" w:lastRowFirstColumn="0" w:lastRowLastColumn="0"/>
        </w:trPr>
        <w:tc>
          <w:tcPr>
            <w:tcW w:w="2456" w:type="pct"/>
            <w:noWrap/>
            <w:hideMark/>
          </w:tcPr>
          <w:p w14:paraId="6038F3AB" w14:textId="77777777" w:rsidR="00FC3B46" w:rsidRPr="004B2A97" w:rsidRDefault="00FC3B46"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172" w:type="pct"/>
            <w:noWrap/>
            <w:hideMark/>
          </w:tcPr>
          <w:p w14:paraId="03E8E083" w14:textId="77777777" w:rsidR="00FC3B46" w:rsidRPr="004B2A97" w:rsidRDefault="00FC3B46" w:rsidP="007F5AEA">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1372" w:type="pct"/>
            <w:noWrap/>
            <w:hideMark/>
          </w:tcPr>
          <w:p w14:paraId="17F9A40F" w14:textId="77777777" w:rsidR="00FC3B46" w:rsidRPr="009679B3" w:rsidRDefault="00FC3B46"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50</w:t>
            </w:r>
          </w:p>
        </w:tc>
      </w:tr>
      <w:tr w:rsidR="00FC3B46" w:rsidRPr="00BA1D10" w14:paraId="2061BDFC" w14:textId="77777777" w:rsidTr="00B26383">
        <w:tc>
          <w:tcPr>
            <w:tcW w:w="2456" w:type="pct"/>
            <w:noWrap/>
            <w:hideMark/>
          </w:tcPr>
          <w:p w14:paraId="27D05F0B" w14:textId="77777777" w:rsidR="00FC3B46" w:rsidRPr="004B2A97" w:rsidRDefault="00FC3B46"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172" w:type="pct"/>
            <w:noWrap/>
            <w:hideMark/>
          </w:tcPr>
          <w:p w14:paraId="7FDAEEE7" w14:textId="77777777" w:rsidR="00FC3B46" w:rsidRPr="004B2A97" w:rsidRDefault="00FC3B46" w:rsidP="007F5AEA">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1</w:t>
            </w:r>
          </w:p>
        </w:tc>
        <w:tc>
          <w:tcPr>
            <w:tcW w:w="1372" w:type="pct"/>
            <w:noWrap/>
            <w:hideMark/>
          </w:tcPr>
          <w:p w14:paraId="0D0BFFD1" w14:textId="77777777" w:rsidR="00FC3B46" w:rsidRPr="009679B3" w:rsidRDefault="00FC3B46"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180</w:t>
            </w:r>
          </w:p>
        </w:tc>
      </w:tr>
      <w:tr w:rsidR="00FC3B46" w:rsidRPr="00BA1D10" w14:paraId="3822860F" w14:textId="77777777" w:rsidTr="00B26383">
        <w:trPr>
          <w:cnfStyle w:val="000000100000" w:firstRow="0" w:lastRow="0" w:firstColumn="0" w:lastColumn="0" w:oddVBand="0" w:evenVBand="0" w:oddHBand="1" w:evenHBand="0" w:firstRowFirstColumn="0" w:firstRowLastColumn="0" w:lastRowFirstColumn="0" w:lastRowLastColumn="0"/>
        </w:trPr>
        <w:tc>
          <w:tcPr>
            <w:tcW w:w="2456" w:type="pct"/>
            <w:noWrap/>
            <w:hideMark/>
          </w:tcPr>
          <w:p w14:paraId="60C223D8" w14:textId="77777777" w:rsidR="00FC3B46" w:rsidRPr="004B2A97" w:rsidRDefault="00FC3B46"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172" w:type="pct"/>
            <w:noWrap/>
            <w:hideMark/>
          </w:tcPr>
          <w:p w14:paraId="12E5F142" w14:textId="77777777" w:rsidR="00FC3B46" w:rsidRPr="004B2A97" w:rsidRDefault="00FC3B46" w:rsidP="007F5AEA">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1372" w:type="pct"/>
            <w:noWrap/>
            <w:hideMark/>
          </w:tcPr>
          <w:p w14:paraId="1A653803" w14:textId="77777777" w:rsidR="00FC3B46" w:rsidRPr="009679B3" w:rsidRDefault="00FC3B46"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360</w:t>
            </w:r>
          </w:p>
        </w:tc>
      </w:tr>
      <w:tr w:rsidR="00FC3B46" w:rsidRPr="00BA1D10" w14:paraId="1EDE1AFB" w14:textId="77777777" w:rsidTr="00B26383">
        <w:tc>
          <w:tcPr>
            <w:tcW w:w="2456" w:type="pct"/>
            <w:noWrap/>
            <w:hideMark/>
          </w:tcPr>
          <w:p w14:paraId="1F7DC56B" w14:textId="77777777" w:rsidR="00FC3B46" w:rsidRPr="004B2A97" w:rsidRDefault="00FC3B46"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172" w:type="pct"/>
            <w:noWrap/>
            <w:hideMark/>
          </w:tcPr>
          <w:p w14:paraId="370B56CA" w14:textId="77777777" w:rsidR="00FC3B46" w:rsidRPr="004B2A97" w:rsidRDefault="00FC3B46" w:rsidP="007F5AEA">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1372" w:type="pct"/>
            <w:noWrap/>
            <w:hideMark/>
          </w:tcPr>
          <w:p w14:paraId="490D50B5" w14:textId="77777777" w:rsidR="00FC3B46" w:rsidRPr="009679B3" w:rsidRDefault="00FC3B46"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540</w:t>
            </w:r>
          </w:p>
        </w:tc>
      </w:tr>
      <w:tr w:rsidR="00FC3B46" w:rsidRPr="00BA1D10" w14:paraId="6A397965" w14:textId="77777777" w:rsidTr="00B26383">
        <w:trPr>
          <w:cnfStyle w:val="000000100000" w:firstRow="0" w:lastRow="0" w:firstColumn="0" w:lastColumn="0" w:oddVBand="0" w:evenVBand="0" w:oddHBand="1" w:evenHBand="0" w:firstRowFirstColumn="0" w:firstRowLastColumn="0" w:lastRowFirstColumn="0" w:lastRowLastColumn="0"/>
        </w:trPr>
        <w:tc>
          <w:tcPr>
            <w:tcW w:w="2456" w:type="pct"/>
            <w:noWrap/>
            <w:hideMark/>
          </w:tcPr>
          <w:p w14:paraId="49BDBFE3" w14:textId="77777777" w:rsidR="00FC3B46" w:rsidRPr="004B2A97" w:rsidRDefault="00FC3B46"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1172" w:type="pct"/>
            <w:noWrap/>
            <w:hideMark/>
          </w:tcPr>
          <w:p w14:paraId="0F7743DB" w14:textId="77777777" w:rsidR="00FC3B46" w:rsidRPr="004B2A97" w:rsidRDefault="00FC3B46" w:rsidP="007F5AEA">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1372" w:type="pct"/>
            <w:noWrap/>
            <w:hideMark/>
          </w:tcPr>
          <w:p w14:paraId="6D72DA9C" w14:textId="77777777" w:rsidR="00FC3B46" w:rsidRPr="009679B3" w:rsidRDefault="00FC3B46"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360</w:t>
            </w:r>
          </w:p>
        </w:tc>
      </w:tr>
      <w:tr w:rsidR="00FC3B46" w:rsidRPr="00BA1D10" w14:paraId="051B9E52" w14:textId="77777777" w:rsidTr="00B26383">
        <w:tc>
          <w:tcPr>
            <w:tcW w:w="2456" w:type="pct"/>
            <w:noWrap/>
            <w:hideMark/>
          </w:tcPr>
          <w:p w14:paraId="39F31918" w14:textId="77777777" w:rsidR="00FC3B46" w:rsidRPr="004B2A97" w:rsidRDefault="00FC3B46"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1172" w:type="pct"/>
            <w:noWrap/>
            <w:hideMark/>
          </w:tcPr>
          <w:p w14:paraId="3E167BCB" w14:textId="77777777" w:rsidR="00FC3B46" w:rsidRPr="004B2A97" w:rsidRDefault="00FC3B46" w:rsidP="007F5AEA">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1372" w:type="pct"/>
            <w:noWrap/>
            <w:hideMark/>
          </w:tcPr>
          <w:p w14:paraId="7F97FEEC" w14:textId="77777777" w:rsidR="00FC3B46" w:rsidRPr="009679B3" w:rsidRDefault="00FC3B46"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540</w:t>
            </w:r>
          </w:p>
        </w:tc>
      </w:tr>
      <w:tr w:rsidR="00FC3B46" w:rsidRPr="00BA1D10" w14:paraId="6FBB9D08" w14:textId="77777777" w:rsidTr="00B26383">
        <w:trPr>
          <w:cnfStyle w:val="000000100000" w:firstRow="0" w:lastRow="0" w:firstColumn="0" w:lastColumn="0" w:oddVBand="0" w:evenVBand="0" w:oddHBand="1" w:evenHBand="0" w:firstRowFirstColumn="0" w:firstRowLastColumn="0" w:lastRowFirstColumn="0" w:lastRowLastColumn="0"/>
        </w:trPr>
        <w:tc>
          <w:tcPr>
            <w:tcW w:w="2456" w:type="pct"/>
            <w:noWrap/>
            <w:hideMark/>
          </w:tcPr>
          <w:p w14:paraId="0F956990" w14:textId="6E69C1C6" w:rsidR="00FC3B46" w:rsidRPr="004B2A97" w:rsidRDefault="00601689" w:rsidP="007F5A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1172" w:type="pct"/>
            <w:noWrap/>
            <w:hideMark/>
          </w:tcPr>
          <w:p w14:paraId="71FF6E82" w14:textId="77777777" w:rsidR="00FC3B46" w:rsidRPr="004B2A97" w:rsidRDefault="00FC3B46" w:rsidP="007F5AEA">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4</w:t>
            </w:r>
          </w:p>
        </w:tc>
        <w:tc>
          <w:tcPr>
            <w:tcW w:w="1372" w:type="pct"/>
            <w:noWrap/>
            <w:hideMark/>
          </w:tcPr>
          <w:p w14:paraId="6F3F7014" w14:textId="77777777" w:rsidR="00FC3B46" w:rsidRPr="009679B3" w:rsidRDefault="00FC3B46"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720</w:t>
            </w:r>
          </w:p>
        </w:tc>
      </w:tr>
      <w:tr w:rsidR="00FC3B46" w:rsidRPr="00BA1D10" w14:paraId="5A2B9CFC" w14:textId="77777777" w:rsidTr="00B26383">
        <w:tc>
          <w:tcPr>
            <w:tcW w:w="2456" w:type="pct"/>
            <w:noWrap/>
            <w:hideMark/>
          </w:tcPr>
          <w:p w14:paraId="0B844029" w14:textId="12EAABBD" w:rsidR="00FC3B46" w:rsidRPr="004B2A97" w:rsidRDefault="00601689" w:rsidP="007F5A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1172" w:type="pct"/>
            <w:noWrap/>
            <w:hideMark/>
          </w:tcPr>
          <w:p w14:paraId="6B9E08EF" w14:textId="77777777" w:rsidR="00FC3B46" w:rsidRPr="004B2A97" w:rsidRDefault="00FC3B46" w:rsidP="007F5AEA">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5</w:t>
            </w:r>
          </w:p>
        </w:tc>
        <w:tc>
          <w:tcPr>
            <w:tcW w:w="1372" w:type="pct"/>
            <w:noWrap/>
            <w:hideMark/>
          </w:tcPr>
          <w:p w14:paraId="28C9A0D4" w14:textId="77777777" w:rsidR="00FC3B46" w:rsidRPr="009679B3" w:rsidRDefault="00FC3B46" w:rsidP="00130F86">
            <w:pPr>
              <w:spacing w:line="200" w:lineRule="atLeast"/>
              <w:jc w:val="center"/>
              <w:rPr>
                <w:rFonts w:eastAsia="Times New Roman" w:cstheme="minorHAnsi"/>
                <w:szCs w:val="16"/>
                <w:lang w:eastAsia="en-AU"/>
              </w:rPr>
            </w:pPr>
            <w:r w:rsidRPr="009679B3">
              <w:rPr>
                <w:rFonts w:eastAsia="Times New Roman" w:cstheme="minorHAnsi"/>
                <w:szCs w:val="16"/>
                <w:lang w:eastAsia="en-AU"/>
              </w:rPr>
              <w:t>900</w:t>
            </w:r>
          </w:p>
        </w:tc>
      </w:tr>
    </w:tbl>
    <w:p w14:paraId="563263AF" w14:textId="4DC0E730" w:rsidR="002A1B7F" w:rsidRPr="0023516A" w:rsidRDefault="002A1B7F" w:rsidP="007F5AEA">
      <w:pPr>
        <w:pStyle w:val="Caption"/>
        <w:spacing w:before="120"/>
        <w:rPr>
          <w:color w:val="6B2976" w:themeColor="text1"/>
        </w:rPr>
      </w:pPr>
      <w:bookmarkStart w:id="38" w:name="_Ref102136988"/>
      <w:r w:rsidRPr="00392B76">
        <w:rPr>
          <w:color w:val="6B2976" w:themeColor="text1"/>
        </w:rPr>
        <w:t xml:space="preserve">Table </w:t>
      </w:r>
      <w:r w:rsidRPr="00392B76">
        <w:rPr>
          <w:color w:val="6B2976" w:themeColor="text1"/>
        </w:rPr>
        <w:fldChar w:fldCharType="begin"/>
      </w:r>
      <w:r w:rsidRPr="00392B76">
        <w:rPr>
          <w:color w:val="6B2976" w:themeColor="text1"/>
        </w:rPr>
        <w:instrText xml:space="preserve"> SEQ Table \* ARABIC </w:instrText>
      </w:r>
      <w:r w:rsidRPr="00392B76">
        <w:rPr>
          <w:color w:val="6B2976" w:themeColor="text1"/>
        </w:rPr>
        <w:fldChar w:fldCharType="separate"/>
      </w:r>
      <w:r w:rsidR="00765987">
        <w:rPr>
          <w:noProof/>
          <w:color w:val="6B2976" w:themeColor="text1"/>
        </w:rPr>
        <w:t>12</w:t>
      </w:r>
      <w:r w:rsidRPr="00392B76">
        <w:rPr>
          <w:color w:val="6B2976" w:themeColor="text1"/>
        </w:rPr>
        <w:fldChar w:fldCharType="end"/>
      </w:r>
      <w:bookmarkEnd w:id="38"/>
      <w:r w:rsidRPr="00392B76">
        <w:rPr>
          <w:color w:val="6B2976" w:themeColor="text1"/>
        </w:rPr>
        <w:t xml:space="preserve">: </w:t>
      </w:r>
      <w:r>
        <w:rPr>
          <w:color w:val="6B2976" w:themeColor="text1"/>
        </w:rPr>
        <w:t>Land Cost per Square Metre</w:t>
      </w:r>
    </w:p>
    <w:tbl>
      <w:tblPr>
        <w:tblStyle w:val="GridTable4"/>
        <w:tblW w:w="5000" w:type="pct"/>
        <w:tblLook w:val="0420" w:firstRow="1" w:lastRow="0" w:firstColumn="0" w:lastColumn="0" w:noHBand="0" w:noVBand="1"/>
      </w:tblPr>
      <w:tblGrid>
        <w:gridCol w:w="1063"/>
        <w:gridCol w:w="4166"/>
        <w:gridCol w:w="1463"/>
        <w:gridCol w:w="2325"/>
      </w:tblGrid>
      <w:tr w:rsidR="002A1B7F" w:rsidRPr="008754B4" w14:paraId="604E55F7" w14:textId="77777777" w:rsidTr="00257BD1">
        <w:trPr>
          <w:cnfStyle w:val="100000000000" w:firstRow="1" w:lastRow="0" w:firstColumn="0" w:lastColumn="0" w:oddVBand="0" w:evenVBand="0" w:oddHBand="0" w:evenHBand="0" w:firstRowFirstColumn="0" w:firstRowLastColumn="0" w:lastRowFirstColumn="0" w:lastRowLastColumn="0"/>
          <w:tblHeader/>
        </w:trPr>
        <w:tc>
          <w:tcPr>
            <w:tcW w:w="589" w:type="pct"/>
            <w:noWrap/>
          </w:tcPr>
          <w:p w14:paraId="66271F3E" w14:textId="77777777" w:rsidR="002A1B7F" w:rsidRPr="008754B4" w:rsidRDefault="002A1B7F" w:rsidP="007F5AEA">
            <w:pPr>
              <w:rPr>
                <w:rFonts w:eastAsia="Times New Roman" w:cstheme="minorHAnsi"/>
                <w:szCs w:val="16"/>
                <w:lang w:eastAsia="en-AU"/>
              </w:rPr>
            </w:pPr>
            <w:r w:rsidRPr="008754B4">
              <w:rPr>
                <w:rFonts w:eastAsia="Times New Roman" w:cstheme="minorHAnsi"/>
                <w:szCs w:val="16"/>
                <w:lang w:eastAsia="en-AU"/>
              </w:rPr>
              <w:t>State</w:t>
            </w:r>
          </w:p>
        </w:tc>
        <w:tc>
          <w:tcPr>
            <w:tcW w:w="2310" w:type="pct"/>
            <w:noWrap/>
          </w:tcPr>
          <w:p w14:paraId="05E6723B" w14:textId="77777777" w:rsidR="002A1B7F" w:rsidRPr="008754B4" w:rsidRDefault="002A1B7F" w:rsidP="007F5AEA">
            <w:pPr>
              <w:rPr>
                <w:rFonts w:eastAsia="Times New Roman" w:cstheme="minorHAnsi"/>
                <w:szCs w:val="16"/>
                <w:lang w:eastAsia="en-AU"/>
              </w:rPr>
            </w:pPr>
            <w:r w:rsidRPr="008754B4">
              <w:rPr>
                <w:rFonts w:eastAsia="Times New Roman" w:cstheme="minorHAnsi"/>
                <w:szCs w:val="16"/>
                <w:lang w:eastAsia="en-AU"/>
              </w:rPr>
              <w:t>Region</w:t>
            </w:r>
          </w:p>
        </w:tc>
        <w:tc>
          <w:tcPr>
            <w:tcW w:w="811" w:type="pct"/>
            <w:noWrap/>
          </w:tcPr>
          <w:p w14:paraId="74B8F9B4" w14:textId="77777777" w:rsidR="002A1B7F" w:rsidRPr="008754B4" w:rsidRDefault="002A1B7F" w:rsidP="00130F86">
            <w:pPr>
              <w:jc w:val="center"/>
              <w:rPr>
                <w:rFonts w:eastAsia="Times New Roman" w:cstheme="minorHAnsi"/>
                <w:szCs w:val="16"/>
                <w:lang w:eastAsia="en-AU"/>
              </w:rPr>
            </w:pPr>
            <w:r>
              <w:rPr>
                <w:rFonts w:eastAsia="Times New Roman" w:cstheme="minorHAnsi"/>
                <w:szCs w:val="16"/>
                <w:lang w:eastAsia="en-AU"/>
              </w:rPr>
              <w:t xml:space="preserve">Cost per </w:t>
            </w:r>
            <w:r w:rsidRPr="008754B4">
              <w:rPr>
                <w:rFonts w:eastAsia="Times New Roman" w:cstheme="minorHAnsi"/>
                <w:szCs w:val="16"/>
                <w:lang w:eastAsia="en-AU"/>
              </w:rPr>
              <w:t>M</w:t>
            </w:r>
            <w:r w:rsidRPr="0023516A">
              <w:rPr>
                <w:rFonts w:eastAsia="Times New Roman" w:cstheme="minorHAnsi"/>
                <w:szCs w:val="16"/>
                <w:vertAlign w:val="superscript"/>
                <w:lang w:eastAsia="en-AU"/>
              </w:rPr>
              <w:t>2</w:t>
            </w:r>
          </w:p>
        </w:tc>
        <w:tc>
          <w:tcPr>
            <w:tcW w:w="1289" w:type="pct"/>
            <w:noWrap/>
          </w:tcPr>
          <w:p w14:paraId="77505809" w14:textId="77777777" w:rsidR="002A1B7F" w:rsidRPr="008754B4" w:rsidRDefault="002A1B7F" w:rsidP="00130F86">
            <w:pPr>
              <w:jc w:val="center"/>
              <w:rPr>
                <w:rFonts w:eastAsia="Times New Roman" w:cstheme="minorHAnsi"/>
                <w:bCs w:val="0"/>
                <w:szCs w:val="16"/>
                <w:lang w:eastAsia="en-AU"/>
              </w:rPr>
            </w:pPr>
            <w:r w:rsidRPr="008754B4">
              <w:rPr>
                <w:rFonts w:eastAsia="Times New Roman" w:cstheme="minorHAnsi"/>
                <w:bCs w:val="0"/>
                <w:szCs w:val="16"/>
                <w:lang w:eastAsia="en-AU"/>
              </w:rPr>
              <w:t>Geographical Classification</w:t>
            </w:r>
          </w:p>
        </w:tc>
      </w:tr>
      <w:tr w:rsidR="00765987" w:rsidRPr="008754B4" w14:paraId="16B7D9F8"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tcPr>
          <w:p w14:paraId="40EF83D7" w14:textId="77777777" w:rsidR="00765987" w:rsidRPr="008754B4" w:rsidRDefault="00765987" w:rsidP="007F5AEA">
            <w:pPr>
              <w:rPr>
                <w:rFonts w:eastAsia="Times New Roman" w:cstheme="minorHAnsi"/>
                <w:color w:val="000000"/>
                <w:szCs w:val="16"/>
                <w:lang w:eastAsia="en-AU"/>
              </w:rPr>
            </w:pPr>
          </w:p>
        </w:tc>
        <w:tc>
          <w:tcPr>
            <w:tcW w:w="2310" w:type="pct"/>
            <w:noWrap/>
          </w:tcPr>
          <w:p w14:paraId="3FA1AF77" w14:textId="71B21A7A" w:rsidR="00765987" w:rsidRPr="008754B4" w:rsidRDefault="00765987" w:rsidP="007F5AEA">
            <w:pPr>
              <w:rPr>
                <w:rFonts w:eastAsia="Times New Roman" w:cstheme="minorHAnsi"/>
                <w:bCs/>
                <w:color w:val="000000"/>
                <w:szCs w:val="16"/>
                <w:lang w:eastAsia="en-AU"/>
              </w:rPr>
            </w:pPr>
            <w:r>
              <w:rPr>
                <w:rFonts w:eastAsia="Times New Roman" w:cstheme="minorHAnsi"/>
                <w:bCs/>
                <w:color w:val="000000"/>
                <w:szCs w:val="16"/>
                <w:lang w:eastAsia="en-AU"/>
              </w:rPr>
              <w:t>Median Capital City</w:t>
            </w:r>
          </w:p>
        </w:tc>
        <w:tc>
          <w:tcPr>
            <w:tcW w:w="811" w:type="pct"/>
            <w:noWrap/>
          </w:tcPr>
          <w:p w14:paraId="38D53256" w14:textId="25F93F06" w:rsidR="00765987" w:rsidRPr="009679B3" w:rsidRDefault="00765987" w:rsidP="00130F86">
            <w:pPr>
              <w:jc w:val="center"/>
              <w:rPr>
                <w:rFonts w:eastAsia="Times New Roman" w:cstheme="minorHAnsi"/>
                <w:bCs/>
                <w:szCs w:val="16"/>
                <w:lang w:eastAsia="en-AU"/>
              </w:rPr>
            </w:pPr>
            <w:r>
              <w:rPr>
                <w:rFonts w:eastAsia="Times New Roman" w:cstheme="minorHAnsi"/>
                <w:bCs/>
                <w:szCs w:val="16"/>
                <w:lang w:eastAsia="en-AU"/>
              </w:rPr>
              <w:t>$552.00</w:t>
            </w:r>
          </w:p>
        </w:tc>
        <w:tc>
          <w:tcPr>
            <w:tcW w:w="1289" w:type="pct"/>
            <w:noWrap/>
          </w:tcPr>
          <w:p w14:paraId="65F8D95E" w14:textId="77777777" w:rsidR="00765987" w:rsidRPr="008754B4" w:rsidRDefault="00765987" w:rsidP="00130F86">
            <w:pPr>
              <w:jc w:val="center"/>
              <w:rPr>
                <w:rFonts w:eastAsia="Times New Roman" w:cstheme="minorHAnsi"/>
                <w:bCs/>
                <w:color w:val="000000"/>
                <w:szCs w:val="16"/>
                <w:lang w:eastAsia="en-AU"/>
              </w:rPr>
            </w:pPr>
          </w:p>
        </w:tc>
      </w:tr>
      <w:tr w:rsidR="002A1B7F" w:rsidRPr="008754B4" w14:paraId="2188C3C8" w14:textId="77777777" w:rsidTr="00B26383">
        <w:trPr>
          <w:trHeight w:val="288"/>
        </w:trPr>
        <w:tc>
          <w:tcPr>
            <w:tcW w:w="589" w:type="pct"/>
            <w:noWrap/>
            <w:hideMark/>
          </w:tcPr>
          <w:p w14:paraId="3844D8F2"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44438B30"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Capital Region</w:t>
            </w:r>
          </w:p>
        </w:tc>
        <w:tc>
          <w:tcPr>
            <w:tcW w:w="811" w:type="pct"/>
            <w:noWrap/>
            <w:hideMark/>
          </w:tcPr>
          <w:p w14:paraId="6E3F9104"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$180.59</w:t>
            </w:r>
          </w:p>
        </w:tc>
        <w:tc>
          <w:tcPr>
            <w:tcW w:w="1289" w:type="pct"/>
            <w:noWrap/>
            <w:hideMark/>
          </w:tcPr>
          <w:p w14:paraId="17AB4BD4"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66D5394F"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16CB993D"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1BC27AE0"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Central Coast</w:t>
            </w:r>
          </w:p>
        </w:tc>
        <w:tc>
          <w:tcPr>
            <w:tcW w:w="811" w:type="pct"/>
            <w:noWrap/>
            <w:hideMark/>
          </w:tcPr>
          <w:p w14:paraId="0EF0A251"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$399.74</w:t>
            </w:r>
          </w:p>
        </w:tc>
        <w:tc>
          <w:tcPr>
            <w:tcW w:w="1289" w:type="pct"/>
            <w:noWrap/>
            <w:hideMark/>
          </w:tcPr>
          <w:p w14:paraId="408FC715"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05982C87" w14:textId="77777777" w:rsidTr="00B26383">
        <w:trPr>
          <w:trHeight w:val="288"/>
        </w:trPr>
        <w:tc>
          <w:tcPr>
            <w:tcW w:w="589" w:type="pct"/>
            <w:noWrap/>
            <w:hideMark/>
          </w:tcPr>
          <w:p w14:paraId="1D046CE2"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4DD1E421"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Central West</w:t>
            </w:r>
          </w:p>
        </w:tc>
        <w:tc>
          <w:tcPr>
            <w:tcW w:w="811" w:type="pct"/>
            <w:noWrap/>
            <w:hideMark/>
          </w:tcPr>
          <w:p w14:paraId="0829B184"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$98.88</w:t>
            </w:r>
          </w:p>
        </w:tc>
        <w:tc>
          <w:tcPr>
            <w:tcW w:w="1289" w:type="pct"/>
            <w:noWrap/>
            <w:hideMark/>
          </w:tcPr>
          <w:p w14:paraId="428BBB2B"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6E201FA5"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39F0EA98"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6A64A1DB"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Coffs Harbour - Grafton</w:t>
            </w:r>
          </w:p>
        </w:tc>
        <w:tc>
          <w:tcPr>
            <w:tcW w:w="811" w:type="pct"/>
            <w:noWrap/>
            <w:hideMark/>
          </w:tcPr>
          <w:p w14:paraId="31A24A31"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$187.09</w:t>
            </w:r>
          </w:p>
        </w:tc>
        <w:tc>
          <w:tcPr>
            <w:tcW w:w="1289" w:type="pct"/>
            <w:noWrap/>
            <w:hideMark/>
          </w:tcPr>
          <w:p w14:paraId="3A050867"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3F9EEC4C" w14:textId="77777777" w:rsidTr="00B26383">
        <w:trPr>
          <w:trHeight w:val="288"/>
        </w:trPr>
        <w:tc>
          <w:tcPr>
            <w:tcW w:w="589" w:type="pct"/>
            <w:noWrap/>
            <w:hideMark/>
          </w:tcPr>
          <w:p w14:paraId="616B010A"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6113BF76"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Far West and Orana</w:t>
            </w:r>
          </w:p>
        </w:tc>
        <w:tc>
          <w:tcPr>
            <w:tcW w:w="811" w:type="pct"/>
            <w:noWrap/>
            <w:hideMark/>
          </w:tcPr>
          <w:p w14:paraId="4DA5021C"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$61.90</w:t>
            </w:r>
          </w:p>
        </w:tc>
        <w:tc>
          <w:tcPr>
            <w:tcW w:w="1289" w:type="pct"/>
            <w:noWrap/>
            <w:hideMark/>
          </w:tcPr>
          <w:p w14:paraId="4E4EC9C2"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Remote</w:t>
            </w:r>
          </w:p>
        </w:tc>
      </w:tr>
      <w:tr w:rsidR="002A1B7F" w:rsidRPr="008754B4" w14:paraId="20035643"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4EDBEAC3"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65CA1BCC"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Hunter Valley </w:t>
            </w:r>
            <w:proofErr w:type="spellStart"/>
            <w:r w:rsidRPr="008754B4">
              <w:rPr>
                <w:rFonts w:eastAsia="Times New Roman" w:cstheme="minorHAnsi"/>
                <w:bCs/>
                <w:color w:val="000000"/>
                <w:szCs w:val="16"/>
                <w:lang w:eastAsia="en-AU"/>
              </w:rPr>
              <w:t>exc</w:t>
            </w:r>
            <w:proofErr w:type="spellEnd"/>
            <w:r w:rsidRPr="008754B4">
              <w:rPr>
                <w:rFonts w:eastAsia="Times New Roman" w:cstheme="minorHAnsi"/>
                <w:bCs/>
                <w:color w:val="000000"/>
                <w:szCs w:val="16"/>
                <w:lang w:eastAsia="en-AU"/>
              </w:rPr>
              <w:t xml:space="preserve"> Newcastle</w:t>
            </w:r>
          </w:p>
        </w:tc>
        <w:tc>
          <w:tcPr>
            <w:tcW w:w="811" w:type="pct"/>
            <w:noWrap/>
            <w:hideMark/>
          </w:tcPr>
          <w:p w14:paraId="15993C9A"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$198.08</w:t>
            </w:r>
          </w:p>
        </w:tc>
        <w:tc>
          <w:tcPr>
            <w:tcW w:w="1289" w:type="pct"/>
            <w:noWrap/>
            <w:hideMark/>
          </w:tcPr>
          <w:p w14:paraId="32B68B1B"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408BDCA6" w14:textId="77777777" w:rsidTr="00B26383">
        <w:trPr>
          <w:trHeight w:val="288"/>
        </w:trPr>
        <w:tc>
          <w:tcPr>
            <w:tcW w:w="589" w:type="pct"/>
            <w:noWrap/>
            <w:hideMark/>
          </w:tcPr>
          <w:p w14:paraId="3B111ECF"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1AD7B634"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Illawarra</w:t>
            </w:r>
          </w:p>
        </w:tc>
        <w:tc>
          <w:tcPr>
            <w:tcW w:w="811" w:type="pct"/>
            <w:noWrap/>
            <w:hideMark/>
          </w:tcPr>
          <w:p w14:paraId="6075BBE9"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$435.19</w:t>
            </w:r>
          </w:p>
        </w:tc>
        <w:tc>
          <w:tcPr>
            <w:tcW w:w="1289" w:type="pct"/>
            <w:noWrap/>
            <w:hideMark/>
          </w:tcPr>
          <w:p w14:paraId="1FB6BD60"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3C9E63BE"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509C9ECD"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2384F7CA"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Mid North Coast</w:t>
            </w:r>
          </w:p>
        </w:tc>
        <w:tc>
          <w:tcPr>
            <w:tcW w:w="811" w:type="pct"/>
            <w:noWrap/>
            <w:hideMark/>
          </w:tcPr>
          <w:p w14:paraId="3F22C7A4"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$208.65</w:t>
            </w:r>
          </w:p>
        </w:tc>
        <w:tc>
          <w:tcPr>
            <w:tcW w:w="1289" w:type="pct"/>
            <w:noWrap/>
            <w:hideMark/>
          </w:tcPr>
          <w:p w14:paraId="3451AE74"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4F7431A7" w14:textId="77777777" w:rsidTr="00B26383">
        <w:trPr>
          <w:trHeight w:val="288"/>
        </w:trPr>
        <w:tc>
          <w:tcPr>
            <w:tcW w:w="589" w:type="pct"/>
            <w:noWrap/>
            <w:hideMark/>
          </w:tcPr>
          <w:p w14:paraId="2365546E"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noProof/>
                <w:color w:val="000000"/>
                <w:szCs w:val="16"/>
                <w:lang w:eastAsia="en-AU"/>
              </w:rPr>
              <mc:AlternateContent>
                <mc:Choice Requires="wps">
                  <w:drawing>
                    <wp:anchor distT="0" distB="0" distL="114300" distR="114300" simplePos="0" relativeHeight="251663360" behindDoc="0" locked="0" layoutInCell="1" allowOverlap="1" wp14:anchorId="5B09F5B0" wp14:editId="28234771">
                      <wp:simplePos x="0" y="0"/>
                      <wp:positionH relativeFrom="column">
                        <wp:posOffset>0</wp:posOffset>
                      </wp:positionH>
                      <wp:positionV relativeFrom="paragraph">
                        <wp:posOffset>0</wp:posOffset>
                      </wp:positionV>
                      <wp:extent cx="624840" cy="441960"/>
                      <wp:effectExtent l="0" t="0" r="0" b="0"/>
                      <wp:wrapNone/>
                      <wp:docPr id="282" name="Rectangle 282" hidden="1">
                        <a:extLst xmlns:a="http://schemas.openxmlformats.org/drawingml/2006/main">
                          <a:ext uri="{63B3BB69-23CF-44E3-9099-C40C66FF867C}">
                            <a14:compatExt xmlns:a14="http://schemas.microsoft.com/office/drawing/2010/main" spid="_x0000_s10245"/>
                          </a:ext>
                        </a:extLst>
                      </wp:docPr>
                      <wp:cNvGraphicFramePr/>
                      <a:graphic xmlns:a="http://schemas.openxmlformats.org/drawingml/2006/main">
                        <a:graphicData uri="http://schemas.microsoft.com/office/word/2010/wordprocessingShape">
                          <wps:wsp>
                            <wps:cNvSpPr/>
                            <wps:spPr bwMode="auto">
                              <a:xfrm>
                                <a:off x="0" y="0"/>
                                <a:ext cx="623887" cy="4458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AD678F" id="Rectangle 282" o:spid="_x0000_s1026" style="position:absolute;margin-left:0;margin-top:0;width:49.2pt;height:34.8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" filled="f" stroked="f"/>
                  </w:pict>
                </mc:Fallback>
              </mc:AlternateContent>
            </w:r>
            <w:r w:rsidRPr="008754B4">
              <w:rPr>
                <w:rFonts w:eastAsia="Times New Roman" w:cstheme="minorHAnsi"/>
                <w:noProof/>
                <w:color w:val="000000"/>
                <w:szCs w:val="16"/>
                <w:lang w:eastAsia="en-AU"/>
              </w:rPr>
              <mc:AlternateContent>
                <mc:Choice Requires="wps">
                  <w:drawing>
                    <wp:anchor distT="0" distB="0" distL="114300" distR="114300" simplePos="0" relativeHeight="251669504" behindDoc="0" locked="0" layoutInCell="1" allowOverlap="1" wp14:anchorId="6C78801B" wp14:editId="65D785A4">
                      <wp:simplePos x="0" y="0"/>
                      <wp:positionH relativeFrom="column">
                        <wp:posOffset>0</wp:posOffset>
                      </wp:positionH>
                      <wp:positionV relativeFrom="paragraph">
                        <wp:posOffset>0</wp:posOffset>
                      </wp:positionV>
                      <wp:extent cx="678180" cy="434340"/>
                      <wp:effectExtent l="0" t="0" r="0" b="0"/>
                      <wp:wrapNone/>
                      <wp:docPr id="281" name="Rectangle 281" hidden="1">
                        <a:extLst xmlns:a="http://schemas.openxmlformats.org/drawingml/2006/main">
                          <a:ext uri="{63B3BB69-23CF-44E3-9099-C40C66FF867C}">
                            <a14:compatExt xmlns:a14="http://schemas.microsoft.com/office/drawing/2010/main" spid="_x0000_s10245"/>
                          </a:ext>
                        </a:extLst>
                      </wp:docPr>
                      <wp:cNvGraphicFramePr/>
                      <a:graphic xmlns:a="http://schemas.openxmlformats.org/drawingml/2006/main">
                        <a:graphicData uri="http://schemas.microsoft.com/office/word/2010/wordprocessingShape">
                          <wps:wsp>
                            <wps:cNvSpPr/>
                            <wps:spPr bwMode="auto">
                              <a:xfrm>
                                <a:off x="0" y="0"/>
                                <a:ext cx="674687" cy="434974"/>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60E2F16" id="Rectangle 281" o:spid="_x0000_s1026" style="position:absolute;margin-left:0;margin-top:0;width:53.4pt;height:34.2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" filled="f" stroked="f"/>
                  </w:pict>
                </mc:Fallback>
              </mc:AlternateContent>
            </w:r>
            <w:r w:rsidRPr="008754B4">
              <w:rPr>
                <w:rFonts w:eastAsia="Times New Roman" w:cstheme="minorHAnsi"/>
                <w:color w:val="000000"/>
                <w:szCs w:val="16"/>
                <w:lang w:eastAsia="en-AU"/>
              </w:rPr>
              <w:t>NSW</w:t>
            </w:r>
          </w:p>
        </w:tc>
        <w:tc>
          <w:tcPr>
            <w:tcW w:w="2310" w:type="pct"/>
            <w:noWrap/>
            <w:hideMark/>
          </w:tcPr>
          <w:p w14:paraId="0164C2BA"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Murray</w:t>
            </w:r>
          </w:p>
        </w:tc>
        <w:tc>
          <w:tcPr>
            <w:tcW w:w="811" w:type="pct"/>
            <w:noWrap/>
            <w:hideMark/>
          </w:tcPr>
          <w:p w14:paraId="118F06FB"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$85.09</w:t>
            </w:r>
          </w:p>
        </w:tc>
        <w:tc>
          <w:tcPr>
            <w:tcW w:w="1289" w:type="pct"/>
            <w:noWrap/>
            <w:hideMark/>
          </w:tcPr>
          <w:p w14:paraId="370B8182"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07BDEF14"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37A1B886"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5230B2E3"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New England and </w:t>
            </w:r>
            <w:proofErr w:type="gramStart"/>
            <w:r w:rsidRPr="008754B4">
              <w:rPr>
                <w:rFonts w:eastAsia="Times New Roman" w:cstheme="minorHAnsi"/>
                <w:bCs/>
                <w:color w:val="000000"/>
                <w:szCs w:val="16"/>
                <w:lang w:eastAsia="en-AU"/>
              </w:rPr>
              <w:t>North West</w:t>
            </w:r>
            <w:proofErr w:type="gramEnd"/>
          </w:p>
        </w:tc>
        <w:tc>
          <w:tcPr>
            <w:tcW w:w="811" w:type="pct"/>
            <w:noWrap/>
            <w:hideMark/>
          </w:tcPr>
          <w:p w14:paraId="314B8FDF"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$86.61</w:t>
            </w:r>
          </w:p>
        </w:tc>
        <w:tc>
          <w:tcPr>
            <w:tcW w:w="1289" w:type="pct"/>
            <w:noWrap/>
            <w:hideMark/>
          </w:tcPr>
          <w:p w14:paraId="3ADB3CF2"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7661A72F" w14:textId="77777777" w:rsidTr="00B26383">
        <w:trPr>
          <w:trHeight w:val="288"/>
        </w:trPr>
        <w:tc>
          <w:tcPr>
            <w:tcW w:w="589" w:type="pct"/>
            <w:noWrap/>
            <w:hideMark/>
          </w:tcPr>
          <w:p w14:paraId="1C89799B"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610AF0A5"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Newcastle and Lake Macquarie</w:t>
            </w:r>
          </w:p>
        </w:tc>
        <w:tc>
          <w:tcPr>
            <w:tcW w:w="811" w:type="pct"/>
            <w:noWrap/>
            <w:hideMark/>
          </w:tcPr>
          <w:p w14:paraId="7BBED2C3"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$443.41</w:t>
            </w:r>
          </w:p>
        </w:tc>
        <w:tc>
          <w:tcPr>
            <w:tcW w:w="1289" w:type="pct"/>
            <w:noWrap/>
            <w:hideMark/>
          </w:tcPr>
          <w:p w14:paraId="62A88776"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06A533BB"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1B57B6CE"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0F0CB2B6"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Richmond - Tweed</w:t>
            </w:r>
          </w:p>
        </w:tc>
        <w:tc>
          <w:tcPr>
            <w:tcW w:w="811" w:type="pct"/>
            <w:noWrap/>
            <w:hideMark/>
          </w:tcPr>
          <w:p w14:paraId="7530BA98"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$285.47</w:t>
            </w:r>
          </w:p>
        </w:tc>
        <w:tc>
          <w:tcPr>
            <w:tcW w:w="1289" w:type="pct"/>
            <w:noWrap/>
            <w:hideMark/>
          </w:tcPr>
          <w:p w14:paraId="6973482F"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699C232C" w14:textId="77777777" w:rsidTr="00B26383">
        <w:trPr>
          <w:trHeight w:val="288"/>
        </w:trPr>
        <w:tc>
          <w:tcPr>
            <w:tcW w:w="589" w:type="pct"/>
            <w:noWrap/>
            <w:hideMark/>
          </w:tcPr>
          <w:p w14:paraId="0ABE3BB1"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3F04B5F7"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Riverina</w:t>
            </w:r>
          </w:p>
        </w:tc>
        <w:tc>
          <w:tcPr>
            <w:tcW w:w="811" w:type="pct"/>
            <w:noWrap/>
            <w:hideMark/>
          </w:tcPr>
          <w:p w14:paraId="32C59534"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$95.82</w:t>
            </w:r>
          </w:p>
        </w:tc>
        <w:tc>
          <w:tcPr>
            <w:tcW w:w="1289" w:type="pct"/>
            <w:noWrap/>
            <w:hideMark/>
          </w:tcPr>
          <w:p w14:paraId="60F9C8E0"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046DCE00"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25FE3B1C"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lastRenderedPageBreak/>
              <w:t>NSW</w:t>
            </w:r>
          </w:p>
        </w:tc>
        <w:tc>
          <w:tcPr>
            <w:tcW w:w="2310" w:type="pct"/>
            <w:noWrap/>
            <w:hideMark/>
          </w:tcPr>
          <w:p w14:paraId="252E58C5"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Southern Highlands and Shoalhaven</w:t>
            </w:r>
          </w:p>
        </w:tc>
        <w:tc>
          <w:tcPr>
            <w:tcW w:w="811" w:type="pct"/>
            <w:noWrap/>
            <w:hideMark/>
          </w:tcPr>
          <w:p w14:paraId="7E104EDC"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$212.85</w:t>
            </w:r>
          </w:p>
        </w:tc>
        <w:tc>
          <w:tcPr>
            <w:tcW w:w="1289" w:type="pct"/>
            <w:noWrap/>
            <w:hideMark/>
          </w:tcPr>
          <w:p w14:paraId="52AE5132"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2B456FB4" w14:textId="77777777" w:rsidTr="00B26383">
        <w:trPr>
          <w:trHeight w:val="288"/>
        </w:trPr>
        <w:tc>
          <w:tcPr>
            <w:tcW w:w="589" w:type="pct"/>
            <w:noWrap/>
            <w:hideMark/>
          </w:tcPr>
          <w:p w14:paraId="03847985"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0C369A8B"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Sydney - Baulkham Hills and Hawkesbury</w:t>
            </w:r>
          </w:p>
        </w:tc>
        <w:tc>
          <w:tcPr>
            <w:tcW w:w="811" w:type="pct"/>
            <w:noWrap/>
            <w:hideMark/>
          </w:tcPr>
          <w:p w14:paraId="25D374F4"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$778.32</w:t>
            </w:r>
          </w:p>
        </w:tc>
        <w:tc>
          <w:tcPr>
            <w:tcW w:w="1289" w:type="pct"/>
            <w:noWrap/>
            <w:hideMark/>
          </w:tcPr>
          <w:p w14:paraId="3C3A7FCB"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6F55A3DA"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21DB27E1"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6F95B442"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Sydney - Blacktown</w:t>
            </w:r>
          </w:p>
        </w:tc>
        <w:tc>
          <w:tcPr>
            <w:tcW w:w="811" w:type="pct"/>
            <w:noWrap/>
            <w:hideMark/>
          </w:tcPr>
          <w:p w14:paraId="5D3139CB"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$639.56</w:t>
            </w:r>
          </w:p>
        </w:tc>
        <w:tc>
          <w:tcPr>
            <w:tcW w:w="1289" w:type="pct"/>
            <w:noWrap/>
            <w:hideMark/>
          </w:tcPr>
          <w:p w14:paraId="4482F74A"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5BE0B5C3" w14:textId="77777777" w:rsidTr="00B26383">
        <w:trPr>
          <w:trHeight w:val="288"/>
        </w:trPr>
        <w:tc>
          <w:tcPr>
            <w:tcW w:w="589" w:type="pct"/>
            <w:noWrap/>
            <w:hideMark/>
          </w:tcPr>
          <w:p w14:paraId="437BD775"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010587B0"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Sydney - City and Inner South</w:t>
            </w:r>
          </w:p>
        </w:tc>
        <w:tc>
          <w:tcPr>
            <w:tcW w:w="811" w:type="pct"/>
            <w:noWrap/>
            <w:hideMark/>
          </w:tcPr>
          <w:p w14:paraId="4C3318CB"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$4,592.34</w:t>
            </w:r>
          </w:p>
        </w:tc>
        <w:tc>
          <w:tcPr>
            <w:tcW w:w="1289" w:type="pct"/>
            <w:noWrap/>
            <w:hideMark/>
          </w:tcPr>
          <w:p w14:paraId="5F4B03E1"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570AB58E"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56A9F0AD"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5082F9D5"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Sydney - Eastern Suburbs</w:t>
            </w:r>
          </w:p>
        </w:tc>
        <w:tc>
          <w:tcPr>
            <w:tcW w:w="811" w:type="pct"/>
            <w:noWrap/>
            <w:hideMark/>
          </w:tcPr>
          <w:p w14:paraId="4BB74A2D"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$3,911.45</w:t>
            </w:r>
          </w:p>
        </w:tc>
        <w:tc>
          <w:tcPr>
            <w:tcW w:w="1289" w:type="pct"/>
            <w:noWrap/>
            <w:hideMark/>
          </w:tcPr>
          <w:p w14:paraId="51A58C78"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22FA1C9F" w14:textId="77777777" w:rsidTr="00B26383">
        <w:trPr>
          <w:trHeight w:val="288"/>
        </w:trPr>
        <w:tc>
          <w:tcPr>
            <w:tcW w:w="589" w:type="pct"/>
            <w:noWrap/>
            <w:hideMark/>
          </w:tcPr>
          <w:p w14:paraId="50E3D9E2"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502A9003"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Sydney - Inner </w:t>
            </w:r>
            <w:proofErr w:type="gramStart"/>
            <w:r w:rsidRPr="008754B4">
              <w:rPr>
                <w:rFonts w:eastAsia="Times New Roman" w:cstheme="minorHAnsi"/>
                <w:bCs/>
                <w:color w:val="000000"/>
                <w:szCs w:val="16"/>
                <w:lang w:eastAsia="en-AU"/>
              </w:rPr>
              <w:t>South West</w:t>
            </w:r>
            <w:proofErr w:type="gramEnd"/>
          </w:p>
        </w:tc>
        <w:tc>
          <w:tcPr>
            <w:tcW w:w="811" w:type="pct"/>
            <w:noWrap/>
            <w:hideMark/>
          </w:tcPr>
          <w:p w14:paraId="0BE3A5EC"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$1,327.46</w:t>
            </w:r>
          </w:p>
        </w:tc>
        <w:tc>
          <w:tcPr>
            <w:tcW w:w="1289" w:type="pct"/>
            <w:noWrap/>
            <w:hideMark/>
          </w:tcPr>
          <w:p w14:paraId="3761189D"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43A8F798"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7028D494"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69702348"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Sydney - Inner West</w:t>
            </w:r>
          </w:p>
        </w:tc>
        <w:tc>
          <w:tcPr>
            <w:tcW w:w="811" w:type="pct"/>
            <w:noWrap/>
            <w:hideMark/>
          </w:tcPr>
          <w:p w14:paraId="0E066231"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$2,443.19</w:t>
            </w:r>
          </w:p>
        </w:tc>
        <w:tc>
          <w:tcPr>
            <w:tcW w:w="1289" w:type="pct"/>
            <w:noWrap/>
            <w:hideMark/>
          </w:tcPr>
          <w:p w14:paraId="25F1ADE5"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72EB2DF0" w14:textId="77777777" w:rsidTr="00B26383">
        <w:trPr>
          <w:trHeight w:val="288"/>
        </w:trPr>
        <w:tc>
          <w:tcPr>
            <w:tcW w:w="589" w:type="pct"/>
            <w:noWrap/>
            <w:hideMark/>
          </w:tcPr>
          <w:p w14:paraId="442F4E0C"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65D1F54E"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Sydney - North Sydney and Hornsby</w:t>
            </w:r>
          </w:p>
        </w:tc>
        <w:tc>
          <w:tcPr>
            <w:tcW w:w="811" w:type="pct"/>
            <w:noWrap/>
            <w:hideMark/>
          </w:tcPr>
          <w:p w14:paraId="42BC8E19"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$1,678.76</w:t>
            </w:r>
          </w:p>
        </w:tc>
        <w:tc>
          <w:tcPr>
            <w:tcW w:w="1289" w:type="pct"/>
            <w:noWrap/>
            <w:hideMark/>
          </w:tcPr>
          <w:p w14:paraId="56A429FA"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408A234D"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434E5363"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2EE1D8E7"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Sydney - Northern Beaches</w:t>
            </w:r>
          </w:p>
        </w:tc>
        <w:tc>
          <w:tcPr>
            <w:tcW w:w="811" w:type="pct"/>
            <w:noWrap/>
            <w:hideMark/>
          </w:tcPr>
          <w:p w14:paraId="294AEAE3"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$1,504.50</w:t>
            </w:r>
          </w:p>
        </w:tc>
        <w:tc>
          <w:tcPr>
            <w:tcW w:w="1289" w:type="pct"/>
            <w:noWrap/>
            <w:hideMark/>
          </w:tcPr>
          <w:p w14:paraId="3A21DF8E"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4117CE52" w14:textId="77777777" w:rsidTr="00B26383">
        <w:trPr>
          <w:trHeight w:val="288"/>
        </w:trPr>
        <w:tc>
          <w:tcPr>
            <w:tcW w:w="589" w:type="pct"/>
            <w:noWrap/>
            <w:hideMark/>
          </w:tcPr>
          <w:p w14:paraId="0E791D36"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57626B18"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Sydney - Outer </w:t>
            </w:r>
            <w:proofErr w:type="gramStart"/>
            <w:r w:rsidRPr="008754B4">
              <w:rPr>
                <w:rFonts w:eastAsia="Times New Roman" w:cstheme="minorHAnsi"/>
                <w:bCs/>
                <w:color w:val="000000"/>
                <w:szCs w:val="16"/>
                <w:lang w:eastAsia="en-AU"/>
              </w:rPr>
              <w:t>South West</w:t>
            </w:r>
            <w:proofErr w:type="gramEnd"/>
          </w:p>
        </w:tc>
        <w:tc>
          <w:tcPr>
            <w:tcW w:w="811" w:type="pct"/>
            <w:noWrap/>
            <w:hideMark/>
          </w:tcPr>
          <w:p w14:paraId="75B366AF"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$410.36</w:t>
            </w:r>
          </w:p>
        </w:tc>
        <w:tc>
          <w:tcPr>
            <w:tcW w:w="1289" w:type="pct"/>
            <w:noWrap/>
            <w:hideMark/>
          </w:tcPr>
          <w:p w14:paraId="7E774826"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3C3652D2"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4952E4A6"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0C1A8B60"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Sydney - Outer West and Blue Mountains</w:t>
            </w:r>
          </w:p>
        </w:tc>
        <w:tc>
          <w:tcPr>
            <w:tcW w:w="811" w:type="pct"/>
            <w:noWrap/>
            <w:hideMark/>
          </w:tcPr>
          <w:p w14:paraId="716197E5"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$398.06</w:t>
            </w:r>
          </w:p>
        </w:tc>
        <w:tc>
          <w:tcPr>
            <w:tcW w:w="1289" w:type="pct"/>
            <w:noWrap/>
            <w:hideMark/>
          </w:tcPr>
          <w:p w14:paraId="480D2AF8"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531D2B40" w14:textId="77777777" w:rsidTr="00B26383">
        <w:trPr>
          <w:trHeight w:val="288"/>
        </w:trPr>
        <w:tc>
          <w:tcPr>
            <w:tcW w:w="589" w:type="pct"/>
            <w:noWrap/>
            <w:hideMark/>
          </w:tcPr>
          <w:p w14:paraId="0B141D41"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1DB30DB9"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Sydney - Parramatta</w:t>
            </w:r>
          </w:p>
        </w:tc>
        <w:tc>
          <w:tcPr>
            <w:tcW w:w="811" w:type="pct"/>
            <w:noWrap/>
            <w:hideMark/>
          </w:tcPr>
          <w:p w14:paraId="79223424"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$977.53</w:t>
            </w:r>
          </w:p>
        </w:tc>
        <w:tc>
          <w:tcPr>
            <w:tcW w:w="1289" w:type="pct"/>
            <w:noWrap/>
            <w:hideMark/>
          </w:tcPr>
          <w:p w14:paraId="3037434A"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1115E6D4"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21110706"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254743AD"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Sydney - Ryde</w:t>
            </w:r>
          </w:p>
        </w:tc>
        <w:tc>
          <w:tcPr>
            <w:tcW w:w="811" w:type="pct"/>
            <w:noWrap/>
            <w:hideMark/>
          </w:tcPr>
          <w:p w14:paraId="39FC1D2A"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$1,475.86</w:t>
            </w:r>
          </w:p>
        </w:tc>
        <w:tc>
          <w:tcPr>
            <w:tcW w:w="1289" w:type="pct"/>
            <w:noWrap/>
            <w:hideMark/>
          </w:tcPr>
          <w:p w14:paraId="17F79B84"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635A3261" w14:textId="77777777" w:rsidTr="00B26383">
        <w:trPr>
          <w:trHeight w:val="288"/>
        </w:trPr>
        <w:tc>
          <w:tcPr>
            <w:tcW w:w="589" w:type="pct"/>
            <w:noWrap/>
            <w:hideMark/>
          </w:tcPr>
          <w:p w14:paraId="10451E9F"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46B477CD"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Sydney - </w:t>
            </w:r>
            <w:proofErr w:type="gramStart"/>
            <w:r w:rsidRPr="008754B4">
              <w:rPr>
                <w:rFonts w:eastAsia="Times New Roman" w:cstheme="minorHAnsi"/>
                <w:bCs/>
                <w:color w:val="000000"/>
                <w:szCs w:val="16"/>
                <w:lang w:eastAsia="en-AU"/>
              </w:rPr>
              <w:t>South West</w:t>
            </w:r>
            <w:proofErr w:type="gramEnd"/>
          </w:p>
        </w:tc>
        <w:tc>
          <w:tcPr>
            <w:tcW w:w="811" w:type="pct"/>
            <w:noWrap/>
            <w:hideMark/>
          </w:tcPr>
          <w:p w14:paraId="1464DC9A"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$685.99</w:t>
            </w:r>
          </w:p>
        </w:tc>
        <w:tc>
          <w:tcPr>
            <w:tcW w:w="1289" w:type="pct"/>
            <w:noWrap/>
            <w:hideMark/>
          </w:tcPr>
          <w:p w14:paraId="7C6FAD59"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70B23885"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164BA79B"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NSW</w:t>
            </w:r>
          </w:p>
        </w:tc>
        <w:tc>
          <w:tcPr>
            <w:tcW w:w="2310" w:type="pct"/>
            <w:noWrap/>
            <w:hideMark/>
          </w:tcPr>
          <w:p w14:paraId="6F699C27"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Sydney - Sutherland</w:t>
            </w:r>
          </w:p>
        </w:tc>
        <w:tc>
          <w:tcPr>
            <w:tcW w:w="811" w:type="pct"/>
            <w:noWrap/>
            <w:hideMark/>
          </w:tcPr>
          <w:p w14:paraId="419882DF"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$1,250.41</w:t>
            </w:r>
          </w:p>
        </w:tc>
        <w:tc>
          <w:tcPr>
            <w:tcW w:w="1289" w:type="pct"/>
            <w:noWrap/>
            <w:hideMark/>
          </w:tcPr>
          <w:p w14:paraId="12E184D9"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561BCF43" w14:textId="77777777" w:rsidTr="00B26383">
        <w:trPr>
          <w:trHeight w:val="288"/>
        </w:trPr>
        <w:tc>
          <w:tcPr>
            <w:tcW w:w="589" w:type="pct"/>
            <w:noWrap/>
            <w:hideMark/>
          </w:tcPr>
          <w:p w14:paraId="002F2F4C"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noProof/>
                <w:color w:val="000000"/>
                <w:szCs w:val="16"/>
                <w:lang w:eastAsia="en-AU"/>
              </w:rPr>
              <mc:AlternateContent>
                <mc:Choice Requires="wps">
                  <w:drawing>
                    <wp:anchor distT="0" distB="0" distL="114300" distR="114300" simplePos="0" relativeHeight="251659264" behindDoc="0" locked="0" layoutInCell="1" allowOverlap="1" wp14:anchorId="182ECBE8" wp14:editId="56514943">
                      <wp:simplePos x="0" y="0"/>
                      <wp:positionH relativeFrom="column">
                        <wp:posOffset>0</wp:posOffset>
                      </wp:positionH>
                      <wp:positionV relativeFrom="paragraph">
                        <wp:posOffset>0</wp:posOffset>
                      </wp:positionV>
                      <wp:extent cx="617220" cy="441960"/>
                      <wp:effectExtent l="0" t="0" r="0" b="0"/>
                      <wp:wrapNone/>
                      <wp:docPr id="280" name="Rectangle 280" hidden="1">
                        <a:extLst xmlns:a="http://schemas.openxmlformats.org/drawingml/2006/main">
                          <a:ext uri="{63B3BB69-23CF-44E3-9099-C40C66FF867C}">
                            <a14:compatExt xmlns:a14="http://schemas.microsoft.com/office/drawing/2010/main" spid="_x0000_s10241"/>
                          </a:ext>
                        </a:extLst>
                      </wp:docPr>
                      <wp:cNvGraphicFramePr/>
                      <a:graphic xmlns:a="http://schemas.openxmlformats.org/drawingml/2006/main">
                        <a:graphicData uri="http://schemas.microsoft.com/office/word/2010/wordprocessingShape">
                          <wps:wsp>
                            <wps:cNvSpPr/>
                            <wps:spPr bwMode="auto">
                              <a:xfrm>
                                <a:off x="0" y="0"/>
                                <a:ext cx="617537" cy="43951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C59F36" id="Rectangle 280" o:spid="_x0000_s1026" style="position:absolute;margin-left:0;margin-top:0;width:48.6pt;height:34.8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" filled="f" stroked="f"/>
                  </w:pict>
                </mc:Fallback>
              </mc:AlternateContent>
            </w:r>
            <w:r w:rsidRPr="008754B4">
              <w:rPr>
                <w:rFonts w:eastAsia="Times New Roman" w:cstheme="minorHAnsi"/>
                <w:noProof/>
                <w:color w:val="000000"/>
                <w:szCs w:val="16"/>
                <w:lang w:eastAsia="en-AU"/>
              </w:rPr>
              <mc:AlternateContent>
                <mc:Choice Requires="wps">
                  <w:drawing>
                    <wp:anchor distT="0" distB="0" distL="114300" distR="114300" simplePos="0" relativeHeight="251660288" behindDoc="0" locked="0" layoutInCell="1" allowOverlap="1" wp14:anchorId="07748235" wp14:editId="1BB3F031">
                      <wp:simplePos x="0" y="0"/>
                      <wp:positionH relativeFrom="column">
                        <wp:posOffset>0</wp:posOffset>
                      </wp:positionH>
                      <wp:positionV relativeFrom="paragraph">
                        <wp:posOffset>0</wp:posOffset>
                      </wp:positionV>
                      <wp:extent cx="617220" cy="441960"/>
                      <wp:effectExtent l="0" t="0" r="0" b="0"/>
                      <wp:wrapNone/>
                      <wp:docPr id="279" name="Rectangle 279" hidden="1">
                        <a:extLst xmlns:a="http://schemas.openxmlformats.org/drawingml/2006/main">
                          <a:ext uri="{63B3BB69-23CF-44E3-9099-C40C66FF867C}">
                            <a14:compatExt xmlns:a14="http://schemas.microsoft.com/office/drawing/2010/main" spid="_x0000_s10242"/>
                          </a:ext>
                        </a:extLst>
                      </wp:docPr>
                      <wp:cNvGraphicFramePr/>
                      <a:graphic xmlns:a="http://schemas.openxmlformats.org/drawingml/2006/main">
                        <a:graphicData uri="http://schemas.microsoft.com/office/word/2010/wordprocessingShape">
                          <wps:wsp>
                            <wps:cNvSpPr/>
                            <wps:spPr bwMode="auto">
                              <a:xfrm>
                                <a:off x="0" y="0"/>
                                <a:ext cx="617537" cy="43951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3B4E5A" id="Rectangle 279" o:spid="_x0000_s1026" style="position:absolute;margin-left:0;margin-top:0;width:48.6pt;height:34.8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" filled="f" stroked="f"/>
                  </w:pict>
                </mc:Fallback>
              </mc:AlternateContent>
            </w:r>
            <w:r w:rsidRPr="008754B4">
              <w:rPr>
                <w:rFonts w:eastAsia="Times New Roman" w:cstheme="minorHAnsi"/>
                <w:noProof/>
                <w:color w:val="000000"/>
                <w:szCs w:val="16"/>
                <w:lang w:eastAsia="en-AU"/>
              </w:rPr>
              <mc:AlternateContent>
                <mc:Choice Requires="wps">
                  <w:drawing>
                    <wp:anchor distT="0" distB="0" distL="114300" distR="114300" simplePos="0" relativeHeight="251661312" behindDoc="0" locked="0" layoutInCell="1" allowOverlap="1" wp14:anchorId="61123F79" wp14:editId="1419DD3A">
                      <wp:simplePos x="0" y="0"/>
                      <wp:positionH relativeFrom="column">
                        <wp:posOffset>0</wp:posOffset>
                      </wp:positionH>
                      <wp:positionV relativeFrom="paragraph">
                        <wp:posOffset>0</wp:posOffset>
                      </wp:positionV>
                      <wp:extent cx="624840" cy="449580"/>
                      <wp:effectExtent l="0" t="0" r="0" b="0"/>
                      <wp:wrapNone/>
                      <wp:docPr id="278" name="Rectangle 278" hidden="1">
                        <a:extLst xmlns:a="http://schemas.openxmlformats.org/drawingml/2006/main">
                          <a:ext uri="{63B3BB69-23CF-44E3-9099-C40C66FF867C}">
                            <a14:compatExt xmlns:a14="http://schemas.microsoft.com/office/drawing/2010/main" spid="_x0000_s10243"/>
                          </a:ext>
                        </a:extLst>
                      </wp:docPr>
                      <wp:cNvGraphicFramePr/>
                      <a:graphic xmlns:a="http://schemas.openxmlformats.org/drawingml/2006/main">
                        <a:graphicData uri="http://schemas.microsoft.com/office/word/2010/wordprocessingShape">
                          <wps:wsp>
                            <wps:cNvSpPr/>
                            <wps:spPr bwMode="auto">
                              <a:xfrm>
                                <a:off x="0" y="0"/>
                                <a:ext cx="623887" cy="45221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80FAF4" id="Rectangle 278" o:spid="_x0000_s1026" style="position:absolute;margin-left:0;margin-top:0;width:49.2pt;height:35.4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" filled="f" stroked="f"/>
                  </w:pict>
                </mc:Fallback>
              </mc:AlternateContent>
            </w:r>
            <w:r w:rsidRPr="008754B4">
              <w:rPr>
                <w:rFonts w:eastAsia="Times New Roman" w:cstheme="minorHAnsi"/>
                <w:noProof/>
                <w:color w:val="000000"/>
                <w:szCs w:val="16"/>
                <w:lang w:eastAsia="en-AU"/>
              </w:rPr>
              <mc:AlternateContent>
                <mc:Choice Requires="wps">
                  <w:drawing>
                    <wp:anchor distT="0" distB="0" distL="114300" distR="114300" simplePos="0" relativeHeight="251665408" behindDoc="0" locked="0" layoutInCell="1" allowOverlap="1" wp14:anchorId="3F48AC7F" wp14:editId="620E6757">
                      <wp:simplePos x="0" y="0"/>
                      <wp:positionH relativeFrom="column">
                        <wp:posOffset>0</wp:posOffset>
                      </wp:positionH>
                      <wp:positionV relativeFrom="paragraph">
                        <wp:posOffset>0</wp:posOffset>
                      </wp:positionV>
                      <wp:extent cx="670560" cy="426720"/>
                      <wp:effectExtent l="0" t="0" r="0" b="0"/>
                      <wp:wrapNone/>
                      <wp:docPr id="277" name="Rectangle 277" hidden="1">
                        <a:extLst xmlns:a="http://schemas.openxmlformats.org/drawingml/2006/main">
                          <a:ext uri="{63B3BB69-23CF-44E3-9099-C40C66FF867C}">
                            <a14:compatExt xmlns:a14="http://schemas.microsoft.com/office/drawing/2010/main" spid="_x0000_s10241"/>
                          </a:ext>
                        </a:extLst>
                      </wp:docPr>
                      <wp:cNvGraphicFramePr/>
                      <a:graphic xmlns:a="http://schemas.openxmlformats.org/drawingml/2006/main">
                        <a:graphicData uri="http://schemas.microsoft.com/office/word/2010/wordprocessingShape">
                          <wps:wsp>
                            <wps:cNvSpPr/>
                            <wps:spPr bwMode="auto">
                              <a:xfrm>
                                <a:off x="0" y="0"/>
                                <a:ext cx="668337" cy="428624"/>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3970903" id="Rectangle 277" o:spid="_x0000_s1026" style="position:absolute;margin-left:0;margin-top:0;width:52.8pt;height:33.6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" filled="f" stroked="f"/>
                  </w:pict>
                </mc:Fallback>
              </mc:AlternateContent>
            </w:r>
            <w:r w:rsidRPr="008754B4">
              <w:rPr>
                <w:rFonts w:eastAsia="Times New Roman" w:cstheme="minorHAnsi"/>
                <w:noProof/>
                <w:color w:val="000000"/>
                <w:szCs w:val="16"/>
                <w:lang w:eastAsia="en-AU"/>
              </w:rPr>
              <mc:AlternateContent>
                <mc:Choice Requires="wps">
                  <w:drawing>
                    <wp:anchor distT="0" distB="0" distL="114300" distR="114300" simplePos="0" relativeHeight="251666432" behindDoc="0" locked="0" layoutInCell="1" allowOverlap="1" wp14:anchorId="5D9F6153" wp14:editId="46659C7F">
                      <wp:simplePos x="0" y="0"/>
                      <wp:positionH relativeFrom="column">
                        <wp:posOffset>0</wp:posOffset>
                      </wp:positionH>
                      <wp:positionV relativeFrom="paragraph">
                        <wp:posOffset>0</wp:posOffset>
                      </wp:positionV>
                      <wp:extent cx="670560" cy="426720"/>
                      <wp:effectExtent l="0" t="0" r="0" b="0"/>
                      <wp:wrapNone/>
                      <wp:docPr id="276" name="Rectangle 276" hidden="1">
                        <a:extLst xmlns:a="http://schemas.openxmlformats.org/drawingml/2006/main">
                          <a:ext uri="{63B3BB69-23CF-44E3-9099-C40C66FF867C}">
                            <a14:compatExt xmlns:a14="http://schemas.microsoft.com/office/drawing/2010/main" spid="_x0000_s10242"/>
                          </a:ext>
                        </a:extLst>
                      </wp:docPr>
                      <wp:cNvGraphicFramePr/>
                      <a:graphic xmlns:a="http://schemas.openxmlformats.org/drawingml/2006/main">
                        <a:graphicData uri="http://schemas.microsoft.com/office/word/2010/wordprocessingShape">
                          <wps:wsp>
                            <wps:cNvSpPr/>
                            <wps:spPr bwMode="auto">
                              <a:xfrm>
                                <a:off x="0" y="0"/>
                                <a:ext cx="668337" cy="428624"/>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C02AAB" id="Rectangle 276" o:spid="_x0000_s1026" style="position:absolute;margin-left:0;margin-top:0;width:52.8pt;height:33.6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" filled="f" stroked="f"/>
                  </w:pict>
                </mc:Fallback>
              </mc:AlternateContent>
            </w:r>
            <w:r w:rsidRPr="008754B4">
              <w:rPr>
                <w:rFonts w:eastAsia="Times New Roman" w:cstheme="minorHAnsi"/>
                <w:noProof/>
                <w:color w:val="000000"/>
                <w:szCs w:val="16"/>
                <w:lang w:eastAsia="en-AU"/>
              </w:rPr>
              <mc:AlternateContent>
                <mc:Choice Requires="wps">
                  <w:drawing>
                    <wp:anchor distT="0" distB="0" distL="114300" distR="114300" simplePos="0" relativeHeight="251667456" behindDoc="0" locked="0" layoutInCell="1" allowOverlap="1" wp14:anchorId="43318AD4" wp14:editId="5EA7C6EC">
                      <wp:simplePos x="0" y="0"/>
                      <wp:positionH relativeFrom="column">
                        <wp:posOffset>0</wp:posOffset>
                      </wp:positionH>
                      <wp:positionV relativeFrom="paragraph">
                        <wp:posOffset>0</wp:posOffset>
                      </wp:positionV>
                      <wp:extent cx="678180" cy="441960"/>
                      <wp:effectExtent l="0" t="0" r="0" b="0"/>
                      <wp:wrapNone/>
                      <wp:docPr id="275" name="Rectangle 275" hidden="1">
                        <a:extLst xmlns:a="http://schemas.openxmlformats.org/drawingml/2006/main">
                          <a:ext uri="{63B3BB69-23CF-44E3-9099-C40C66FF867C}">
                            <a14:compatExt xmlns:a14="http://schemas.microsoft.com/office/drawing/2010/main" spid="_x0000_s10243"/>
                          </a:ext>
                        </a:extLst>
                      </wp:docPr>
                      <wp:cNvGraphicFramePr/>
                      <a:graphic xmlns:a="http://schemas.openxmlformats.org/drawingml/2006/main">
                        <a:graphicData uri="http://schemas.microsoft.com/office/word/2010/wordprocessingShape">
                          <wps:wsp>
                            <wps:cNvSpPr/>
                            <wps:spPr bwMode="auto">
                              <a:xfrm>
                                <a:off x="0" y="0"/>
                                <a:ext cx="674687" cy="441324"/>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C254E64" id="Rectangle 275" o:spid="_x0000_s1026" style="position:absolute;margin-left:0;margin-top:0;width:53.4pt;height:34.8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" filled="f" stroked="f"/>
                  </w:pict>
                </mc:Fallback>
              </mc:AlternateContent>
            </w:r>
            <w:r w:rsidRPr="008754B4">
              <w:rPr>
                <w:rFonts w:eastAsia="Times New Roman" w:cstheme="minorHAnsi"/>
                <w:color w:val="000000"/>
                <w:szCs w:val="16"/>
                <w:lang w:eastAsia="en-AU"/>
              </w:rPr>
              <w:t>VIC</w:t>
            </w:r>
          </w:p>
        </w:tc>
        <w:tc>
          <w:tcPr>
            <w:tcW w:w="2310" w:type="pct"/>
            <w:noWrap/>
            <w:hideMark/>
          </w:tcPr>
          <w:p w14:paraId="2D361628"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Ballarat</w:t>
            </w:r>
          </w:p>
        </w:tc>
        <w:tc>
          <w:tcPr>
            <w:tcW w:w="811" w:type="pct"/>
            <w:noWrap/>
            <w:hideMark/>
          </w:tcPr>
          <w:p w14:paraId="0EFCC212"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$148.36</w:t>
            </w:r>
          </w:p>
        </w:tc>
        <w:tc>
          <w:tcPr>
            <w:tcW w:w="1289" w:type="pct"/>
            <w:noWrap/>
            <w:hideMark/>
          </w:tcPr>
          <w:p w14:paraId="11ADDD9F"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5B500390"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03EB2784"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6F57B530"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Bendigo</w:t>
            </w:r>
          </w:p>
        </w:tc>
        <w:tc>
          <w:tcPr>
            <w:tcW w:w="811" w:type="pct"/>
            <w:noWrap/>
            <w:hideMark/>
          </w:tcPr>
          <w:p w14:paraId="12CEE229"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$165.32</w:t>
            </w:r>
          </w:p>
        </w:tc>
        <w:tc>
          <w:tcPr>
            <w:tcW w:w="1289" w:type="pct"/>
            <w:noWrap/>
            <w:hideMark/>
          </w:tcPr>
          <w:p w14:paraId="25C6EBC7"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5166D5EE" w14:textId="77777777" w:rsidTr="00B26383">
        <w:trPr>
          <w:trHeight w:val="288"/>
        </w:trPr>
        <w:tc>
          <w:tcPr>
            <w:tcW w:w="589" w:type="pct"/>
            <w:noWrap/>
            <w:hideMark/>
          </w:tcPr>
          <w:p w14:paraId="27A59616"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167B9D9D"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Geelong</w:t>
            </w:r>
          </w:p>
        </w:tc>
        <w:tc>
          <w:tcPr>
            <w:tcW w:w="811" w:type="pct"/>
            <w:noWrap/>
            <w:hideMark/>
          </w:tcPr>
          <w:p w14:paraId="1F5A5ECA"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$284.14</w:t>
            </w:r>
          </w:p>
        </w:tc>
        <w:tc>
          <w:tcPr>
            <w:tcW w:w="1289" w:type="pct"/>
            <w:noWrap/>
            <w:hideMark/>
          </w:tcPr>
          <w:p w14:paraId="68F31B2F"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2C404DED"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7129EEF7"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70C15BF5"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Hume</w:t>
            </w:r>
          </w:p>
        </w:tc>
        <w:tc>
          <w:tcPr>
            <w:tcW w:w="811" w:type="pct"/>
            <w:noWrap/>
            <w:hideMark/>
          </w:tcPr>
          <w:p w14:paraId="44F1CB4D"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$115.56</w:t>
            </w:r>
          </w:p>
        </w:tc>
        <w:tc>
          <w:tcPr>
            <w:tcW w:w="1289" w:type="pct"/>
            <w:noWrap/>
            <w:hideMark/>
          </w:tcPr>
          <w:p w14:paraId="0B112836"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20AE79AE" w14:textId="77777777" w:rsidTr="00B26383">
        <w:trPr>
          <w:trHeight w:val="288"/>
        </w:trPr>
        <w:tc>
          <w:tcPr>
            <w:tcW w:w="589" w:type="pct"/>
            <w:noWrap/>
            <w:hideMark/>
          </w:tcPr>
          <w:p w14:paraId="39FA3A51"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4F9BF843"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Latrobe - Gippsland</w:t>
            </w:r>
          </w:p>
        </w:tc>
        <w:tc>
          <w:tcPr>
            <w:tcW w:w="811" w:type="pct"/>
            <w:noWrap/>
            <w:hideMark/>
          </w:tcPr>
          <w:p w14:paraId="2D8FFD14"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$131.34</w:t>
            </w:r>
          </w:p>
        </w:tc>
        <w:tc>
          <w:tcPr>
            <w:tcW w:w="1289" w:type="pct"/>
            <w:noWrap/>
            <w:hideMark/>
          </w:tcPr>
          <w:p w14:paraId="07ECC0D6"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7F53E9FF"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607EDAEE"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7DA1CAAD"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Melbourne - Inner</w:t>
            </w:r>
          </w:p>
        </w:tc>
        <w:tc>
          <w:tcPr>
            <w:tcW w:w="811" w:type="pct"/>
            <w:noWrap/>
            <w:hideMark/>
          </w:tcPr>
          <w:p w14:paraId="42E95678"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$1,342.88</w:t>
            </w:r>
          </w:p>
        </w:tc>
        <w:tc>
          <w:tcPr>
            <w:tcW w:w="1289" w:type="pct"/>
            <w:noWrap/>
            <w:hideMark/>
          </w:tcPr>
          <w:p w14:paraId="0CA70ABF"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727E5C5E" w14:textId="77777777" w:rsidTr="00B26383">
        <w:trPr>
          <w:trHeight w:val="288"/>
        </w:trPr>
        <w:tc>
          <w:tcPr>
            <w:tcW w:w="589" w:type="pct"/>
            <w:noWrap/>
            <w:hideMark/>
          </w:tcPr>
          <w:p w14:paraId="5144C6B5"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5687FD52"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Melbourne - Inner East</w:t>
            </w:r>
          </w:p>
        </w:tc>
        <w:tc>
          <w:tcPr>
            <w:tcW w:w="811" w:type="pct"/>
            <w:noWrap/>
            <w:hideMark/>
          </w:tcPr>
          <w:p w14:paraId="3A0E1E63"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$993.61</w:t>
            </w:r>
          </w:p>
        </w:tc>
        <w:tc>
          <w:tcPr>
            <w:tcW w:w="1289" w:type="pct"/>
            <w:noWrap/>
            <w:hideMark/>
          </w:tcPr>
          <w:p w14:paraId="4AB08F82"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7B92B67A"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74AA82CC"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4C68C7AA"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Melbourne - Inner South</w:t>
            </w:r>
          </w:p>
        </w:tc>
        <w:tc>
          <w:tcPr>
            <w:tcW w:w="811" w:type="pct"/>
            <w:noWrap/>
            <w:hideMark/>
          </w:tcPr>
          <w:p w14:paraId="6AC0B2D3"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$1,041.78</w:t>
            </w:r>
          </w:p>
        </w:tc>
        <w:tc>
          <w:tcPr>
            <w:tcW w:w="1289" w:type="pct"/>
            <w:noWrap/>
            <w:hideMark/>
          </w:tcPr>
          <w:p w14:paraId="7D994255"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0EA3EFC5" w14:textId="77777777" w:rsidTr="00B26383">
        <w:trPr>
          <w:trHeight w:val="288"/>
        </w:trPr>
        <w:tc>
          <w:tcPr>
            <w:tcW w:w="589" w:type="pct"/>
            <w:noWrap/>
            <w:hideMark/>
          </w:tcPr>
          <w:p w14:paraId="466F7369"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3CAB5E2F"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Melbourne - </w:t>
            </w:r>
            <w:proofErr w:type="gramStart"/>
            <w:r w:rsidRPr="008754B4">
              <w:rPr>
                <w:rFonts w:eastAsia="Times New Roman" w:cstheme="minorHAnsi"/>
                <w:bCs/>
                <w:color w:val="000000"/>
                <w:szCs w:val="16"/>
                <w:lang w:eastAsia="en-AU"/>
              </w:rPr>
              <w:t>North East</w:t>
            </w:r>
            <w:proofErr w:type="gramEnd"/>
          </w:p>
        </w:tc>
        <w:tc>
          <w:tcPr>
            <w:tcW w:w="811" w:type="pct"/>
            <w:noWrap/>
            <w:hideMark/>
          </w:tcPr>
          <w:p w14:paraId="1548FF27"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$449.46</w:t>
            </w:r>
          </w:p>
        </w:tc>
        <w:tc>
          <w:tcPr>
            <w:tcW w:w="1289" w:type="pct"/>
            <w:noWrap/>
            <w:hideMark/>
          </w:tcPr>
          <w:p w14:paraId="2C7138FC"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09AF3BAD"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42321256"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15F648CF"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Melbourne - </w:t>
            </w:r>
            <w:proofErr w:type="gramStart"/>
            <w:r w:rsidRPr="008754B4">
              <w:rPr>
                <w:rFonts w:eastAsia="Times New Roman" w:cstheme="minorHAnsi"/>
                <w:bCs/>
                <w:color w:val="000000"/>
                <w:szCs w:val="16"/>
                <w:lang w:eastAsia="en-AU"/>
              </w:rPr>
              <w:t>North West</w:t>
            </w:r>
            <w:proofErr w:type="gramEnd"/>
          </w:p>
        </w:tc>
        <w:tc>
          <w:tcPr>
            <w:tcW w:w="811" w:type="pct"/>
            <w:noWrap/>
            <w:hideMark/>
          </w:tcPr>
          <w:p w14:paraId="2453DF54"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$256.47</w:t>
            </w:r>
          </w:p>
        </w:tc>
        <w:tc>
          <w:tcPr>
            <w:tcW w:w="1289" w:type="pct"/>
            <w:noWrap/>
            <w:hideMark/>
          </w:tcPr>
          <w:p w14:paraId="40AB60D9"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7B8CD5FA" w14:textId="77777777" w:rsidTr="00B26383">
        <w:trPr>
          <w:trHeight w:val="288"/>
        </w:trPr>
        <w:tc>
          <w:tcPr>
            <w:tcW w:w="589" w:type="pct"/>
            <w:noWrap/>
            <w:hideMark/>
          </w:tcPr>
          <w:p w14:paraId="22912355"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3505324C"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Melbourne - Outer East</w:t>
            </w:r>
          </w:p>
        </w:tc>
        <w:tc>
          <w:tcPr>
            <w:tcW w:w="811" w:type="pct"/>
            <w:noWrap/>
            <w:hideMark/>
          </w:tcPr>
          <w:p w14:paraId="23674CDA"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$345.33</w:t>
            </w:r>
          </w:p>
        </w:tc>
        <w:tc>
          <w:tcPr>
            <w:tcW w:w="1289" w:type="pct"/>
            <w:noWrap/>
            <w:hideMark/>
          </w:tcPr>
          <w:p w14:paraId="4CFC065C"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3B67AB57"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64F9E0DD"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613460AA"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Melbourne - </w:t>
            </w:r>
            <w:proofErr w:type="gramStart"/>
            <w:r w:rsidRPr="008754B4">
              <w:rPr>
                <w:rFonts w:eastAsia="Times New Roman" w:cstheme="minorHAnsi"/>
                <w:bCs/>
                <w:color w:val="000000"/>
                <w:szCs w:val="16"/>
                <w:lang w:eastAsia="en-AU"/>
              </w:rPr>
              <w:t>South East</w:t>
            </w:r>
            <w:proofErr w:type="gramEnd"/>
          </w:p>
        </w:tc>
        <w:tc>
          <w:tcPr>
            <w:tcW w:w="811" w:type="pct"/>
            <w:noWrap/>
            <w:hideMark/>
          </w:tcPr>
          <w:p w14:paraId="316D468E"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$445.18</w:t>
            </w:r>
          </w:p>
        </w:tc>
        <w:tc>
          <w:tcPr>
            <w:tcW w:w="1289" w:type="pct"/>
            <w:noWrap/>
            <w:hideMark/>
          </w:tcPr>
          <w:p w14:paraId="48388589"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16CF8581" w14:textId="77777777" w:rsidTr="00B26383">
        <w:trPr>
          <w:trHeight w:val="288"/>
        </w:trPr>
        <w:tc>
          <w:tcPr>
            <w:tcW w:w="589" w:type="pct"/>
            <w:noWrap/>
            <w:hideMark/>
          </w:tcPr>
          <w:p w14:paraId="132508E4"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0ED2D5F8"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Melbourne - West</w:t>
            </w:r>
          </w:p>
        </w:tc>
        <w:tc>
          <w:tcPr>
            <w:tcW w:w="811" w:type="pct"/>
            <w:noWrap/>
            <w:hideMark/>
          </w:tcPr>
          <w:p w14:paraId="496734FA"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$389.21</w:t>
            </w:r>
          </w:p>
        </w:tc>
        <w:tc>
          <w:tcPr>
            <w:tcW w:w="1289" w:type="pct"/>
            <w:noWrap/>
            <w:hideMark/>
          </w:tcPr>
          <w:p w14:paraId="17684944"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5EE0E739"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32416A80"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129F72AA"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noProof/>
                <w:color w:val="000000"/>
                <w:szCs w:val="16"/>
                <w:lang w:eastAsia="en-AU"/>
              </w:rPr>
              <mc:AlternateContent>
                <mc:Choice Requires="wps">
                  <w:drawing>
                    <wp:anchor distT="0" distB="0" distL="114300" distR="114300" simplePos="0" relativeHeight="251662336" behindDoc="0" locked="0" layoutInCell="1" allowOverlap="1" wp14:anchorId="658738C1" wp14:editId="0F9928F8">
                      <wp:simplePos x="0" y="0"/>
                      <wp:positionH relativeFrom="column">
                        <wp:posOffset>0</wp:posOffset>
                      </wp:positionH>
                      <wp:positionV relativeFrom="paragraph">
                        <wp:posOffset>182880</wp:posOffset>
                      </wp:positionV>
                      <wp:extent cx="655320" cy="441960"/>
                      <wp:effectExtent l="0" t="0" r="0" b="0"/>
                      <wp:wrapNone/>
                      <wp:docPr id="274" name="Rectangle 274" hidden="1">
                        <a:extLst xmlns:a="http://schemas.openxmlformats.org/drawingml/2006/main">
                          <a:ext uri="{63B3BB69-23CF-44E3-9099-C40C66FF867C}">
                            <a14:compatExt xmlns:a14="http://schemas.microsoft.com/office/drawing/2010/main" spid="_x0000_s10244"/>
                          </a:ext>
                        </a:extLst>
                      </wp:docPr>
                      <wp:cNvGraphicFramePr/>
                      <a:graphic xmlns:a="http://schemas.openxmlformats.org/drawingml/2006/main">
                        <a:graphicData uri="http://schemas.microsoft.com/office/word/2010/wordprocessingShape">
                          <wps:wsp>
                            <wps:cNvSpPr/>
                            <wps:spPr bwMode="auto">
                              <a:xfrm>
                                <a:off x="0" y="0"/>
                                <a:ext cx="649287" cy="445861"/>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284F70" id="Rectangle 274" o:spid="_x0000_s1026" style="position:absolute;margin-left:0;margin-top:14.4pt;width:51.6pt;height:34.8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" filled="f" stroked="f"/>
                  </w:pict>
                </mc:Fallback>
              </mc:AlternateContent>
            </w:r>
            <w:r w:rsidRPr="008754B4">
              <w:rPr>
                <w:rFonts w:eastAsia="Times New Roman" w:cstheme="minorHAnsi"/>
                <w:bCs/>
                <w:noProof/>
                <w:color w:val="000000"/>
                <w:szCs w:val="16"/>
                <w:lang w:eastAsia="en-AU"/>
              </w:rPr>
              <mc:AlternateContent>
                <mc:Choice Requires="wps">
                  <w:drawing>
                    <wp:anchor distT="0" distB="0" distL="114300" distR="114300" simplePos="0" relativeHeight="251668480" behindDoc="0" locked="0" layoutInCell="1" allowOverlap="1" wp14:anchorId="01C5784E" wp14:editId="0FA50362">
                      <wp:simplePos x="0" y="0"/>
                      <wp:positionH relativeFrom="column">
                        <wp:posOffset>0</wp:posOffset>
                      </wp:positionH>
                      <wp:positionV relativeFrom="paragraph">
                        <wp:posOffset>182880</wp:posOffset>
                      </wp:positionV>
                      <wp:extent cx="670560" cy="434340"/>
                      <wp:effectExtent l="0" t="0" r="0" b="0"/>
                      <wp:wrapNone/>
                      <wp:docPr id="273" name="Rectangle 273" hidden="1">
                        <a:extLst xmlns:a="http://schemas.openxmlformats.org/drawingml/2006/main">
                          <a:ext uri="{63B3BB69-23CF-44E3-9099-C40C66FF867C}">
                            <a14:compatExt xmlns:a14="http://schemas.microsoft.com/office/drawing/2010/main" spid="_x0000_s10244"/>
                          </a:ext>
                        </a:extLst>
                      </wp:docPr>
                      <wp:cNvGraphicFramePr/>
                      <a:graphic xmlns:a="http://schemas.openxmlformats.org/drawingml/2006/main">
                        <a:graphicData uri="http://schemas.microsoft.com/office/word/2010/wordprocessingShape">
                          <wps:wsp>
                            <wps:cNvSpPr/>
                            <wps:spPr bwMode="auto">
                              <a:xfrm>
                                <a:off x="0" y="0"/>
                                <a:ext cx="668337" cy="4349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0926E9" id="Rectangle 273" o:spid="_x0000_s1026" style="position:absolute;margin-left:0;margin-top:14.4pt;width:52.8pt;height:34.2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" filled="f" stroked="f"/>
                  </w:pict>
                </mc:Fallback>
              </mc:AlternateContent>
            </w:r>
            <w:r w:rsidRPr="008754B4">
              <w:rPr>
                <w:rFonts w:eastAsia="Times New Roman" w:cstheme="minorHAnsi"/>
                <w:bCs/>
                <w:color w:val="000000"/>
                <w:szCs w:val="16"/>
                <w:lang w:eastAsia="en-AU"/>
              </w:rPr>
              <w:t>Mornington Peninsula</w:t>
            </w:r>
          </w:p>
        </w:tc>
        <w:tc>
          <w:tcPr>
            <w:tcW w:w="811" w:type="pct"/>
            <w:noWrap/>
            <w:hideMark/>
          </w:tcPr>
          <w:p w14:paraId="09FEA626"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$327.94</w:t>
            </w:r>
          </w:p>
        </w:tc>
        <w:tc>
          <w:tcPr>
            <w:tcW w:w="1289" w:type="pct"/>
            <w:noWrap/>
            <w:hideMark/>
          </w:tcPr>
          <w:p w14:paraId="0938B0BD"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2C3A58CF" w14:textId="77777777" w:rsidTr="00B26383">
        <w:trPr>
          <w:trHeight w:val="288"/>
        </w:trPr>
        <w:tc>
          <w:tcPr>
            <w:tcW w:w="589" w:type="pct"/>
            <w:noWrap/>
            <w:hideMark/>
          </w:tcPr>
          <w:p w14:paraId="7513681F"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048E551E" w14:textId="77777777" w:rsidR="002A1B7F" w:rsidRPr="008754B4" w:rsidRDefault="002A1B7F" w:rsidP="007F5AEA">
            <w:pPr>
              <w:rPr>
                <w:rFonts w:eastAsia="Times New Roman" w:cstheme="minorHAnsi"/>
                <w:bCs/>
                <w:color w:val="000000"/>
                <w:szCs w:val="16"/>
                <w:lang w:eastAsia="en-AU"/>
              </w:rPr>
            </w:pPr>
            <w:proofErr w:type="gramStart"/>
            <w:r w:rsidRPr="008754B4">
              <w:rPr>
                <w:rFonts w:eastAsia="Times New Roman" w:cstheme="minorHAnsi"/>
                <w:bCs/>
                <w:color w:val="000000"/>
                <w:szCs w:val="16"/>
                <w:lang w:eastAsia="en-AU"/>
              </w:rPr>
              <w:t>North West</w:t>
            </w:r>
            <w:proofErr w:type="gramEnd"/>
          </w:p>
        </w:tc>
        <w:tc>
          <w:tcPr>
            <w:tcW w:w="811" w:type="pct"/>
            <w:noWrap/>
            <w:hideMark/>
          </w:tcPr>
          <w:p w14:paraId="63640A15"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$69.03</w:t>
            </w:r>
          </w:p>
        </w:tc>
        <w:tc>
          <w:tcPr>
            <w:tcW w:w="1289" w:type="pct"/>
            <w:noWrap/>
            <w:hideMark/>
          </w:tcPr>
          <w:p w14:paraId="0FE3AB96"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178E618F"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556DC355"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6EEB6E51"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Shepparton</w:t>
            </w:r>
          </w:p>
        </w:tc>
        <w:tc>
          <w:tcPr>
            <w:tcW w:w="811" w:type="pct"/>
            <w:noWrap/>
            <w:hideMark/>
          </w:tcPr>
          <w:p w14:paraId="58F3FC7B"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$112.29</w:t>
            </w:r>
          </w:p>
        </w:tc>
        <w:tc>
          <w:tcPr>
            <w:tcW w:w="1289" w:type="pct"/>
            <w:noWrap/>
            <w:hideMark/>
          </w:tcPr>
          <w:p w14:paraId="2329D99F"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7AB6B3D5" w14:textId="77777777" w:rsidTr="00B26383">
        <w:trPr>
          <w:trHeight w:val="288"/>
        </w:trPr>
        <w:tc>
          <w:tcPr>
            <w:tcW w:w="589" w:type="pct"/>
            <w:noWrap/>
            <w:hideMark/>
          </w:tcPr>
          <w:p w14:paraId="4C4178A6"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VIC</w:t>
            </w:r>
          </w:p>
        </w:tc>
        <w:tc>
          <w:tcPr>
            <w:tcW w:w="2310" w:type="pct"/>
            <w:noWrap/>
            <w:hideMark/>
          </w:tcPr>
          <w:p w14:paraId="06BE6002"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Warrnambool and </w:t>
            </w:r>
            <w:proofErr w:type="gramStart"/>
            <w:r w:rsidRPr="008754B4">
              <w:rPr>
                <w:rFonts w:eastAsia="Times New Roman" w:cstheme="minorHAnsi"/>
                <w:bCs/>
                <w:color w:val="000000"/>
                <w:szCs w:val="16"/>
                <w:lang w:eastAsia="en-AU"/>
              </w:rPr>
              <w:t>South West</w:t>
            </w:r>
            <w:proofErr w:type="gramEnd"/>
          </w:p>
        </w:tc>
        <w:tc>
          <w:tcPr>
            <w:tcW w:w="811" w:type="pct"/>
            <w:noWrap/>
            <w:hideMark/>
          </w:tcPr>
          <w:p w14:paraId="5075EF30"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$117.51</w:t>
            </w:r>
          </w:p>
        </w:tc>
        <w:tc>
          <w:tcPr>
            <w:tcW w:w="1289" w:type="pct"/>
            <w:noWrap/>
            <w:hideMark/>
          </w:tcPr>
          <w:p w14:paraId="5765E2B2"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66107608"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4E1DE52B"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6BED86F3"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Brisbane - East</w:t>
            </w:r>
          </w:p>
        </w:tc>
        <w:tc>
          <w:tcPr>
            <w:tcW w:w="811" w:type="pct"/>
            <w:noWrap/>
            <w:hideMark/>
          </w:tcPr>
          <w:p w14:paraId="125EFA70"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$449.56</w:t>
            </w:r>
          </w:p>
        </w:tc>
        <w:tc>
          <w:tcPr>
            <w:tcW w:w="1289" w:type="pct"/>
            <w:noWrap/>
            <w:hideMark/>
          </w:tcPr>
          <w:p w14:paraId="60BA4C5D"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0766C6A5" w14:textId="77777777" w:rsidTr="00B26383">
        <w:trPr>
          <w:trHeight w:val="288"/>
        </w:trPr>
        <w:tc>
          <w:tcPr>
            <w:tcW w:w="589" w:type="pct"/>
            <w:noWrap/>
            <w:hideMark/>
          </w:tcPr>
          <w:p w14:paraId="208D007A"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5C580D8D"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Brisbane - North</w:t>
            </w:r>
          </w:p>
        </w:tc>
        <w:tc>
          <w:tcPr>
            <w:tcW w:w="811" w:type="pct"/>
            <w:noWrap/>
            <w:hideMark/>
          </w:tcPr>
          <w:p w14:paraId="390CD422"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$537.86</w:t>
            </w:r>
          </w:p>
        </w:tc>
        <w:tc>
          <w:tcPr>
            <w:tcW w:w="1289" w:type="pct"/>
            <w:noWrap/>
            <w:hideMark/>
          </w:tcPr>
          <w:p w14:paraId="3C32E422"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09C6BD8E"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0CDF56B3"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6F0DD1B0"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Brisbane - South</w:t>
            </w:r>
          </w:p>
        </w:tc>
        <w:tc>
          <w:tcPr>
            <w:tcW w:w="811" w:type="pct"/>
            <w:noWrap/>
            <w:hideMark/>
          </w:tcPr>
          <w:p w14:paraId="003243C7"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$624.32</w:t>
            </w:r>
          </w:p>
        </w:tc>
        <w:tc>
          <w:tcPr>
            <w:tcW w:w="1289" w:type="pct"/>
            <w:noWrap/>
            <w:hideMark/>
          </w:tcPr>
          <w:p w14:paraId="235EE011"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02023548" w14:textId="77777777" w:rsidTr="00B26383">
        <w:trPr>
          <w:trHeight w:val="288"/>
        </w:trPr>
        <w:tc>
          <w:tcPr>
            <w:tcW w:w="589" w:type="pct"/>
            <w:noWrap/>
            <w:hideMark/>
          </w:tcPr>
          <w:p w14:paraId="28629620"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69262389"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Brisbane - West</w:t>
            </w:r>
          </w:p>
        </w:tc>
        <w:tc>
          <w:tcPr>
            <w:tcW w:w="811" w:type="pct"/>
            <w:noWrap/>
            <w:hideMark/>
          </w:tcPr>
          <w:p w14:paraId="772E3DC5"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$666.69</w:t>
            </w:r>
          </w:p>
        </w:tc>
        <w:tc>
          <w:tcPr>
            <w:tcW w:w="1289" w:type="pct"/>
            <w:noWrap/>
            <w:hideMark/>
          </w:tcPr>
          <w:p w14:paraId="4404AA33"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61ECE24F"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29C2BAF6"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2E8B44DD"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Brisbane Inner City</w:t>
            </w:r>
          </w:p>
        </w:tc>
        <w:tc>
          <w:tcPr>
            <w:tcW w:w="811" w:type="pct"/>
            <w:noWrap/>
            <w:hideMark/>
          </w:tcPr>
          <w:p w14:paraId="2FDDA66E"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$902.09</w:t>
            </w:r>
          </w:p>
        </w:tc>
        <w:tc>
          <w:tcPr>
            <w:tcW w:w="1289" w:type="pct"/>
            <w:noWrap/>
            <w:hideMark/>
          </w:tcPr>
          <w:p w14:paraId="6546A320"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1695E161" w14:textId="77777777" w:rsidTr="00B26383">
        <w:trPr>
          <w:trHeight w:val="288"/>
        </w:trPr>
        <w:tc>
          <w:tcPr>
            <w:tcW w:w="589" w:type="pct"/>
            <w:noWrap/>
            <w:hideMark/>
          </w:tcPr>
          <w:p w14:paraId="57B2C8D0"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00CEC4C9"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Cairns</w:t>
            </w:r>
          </w:p>
        </w:tc>
        <w:tc>
          <w:tcPr>
            <w:tcW w:w="811" w:type="pct"/>
            <w:noWrap/>
            <w:hideMark/>
          </w:tcPr>
          <w:p w14:paraId="175FF1BE"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$161.29</w:t>
            </w:r>
          </w:p>
        </w:tc>
        <w:tc>
          <w:tcPr>
            <w:tcW w:w="1289" w:type="pct"/>
            <w:noWrap/>
            <w:hideMark/>
          </w:tcPr>
          <w:p w14:paraId="56C9CBA2"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2B5C7D94"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0EF40807"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42E4BA74"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Darling Downs - Maranoa</w:t>
            </w:r>
          </w:p>
        </w:tc>
        <w:tc>
          <w:tcPr>
            <w:tcW w:w="811" w:type="pct"/>
            <w:noWrap/>
            <w:hideMark/>
          </w:tcPr>
          <w:p w14:paraId="5BD1B9AC"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$67.20</w:t>
            </w:r>
          </w:p>
        </w:tc>
        <w:tc>
          <w:tcPr>
            <w:tcW w:w="1289" w:type="pct"/>
            <w:noWrap/>
            <w:hideMark/>
          </w:tcPr>
          <w:p w14:paraId="17CCEAE8"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5B9E79D5" w14:textId="77777777" w:rsidTr="00B26383">
        <w:trPr>
          <w:trHeight w:val="288"/>
        </w:trPr>
        <w:tc>
          <w:tcPr>
            <w:tcW w:w="589" w:type="pct"/>
            <w:noWrap/>
            <w:hideMark/>
          </w:tcPr>
          <w:p w14:paraId="164A728E"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4119789E"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Fitzroy</w:t>
            </w:r>
          </w:p>
        </w:tc>
        <w:tc>
          <w:tcPr>
            <w:tcW w:w="811" w:type="pct"/>
            <w:noWrap/>
            <w:hideMark/>
          </w:tcPr>
          <w:p w14:paraId="093526BC"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$150.06</w:t>
            </w:r>
          </w:p>
        </w:tc>
        <w:tc>
          <w:tcPr>
            <w:tcW w:w="1289" w:type="pct"/>
            <w:noWrap/>
            <w:hideMark/>
          </w:tcPr>
          <w:p w14:paraId="571BABE6"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358F1CB9"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69B4D411"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59387B66"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Gold Coast</w:t>
            </w:r>
          </w:p>
        </w:tc>
        <w:tc>
          <w:tcPr>
            <w:tcW w:w="811" w:type="pct"/>
            <w:noWrap/>
            <w:hideMark/>
          </w:tcPr>
          <w:p w14:paraId="66E2CF1F"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$356.48</w:t>
            </w:r>
          </w:p>
        </w:tc>
        <w:tc>
          <w:tcPr>
            <w:tcW w:w="1289" w:type="pct"/>
            <w:noWrap/>
            <w:hideMark/>
          </w:tcPr>
          <w:p w14:paraId="2630B4A6"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0F8D120A" w14:textId="77777777" w:rsidTr="00B26383">
        <w:trPr>
          <w:trHeight w:val="288"/>
        </w:trPr>
        <w:tc>
          <w:tcPr>
            <w:tcW w:w="589" w:type="pct"/>
            <w:noWrap/>
            <w:hideMark/>
          </w:tcPr>
          <w:p w14:paraId="4E4DA592"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lastRenderedPageBreak/>
              <w:t>QLD</w:t>
            </w:r>
          </w:p>
        </w:tc>
        <w:tc>
          <w:tcPr>
            <w:tcW w:w="2310" w:type="pct"/>
            <w:noWrap/>
            <w:hideMark/>
          </w:tcPr>
          <w:p w14:paraId="13D5AD01"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Ipswich</w:t>
            </w:r>
          </w:p>
        </w:tc>
        <w:tc>
          <w:tcPr>
            <w:tcW w:w="811" w:type="pct"/>
            <w:noWrap/>
            <w:hideMark/>
          </w:tcPr>
          <w:p w14:paraId="075AC679"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$141.14</w:t>
            </w:r>
          </w:p>
        </w:tc>
        <w:tc>
          <w:tcPr>
            <w:tcW w:w="1289" w:type="pct"/>
            <w:noWrap/>
            <w:hideMark/>
          </w:tcPr>
          <w:p w14:paraId="407CD1E5"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1E1C2BE6"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31F9C6ED"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56513BE7"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Logan - Beaudesert</w:t>
            </w:r>
          </w:p>
        </w:tc>
        <w:tc>
          <w:tcPr>
            <w:tcW w:w="811" w:type="pct"/>
            <w:noWrap/>
            <w:hideMark/>
          </w:tcPr>
          <w:p w14:paraId="0573E38A"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$232.21</w:t>
            </w:r>
          </w:p>
        </w:tc>
        <w:tc>
          <w:tcPr>
            <w:tcW w:w="1289" w:type="pct"/>
            <w:noWrap/>
            <w:hideMark/>
          </w:tcPr>
          <w:p w14:paraId="49ECD7B6"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680604B4" w14:textId="77777777" w:rsidTr="00B26383">
        <w:trPr>
          <w:trHeight w:val="288"/>
        </w:trPr>
        <w:tc>
          <w:tcPr>
            <w:tcW w:w="589" w:type="pct"/>
            <w:noWrap/>
            <w:hideMark/>
          </w:tcPr>
          <w:p w14:paraId="39CCD4AC"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02079438"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Mackay</w:t>
            </w:r>
          </w:p>
        </w:tc>
        <w:tc>
          <w:tcPr>
            <w:tcW w:w="811" w:type="pct"/>
            <w:noWrap/>
            <w:hideMark/>
          </w:tcPr>
          <w:p w14:paraId="77CDD1A0"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$173.48</w:t>
            </w:r>
          </w:p>
        </w:tc>
        <w:tc>
          <w:tcPr>
            <w:tcW w:w="1289" w:type="pct"/>
            <w:noWrap/>
            <w:hideMark/>
          </w:tcPr>
          <w:p w14:paraId="2DEFEA8E"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7A636503"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49EF534B"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7D5B3F48"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noProof/>
                <w:color w:val="000000"/>
                <w:szCs w:val="16"/>
                <w:lang w:eastAsia="en-AU"/>
              </w:rPr>
              <mc:AlternateContent>
                <mc:Choice Requires="wps">
                  <w:drawing>
                    <wp:anchor distT="0" distB="0" distL="114300" distR="114300" simplePos="0" relativeHeight="251664384" behindDoc="0" locked="0" layoutInCell="1" allowOverlap="1" wp14:anchorId="487F7F2D" wp14:editId="5E3EB125">
                      <wp:simplePos x="0" y="0"/>
                      <wp:positionH relativeFrom="column">
                        <wp:posOffset>0</wp:posOffset>
                      </wp:positionH>
                      <wp:positionV relativeFrom="paragraph">
                        <wp:posOffset>0</wp:posOffset>
                      </wp:positionV>
                      <wp:extent cx="655320" cy="441960"/>
                      <wp:effectExtent l="0" t="0" r="0" b="0"/>
                      <wp:wrapNone/>
                      <wp:docPr id="272" name="Rectangle 272" hidden="1">
                        <a:extLst xmlns:a="http://schemas.openxmlformats.org/drawingml/2006/main">
                          <a:ext uri="{63B3BB69-23CF-44E3-9099-C40C66FF867C}">
                            <a14:compatExt xmlns:a14="http://schemas.microsoft.com/office/drawing/2010/main" spid="_x0000_s10246"/>
                          </a:ext>
                        </a:extLst>
                      </wp:docPr>
                      <wp:cNvGraphicFramePr/>
                      <a:graphic xmlns:a="http://schemas.openxmlformats.org/drawingml/2006/main">
                        <a:graphicData uri="http://schemas.microsoft.com/office/word/2010/wordprocessingShape">
                          <wps:wsp>
                            <wps:cNvSpPr/>
                            <wps:spPr bwMode="auto">
                              <a:xfrm>
                                <a:off x="0" y="0"/>
                                <a:ext cx="649287" cy="43951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BB7334" id="Rectangle 272" o:spid="_x0000_s1026" style="position:absolute;margin-left:0;margin-top:0;width:51.6pt;height:34.8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" filled="f" stroked="f"/>
                  </w:pict>
                </mc:Fallback>
              </mc:AlternateContent>
            </w:r>
            <w:r w:rsidRPr="008754B4">
              <w:rPr>
                <w:rFonts w:eastAsia="Times New Roman" w:cstheme="minorHAnsi"/>
                <w:bCs/>
                <w:noProof/>
                <w:color w:val="000000"/>
                <w:szCs w:val="16"/>
                <w:lang w:eastAsia="en-AU"/>
              </w:rPr>
              <mc:AlternateContent>
                <mc:Choice Requires="wps">
                  <w:drawing>
                    <wp:anchor distT="0" distB="0" distL="114300" distR="114300" simplePos="0" relativeHeight="251670528" behindDoc="0" locked="0" layoutInCell="1" allowOverlap="1" wp14:anchorId="261EC371" wp14:editId="053C8837">
                      <wp:simplePos x="0" y="0"/>
                      <wp:positionH relativeFrom="column">
                        <wp:posOffset>0</wp:posOffset>
                      </wp:positionH>
                      <wp:positionV relativeFrom="paragraph">
                        <wp:posOffset>0</wp:posOffset>
                      </wp:positionV>
                      <wp:extent cx="670560" cy="426720"/>
                      <wp:effectExtent l="0" t="0" r="0" b="0"/>
                      <wp:wrapNone/>
                      <wp:docPr id="271" name="Rectangle 271" hidden="1">
                        <a:extLst xmlns:a="http://schemas.openxmlformats.org/drawingml/2006/main">
                          <a:ext uri="{63B3BB69-23CF-44E3-9099-C40C66FF867C}">
                            <a14:compatExt xmlns:a14="http://schemas.microsoft.com/office/drawing/2010/main" spid="_x0000_s10246"/>
                          </a:ext>
                        </a:extLst>
                      </wp:docPr>
                      <wp:cNvGraphicFramePr/>
                      <a:graphic xmlns:a="http://schemas.openxmlformats.org/drawingml/2006/main">
                        <a:graphicData uri="http://schemas.microsoft.com/office/word/2010/wordprocessingShape">
                          <wps:wsp>
                            <wps:cNvSpPr/>
                            <wps:spPr bwMode="auto">
                              <a:xfrm>
                                <a:off x="0" y="0"/>
                                <a:ext cx="668337" cy="428624"/>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CD9A95" id="Rectangle 271" o:spid="_x0000_s1026" style="position:absolute;margin-left:0;margin-top:0;width:52.8pt;height:33.6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" filled="f" stroked="f"/>
                  </w:pict>
                </mc:Fallback>
              </mc:AlternateContent>
            </w:r>
            <w:r w:rsidRPr="008754B4">
              <w:rPr>
                <w:rFonts w:eastAsia="Times New Roman" w:cstheme="minorHAnsi"/>
                <w:bCs/>
                <w:color w:val="000000"/>
                <w:szCs w:val="16"/>
                <w:lang w:eastAsia="en-AU"/>
              </w:rPr>
              <w:t>Moreton Bay - North</w:t>
            </w:r>
          </w:p>
        </w:tc>
        <w:tc>
          <w:tcPr>
            <w:tcW w:w="811" w:type="pct"/>
            <w:noWrap/>
            <w:hideMark/>
          </w:tcPr>
          <w:p w14:paraId="3097A199"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$281.25</w:t>
            </w:r>
          </w:p>
        </w:tc>
        <w:tc>
          <w:tcPr>
            <w:tcW w:w="1289" w:type="pct"/>
            <w:noWrap/>
            <w:hideMark/>
          </w:tcPr>
          <w:p w14:paraId="441F288C"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7FB98D89" w14:textId="77777777" w:rsidTr="00B26383">
        <w:trPr>
          <w:trHeight w:val="288"/>
        </w:trPr>
        <w:tc>
          <w:tcPr>
            <w:tcW w:w="589" w:type="pct"/>
            <w:noWrap/>
            <w:hideMark/>
          </w:tcPr>
          <w:p w14:paraId="52272258"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425D665B"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Moreton Bay - South</w:t>
            </w:r>
          </w:p>
        </w:tc>
        <w:tc>
          <w:tcPr>
            <w:tcW w:w="811" w:type="pct"/>
            <w:noWrap/>
            <w:hideMark/>
          </w:tcPr>
          <w:p w14:paraId="142C897A"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$281.25</w:t>
            </w:r>
          </w:p>
        </w:tc>
        <w:tc>
          <w:tcPr>
            <w:tcW w:w="1289" w:type="pct"/>
            <w:noWrap/>
            <w:hideMark/>
          </w:tcPr>
          <w:p w14:paraId="0BA2CDB0"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7A9706EF"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0C77AE3E"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66644289"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Queensland - Outback</w:t>
            </w:r>
          </w:p>
        </w:tc>
        <w:tc>
          <w:tcPr>
            <w:tcW w:w="811" w:type="pct"/>
            <w:noWrap/>
            <w:hideMark/>
          </w:tcPr>
          <w:p w14:paraId="2F595C95"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$82.67</w:t>
            </w:r>
          </w:p>
        </w:tc>
        <w:tc>
          <w:tcPr>
            <w:tcW w:w="1289" w:type="pct"/>
            <w:noWrap/>
            <w:hideMark/>
          </w:tcPr>
          <w:p w14:paraId="12419FAA"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Remote</w:t>
            </w:r>
          </w:p>
        </w:tc>
      </w:tr>
      <w:tr w:rsidR="002A1B7F" w:rsidRPr="008754B4" w14:paraId="6CA1ED67" w14:textId="77777777" w:rsidTr="00B26383">
        <w:trPr>
          <w:trHeight w:val="288"/>
        </w:trPr>
        <w:tc>
          <w:tcPr>
            <w:tcW w:w="589" w:type="pct"/>
            <w:noWrap/>
            <w:hideMark/>
          </w:tcPr>
          <w:p w14:paraId="0EF1F849"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73CECCED"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Sunshine Coast</w:t>
            </w:r>
          </w:p>
        </w:tc>
        <w:tc>
          <w:tcPr>
            <w:tcW w:w="811" w:type="pct"/>
            <w:noWrap/>
            <w:hideMark/>
          </w:tcPr>
          <w:p w14:paraId="5F989A14"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$281.14</w:t>
            </w:r>
          </w:p>
        </w:tc>
        <w:tc>
          <w:tcPr>
            <w:tcW w:w="1289" w:type="pct"/>
            <w:noWrap/>
            <w:hideMark/>
          </w:tcPr>
          <w:p w14:paraId="7C5BE660"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00E6050D"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1B1D846D"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566E14C0"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Toowoomba</w:t>
            </w:r>
          </w:p>
        </w:tc>
        <w:tc>
          <w:tcPr>
            <w:tcW w:w="811" w:type="pct"/>
            <w:noWrap/>
            <w:hideMark/>
          </w:tcPr>
          <w:p w14:paraId="581EEAB5"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$169.86</w:t>
            </w:r>
          </w:p>
        </w:tc>
        <w:tc>
          <w:tcPr>
            <w:tcW w:w="1289" w:type="pct"/>
            <w:noWrap/>
            <w:hideMark/>
          </w:tcPr>
          <w:p w14:paraId="351EFD3E"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113F8BA5" w14:textId="77777777" w:rsidTr="00B26383">
        <w:trPr>
          <w:trHeight w:val="288"/>
        </w:trPr>
        <w:tc>
          <w:tcPr>
            <w:tcW w:w="589" w:type="pct"/>
            <w:noWrap/>
            <w:hideMark/>
          </w:tcPr>
          <w:p w14:paraId="135C68D1"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5B2DCA08"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Townsville</w:t>
            </w:r>
          </w:p>
        </w:tc>
        <w:tc>
          <w:tcPr>
            <w:tcW w:w="811" w:type="pct"/>
            <w:noWrap/>
            <w:hideMark/>
          </w:tcPr>
          <w:p w14:paraId="06AC6B6A"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$177.46</w:t>
            </w:r>
          </w:p>
        </w:tc>
        <w:tc>
          <w:tcPr>
            <w:tcW w:w="1289" w:type="pct"/>
            <w:noWrap/>
            <w:hideMark/>
          </w:tcPr>
          <w:p w14:paraId="1FA17CDA"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04130514"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4DDCE141"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QLD</w:t>
            </w:r>
          </w:p>
        </w:tc>
        <w:tc>
          <w:tcPr>
            <w:tcW w:w="2310" w:type="pct"/>
            <w:noWrap/>
            <w:hideMark/>
          </w:tcPr>
          <w:p w14:paraId="2DBA49D0"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Wide Bay</w:t>
            </w:r>
          </w:p>
        </w:tc>
        <w:tc>
          <w:tcPr>
            <w:tcW w:w="811" w:type="pct"/>
            <w:noWrap/>
            <w:hideMark/>
          </w:tcPr>
          <w:p w14:paraId="5EAE8A2D"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$89.52</w:t>
            </w:r>
          </w:p>
        </w:tc>
        <w:tc>
          <w:tcPr>
            <w:tcW w:w="1289" w:type="pct"/>
            <w:noWrap/>
            <w:hideMark/>
          </w:tcPr>
          <w:p w14:paraId="68F7C37A"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4C484A16" w14:textId="77777777" w:rsidTr="00B26383">
        <w:trPr>
          <w:trHeight w:val="288"/>
        </w:trPr>
        <w:tc>
          <w:tcPr>
            <w:tcW w:w="589" w:type="pct"/>
            <w:noWrap/>
            <w:hideMark/>
          </w:tcPr>
          <w:p w14:paraId="68B67700"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SA</w:t>
            </w:r>
          </w:p>
        </w:tc>
        <w:tc>
          <w:tcPr>
            <w:tcW w:w="2310" w:type="pct"/>
            <w:noWrap/>
            <w:hideMark/>
          </w:tcPr>
          <w:p w14:paraId="3B0037AE"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Adelaide - Central and Hills</w:t>
            </w:r>
          </w:p>
        </w:tc>
        <w:tc>
          <w:tcPr>
            <w:tcW w:w="811" w:type="pct"/>
            <w:noWrap/>
            <w:hideMark/>
          </w:tcPr>
          <w:p w14:paraId="1264F1A5"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$657.50</w:t>
            </w:r>
          </w:p>
        </w:tc>
        <w:tc>
          <w:tcPr>
            <w:tcW w:w="1289" w:type="pct"/>
            <w:noWrap/>
            <w:hideMark/>
          </w:tcPr>
          <w:p w14:paraId="4596FBD7"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2329AFA2"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0C4F05D0"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SA</w:t>
            </w:r>
          </w:p>
        </w:tc>
        <w:tc>
          <w:tcPr>
            <w:tcW w:w="2310" w:type="pct"/>
            <w:noWrap/>
            <w:hideMark/>
          </w:tcPr>
          <w:p w14:paraId="4E9EAB8B"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Adelaide - North</w:t>
            </w:r>
          </w:p>
        </w:tc>
        <w:tc>
          <w:tcPr>
            <w:tcW w:w="811" w:type="pct"/>
            <w:noWrap/>
            <w:hideMark/>
          </w:tcPr>
          <w:p w14:paraId="3827C911"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$313.71</w:t>
            </w:r>
          </w:p>
        </w:tc>
        <w:tc>
          <w:tcPr>
            <w:tcW w:w="1289" w:type="pct"/>
            <w:noWrap/>
            <w:hideMark/>
          </w:tcPr>
          <w:p w14:paraId="69595549"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78140ED7" w14:textId="77777777" w:rsidTr="00B26383">
        <w:trPr>
          <w:trHeight w:val="288"/>
        </w:trPr>
        <w:tc>
          <w:tcPr>
            <w:tcW w:w="589" w:type="pct"/>
            <w:noWrap/>
            <w:hideMark/>
          </w:tcPr>
          <w:p w14:paraId="114392BA"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SA</w:t>
            </w:r>
          </w:p>
        </w:tc>
        <w:tc>
          <w:tcPr>
            <w:tcW w:w="2310" w:type="pct"/>
            <w:noWrap/>
            <w:hideMark/>
          </w:tcPr>
          <w:p w14:paraId="686097E0"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Adelaide - South</w:t>
            </w:r>
          </w:p>
        </w:tc>
        <w:tc>
          <w:tcPr>
            <w:tcW w:w="811" w:type="pct"/>
            <w:noWrap/>
            <w:hideMark/>
          </w:tcPr>
          <w:p w14:paraId="5CAF4FF4"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$381.75</w:t>
            </w:r>
          </w:p>
        </w:tc>
        <w:tc>
          <w:tcPr>
            <w:tcW w:w="1289" w:type="pct"/>
            <w:noWrap/>
            <w:hideMark/>
          </w:tcPr>
          <w:p w14:paraId="4C9B2CD7"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1A0A5954"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348A4D09"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SA</w:t>
            </w:r>
          </w:p>
        </w:tc>
        <w:tc>
          <w:tcPr>
            <w:tcW w:w="2310" w:type="pct"/>
            <w:noWrap/>
            <w:hideMark/>
          </w:tcPr>
          <w:p w14:paraId="38BA20B8"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Adelaide - West</w:t>
            </w:r>
          </w:p>
        </w:tc>
        <w:tc>
          <w:tcPr>
            <w:tcW w:w="811" w:type="pct"/>
            <w:noWrap/>
            <w:hideMark/>
          </w:tcPr>
          <w:p w14:paraId="57861380"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$558.79</w:t>
            </w:r>
          </w:p>
        </w:tc>
        <w:tc>
          <w:tcPr>
            <w:tcW w:w="1289" w:type="pct"/>
            <w:noWrap/>
            <w:hideMark/>
          </w:tcPr>
          <w:p w14:paraId="4DA6FB7A"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72EBB0C3" w14:textId="77777777" w:rsidTr="00B26383">
        <w:trPr>
          <w:trHeight w:val="288"/>
        </w:trPr>
        <w:tc>
          <w:tcPr>
            <w:tcW w:w="589" w:type="pct"/>
            <w:noWrap/>
            <w:hideMark/>
          </w:tcPr>
          <w:p w14:paraId="1A11B579"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SA</w:t>
            </w:r>
          </w:p>
        </w:tc>
        <w:tc>
          <w:tcPr>
            <w:tcW w:w="2310" w:type="pct"/>
            <w:noWrap/>
            <w:hideMark/>
          </w:tcPr>
          <w:p w14:paraId="346BA126" w14:textId="42AADA0F" w:rsidR="002A1B7F" w:rsidRPr="008754B4" w:rsidRDefault="002A1B7F" w:rsidP="007F5AEA">
            <w:pPr>
              <w:rPr>
                <w:rFonts w:eastAsia="Times New Roman" w:cstheme="minorHAnsi"/>
                <w:bCs/>
                <w:color w:val="000000"/>
                <w:szCs w:val="16"/>
                <w:lang w:eastAsia="en-AU"/>
              </w:rPr>
            </w:pPr>
            <w:proofErr w:type="gramStart"/>
            <w:r w:rsidRPr="008754B4">
              <w:rPr>
                <w:rFonts w:eastAsia="Times New Roman" w:cstheme="minorHAnsi"/>
                <w:bCs/>
                <w:color w:val="000000"/>
                <w:szCs w:val="16"/>
                <w:lang w:eastAsia="en-AU"/>
              </w:rPr>
              <w:t>Baros</w:t>
            </w:r>
            <w:r w:rsidR="00192480">
              <w:rPr>
                <w:rFonts w:eastAsia="Times New Roman" w:cstheme="minorHAnsi"/>
                <w:bCs/>
                <w:color w:val="000000"/>
                <w:szCs w:val="16"/>
                <w:lang w:eastAsia="en-AU"/>
              </w:rPr>
              <w:t>sa  -</w:t>
            </w:r>
            <w:proofErr w:type="gramEnd"/>
            <w:r w:rsidR="00192480">
              <w:rPr>
                <w:rFonts w:eastAsia="Times New Roman" w:cstheme="minorHAnsi"/>
                <w:bCs/>
                <w:color w:val="000000"/>
                <w:szCs w:val="16"/>
                <w:lang w:eastAsia="en-AU"/>
              </w:rPr>
              <w:t xml:space="preserve"> </w:t>
            </w:r>
            <w:r w:rsidRPr="008754B4">
              <w:rPr>
                <w:rFonts w:eastAsia="Times New Roman" w:cstheme="minorHAnsi"/>
                <w:bCs/>
                <w:color w:val="000000"/>
                <w:szCs w:val="16"/>
                <w:lang w:eastAsia="en-AU"/>
              </w:rPr>
              <w:t>Yorke - Mid North</w:t>
            </w:r>
          </w:p>
        </w:tc>
        <w:tc>
          <w:tcPr>
            <w:tcW w:w="811" w:type="pct"/>
            <w:noWrap/>
            <w:hideMark/>
          </w:tcPr>
          <w:p w14:paraId="2011FF81"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$81.17</w:t>
            </w:r>
          </w:p>
        </w:tc>
        <w:tc>
          <w:tcPr>
            <w:tcW w:w="1289" w:type="pct"/>
            <w:noWrap/>
            <w:hideMark/>
          </w:tcPr>
          <w:p w14:paraId="6D83C363"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100A8CF9"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56E91629"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SA</w:t>
            </w:r>
          </w:p>
        </w:tc>
        <w:tc>
          <w:tcPr>
            <w:tcW w:w="2310" w:type="pct"/>
            <w:noWrap/>
            <w:hideMark/>
          </w:tcPr>
          <w:p w14:paraId="4703FD55"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South Australia - Outback</w:t>
            </w:r>
          </w:p>
        </w:tc>
        <w:tc>
          <w:tcPr>
            <w:tcW w:w="811" w:type="pct"/>
            <w:noWrap/>
            <w:hideMark/>
          </w:tcPr>
          <w:p w14:paraId="7F1A88EE"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$93.03</w:t>
            </w:r>
          </w:p>
        </w:tc>
        <w:tc>
          <w:tcPr>
            <w:tcW w:w="1289" w:type="pct"/>
            <w:noWrap/>
            <w:hideMark/>
          </w:tcPr>
          <w:p w14:paraId="3804179C"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Remote</w:t>
            </w:r>
          </w:p>
        </w:tc>
      </w:tr>
      <w:tr w:rsidR="002A1B7F" w:rsidRPr="008754B4" w14:paraId="0FBB31D7" w14:textId="77777777" w:rsidTr="00B26383">
        <w:trPr>
          <w:trHeight w:val="288"/>
        </w:trPr>
        <w:tc>
          <w:tcPr>
            <w:tcW w:w="589" w:type="pct"/>
            <w:noWrap/>
            <w:hideMark/>
          </w:tcPr>
          <w:p w14:paraId="7FCEE300"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SA</w:t>
            </w:r>
          </w:p>
        </w:tc>
        <w:tc>
          <w:tcPr>
            <w:tcW w:w="2310" w:type="pct"/>
            <w:noWrap/>
            <w:hideMark/>
          </w:tcPr>
          <w:p w14:paraId="3EE78032"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South Australia - </w:t>
            </w:r>
            <w:proofErr w:type="gramStart"/>
            <w:r w:rsidRPr="008754B4">
              <w:rPr>
                <w:rFonts w:eastAsia="Times New Roman" w:cstheme="minorHAnsi"/>
                <w:bCs/>
                <w:color w:val="000000"/>
                <w:szCs w:val="16"/>
                <w:lang w:eastAsia="en-AU"/>
              </w:rPr>
              <w:t>South East</w:t>
            </w:r>
            <w:proofErr w:type="gramEnd"/>
          </w:p>
        </w:tc>
        <w:tc>
          <w:tcPr>
            <w:tcW w:w="811" w:type="pct"/>
            <w:noWrap/>
            <w:hideMark/>
          </w:tcPr>
          <w:p w14:paraId="522DC81E"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$88.01</w:t>
            </w:r>
          </w:p>
        </w:tc>
        <w:tc>
          <w:tcPr>
            <w:tcW w:w="1289" w:type="pct"/>
            <w:noWrap/>
            <w:hideMark/>
          </w:tcPr>
          <w:p w14:paraId="41630B74"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3DE000CA"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1B73D0A3"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WA</w:t>
            </w:r>
          </w:p>
        </w:tc>
        <w:tc>
          <w:tcPr>
            <w:tcW w:w="2310" w:type="pct"/>
            <w:noWrap/>
            <w:hideMark/>
          </w:tcPr>
          <w:p w14:paraId="4517B44A"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Bunbury</w:t>
            </w:r>
          </w:p>
        </w:tc>
        <w:tc>
          <w:tcPr>
            <w:tcW w:w="811" w:type="pct"/>
            <w:noWrap/>
            <w:hideMark/>
          </w:tcPr>
          <w:p w14:paraId="396C41C4"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$198.38</w:t>
            </w:r>
          </w:p>
        </w:tc>
        <w:tc>
          <w:tcPr>
            <w:tcW w:w="1289" w:type="pct"/>
            <w:noWrap/>
            <w:hideMark/>
          </w:tcPr>
          <w:p w14:paraId="0923CF9A"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4CFA5209" w14:textId="77777777" w:rsidTr="00B26383">
        <w:trPr>
          <w:trHeight w:val="288"/>
        </w:trPr>
        <w:tc>
          <w:tcPr>
            <w:tcW w:w="589" w:type="pct"/>
            <w:noWrap/>
            <w:hideMark/>
          </w:tcPr>
          <w:p w14:paraId="558B27EA"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WA</w:t>
            </w:r>
          </w:p>
        </w:tc>
        <w:tc>
          <w:tcPr>
            <w:tcW w:w="2310" w:type="pct"/>
            <w:noWrap/>
            <w:hideMark/>
          </w:tcPr>
          <w:p w14:paraId="56871060"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Mandurah</w:t>
            </w:r>
          </w:p>
        </w:tc>
        <w:tc>
          <w:tcPr>
            <w:tcW w:w="811" w:type="pct"/>
            <w:noWrap/>
            <w:hideMark/>
          </w:tcPr>
          <w:p w14:paraId="168C20F3"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$230.89</w:t>
            </w:r>
          </w:p>
        </w:tc>
        <w:tc>
          <w:tcPr>
            <w:tcW w:w="1289" w:type="pct"/>
            <w:noWrap/>
            <w:hideMark/>
          </w:tcPr>
          <w:p w14:paraId="18D8B73D"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406212A8"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3A2A09EC"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WA</w:t>
            </w:r>
          </w:p>
        </w:tc>
        <w:tc>
          <w:tcPr>
            <w:tcW w:w="2310" w:type="pct"/>
            <w:noWrap/>
            <w:hideMark/>
          </w:tcPr>
          <w:p w14:paraId="79CB76BA"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Perth - Inner</w:t>
            </w:r>
          </w:p>
        </w:tc>
        <w:tc>
          <w:tcPr>
            <w:tcW w:w="811" w:type="pct"/>
            <w:noWrap/>
            <w:hideMark/>
          </w:tcPr>
          <w:p w14:paraId="0D96AF2A"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$1,561.68</w:t>
            </w:r>
          </w:p>
        </w:tc>
        <w:tc>
          <w:tcPr>
            <w:tcW w:w="1289" w:type="pct"/>
            <w:noWrap/>
            <w:hideMark/>
          </w:tcPr>
          <w:p w14:paraId="68CA9FD1"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67F00083" w14:textId="77777777" w:rsidTr="00B26383">
        <w:trPr>
          <w:trHeight w:val="288"/>
        </w:trPr>
        <w:tc>
          <w:tcPr>
            <w:tcW w:w="589" w:type="pct"/>
            <w:noWrap/>
            <w:hideMark/>
          </w:tcPr>
          <w:p w14:paraId="0D7288EE"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WA</w:t>
            </w:r>
          </w:p>
        </w:tc>
        <w:tc>
          <w:tcPr>
            <w:tcW w:w="2310" w:type="pct"/>
            <w:noWrap/>
            <w:hideMark/>
          </w:tcPr>
          <w:p w14:paraId="7DFBDA63"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Perth - </w:t>
            </w:r>
            <w:proofErr w:type="gramStart"/>
            <w:r w:rsidRPr="008754B4">
              <w:rPr>
                <w:rFonts w:eastAsia="Times New Roman" w:cstheme="minorHAnsi"/>
                <w:bCs/>
                <w:color w:val="000000"/>
                <w:szCs w:val="16"/>
                <w:lang w:eastAsia="en-AU"/>
              </w:rPr>
              <w:t>North East</w:t>
            </w:r>
            <w:proofErr w:type="gramEnd"/>
          </w:p>
        </w:tc>
        <w:tc>
          <w:tcPr>
            <w:tcW w:w="811" w:type="pct"/>
            <w:noWrap/>
            <w:hideMark/>
          </w:tcPr>
          <w:p w14:paraId="41F6168E"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$441.14</w:t>
            </w:r>
          </w:p>
        </w:tc>
        <w:tc>
          <w:tcPr>
            <w:tcW w:w="1289" w:type="pct"/>
            <w:noWrap/>
            <w:hideMark/>
          </w:tcPr>
          <w:p w14:paraId="18CC128A"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6EFA8F52"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7D508D42"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WA</w:t>
            </w:r>
          </w:p>
        </w:tc>
        <w:tc>
          <w:tcPr>
            <w:tcW w:w="2310" w:type="pct"/>
            <w:noWrap/>
            <w:hideMark/>
          </w:tcPr>
          <w:p w14:paraId="16481DDB"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Perth - </w:t>
            </w:r>
            <w:proofErr w:type="gramStart"/>
            <w:r w:rsidRPr="008754B4">
              <w:rPr>
                <w:rFonts w:eastAsia="Times New Roman" w:cstheme="minorHAnsi"/>
                <w:bCs/>
                <w:color w:val="000000"/>
                <w:szCs w:val="16"/>
                <w:lang w:eastAsia="en-AU"/>
              </w:rPr>
              <w:t>North West</w:t>
            </w:r>
            <w:proofErr w:type="gramEnd"/>
          </w:p>
        </w:tc>
        <w:tc>
          <w:tcPr>
            <w:tcW w:w="811" w:type="pct"/>
            <w:noWrap/>
            <w:hideMark/>
          </w:tcPr>
          <w:p w14:paraId="67AE1E37"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$590.99</w:t>
            </w:r>
          </w:p>
        </w:tc>
        <w:tc>
          <w:tcPr>
            <w:tcW w:w="1289" w:type="pct"/>
            <w:noWrap/>
            <w:hideMark/>
          </w:tcPr>
          <w:p w14:paraId="1DCA2502"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5C461989" w14:textId="77777777" w:rsidTr="00B26383">
        <w:trPr>
          <w:trHeight w:val="288"/>
        </w:trPr>
        <w:tc>
          <w:tcPr>
            <w:tcW w:w="589" w:type="pct"/>
            <w:noWrap/>
            <w:hideMark/>
          </w:tcPr>
          <w:p w14:paraId="1D593593"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WA</w:t>
            </w:r>
          </w:p>
        </w:tc>
        <w:tc>
          <w:tcPr>
            <w:tcW w:w="2310" w:type="pct"/>
            <w:noWrap/>
            <w:hideMark/>
          </w:tcPr>
          <w:p w14:paraId="02691AC1"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Perth - </w:t>
            </w:r>
            <w:proofErr w:type="gramStart"/>
            <w:r w:rsidRPr="008754B4">
              <w:rPr>
                <w:rFonts w:eastAsia="Times New Roman" w:cstheme="minorHAnsi"/>
                <w:bCs/>
                <w:color w:val="000000"/>
                <w:szCs w:val="16"/>
                <w:lang w:eastAsia="en-AU"/>
              </w:rPr>
              <w:t>South East</w:t>
            </w:r>
            <w:proofErr w:type="gramEnd"/>
          </w:p>
        </w:tc>
        <w:tc>
          <w:tcPr>
            <w:tcW w:w="811" w:type="pct"/>
            <w:noWrap/>
            <w:hideMark/>
          </w:tcPr>
          <w:p w14:paraId="15340321"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$501.56</w:t>
            </w:r>
          </w:p>
        </w:tc>
        <w:tc>
          <w:tcPr>
            <w:tcW w:w="1289" w:type="pct"/>
            <w:noWrap/>
            <w:hideMark/>
          </w:tcPr>
          <w:p w14:paraId="0768D87E"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Inner regional</w:t>
            </w:r>
          </w:p>
        </w:tc>
      </w:tr>
      <w:tr w:rsidR="002A1B7F" w:rsidRPr="008754B4" w14:paraId="5EF415E9"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084E8CB7"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WA</w:t>
            </w:r>
          </w:p>
        </w:tc>
        <w:tc>
          <w:tcPr>
            <w:tcW w:w="2310" w:type="pct"/>
            <w:noWrap/>
            <w:hideMark/>
          </w:tcPr>
          <w:p w14:paraId="48790A31"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Perth - </w:t>
            </w:r>
            <w:proofErr w:type="gramStart"/>
            <w:r w:rsidRPr="008754B4">
              <w:rPr>
                <w:rFonts w:eastAsia="Times New Roman" w:cstheme="minorHAnsi"/>
                <w:bCs/>
                <w:color w:val="000000"/>
                <w:szCs w:val="16"/>
                <w:lang w:eastAsia="en-AU"/>
              </w:rPr>
              <w:t>South West</w:t>
            </w:r>
            <w:proofErr w:type="gramEnd"/>
          </w:p>
        </w:tc>
        <w:tc>
          <w:tcPr>
            <w:tcW w:w="811" w:type="pct"/>
            <w:noWrap/>
            <w:hideMark/>
          </w:tcPr>
          <w:p w14:paraId="6688DF1A"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$520.73</w:t>
            </w:r>
          </w:p>
        </w:tc>
        <w:tc>
          <w:tcPr>
            <w:tcW w:w="1289" w:type="pct"/>
            <w:noWrap/>
            <w:hideMark/>
          </w:tcPr>
          <w:p w14:paraId="2BE3D877"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6EDA5EF6" w14:textId="77777777" w:rsidTr="00B26383">
        <w:trPr>
          <w:trHeight w:val="288"/>
        </w:trPr>
        <w:tc>
          <w:tcPr>
            <w:tcW w:w="589" w:type="pct"/>
            <w:noWrap/>
            <w:hideMark/>
          </w:tcPr>
          <w:p w14:paraId="54F96CD3"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WA</w:t>
            </w:r>
          </w:p>
        </w:tc>
        <w:tc>
          <w:tcPr>
            <w:tcW w:w="2310" w:type="pct"/>
            <w:noWrap/>
            <w:hideMark/>
          </w:tcPr>
          <w:p w14:paraId="7FD0CB0B"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Western Australia - Outback</w:t>
            </w:r>
          </w:p>
        </w:tc>
        <w:tc>
          <w:tcPr>
            <w:tcW w:w="811" w:type="pct"/>
            <w:noWrap/>
            <w:hideMark/>
          </w:tcPr>
          <w:p w14:paraId="080A5086"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$127.74</w:t>
            </w:r>
          </w:p>
        </w:tc>
        <w:tc>
          <w:tcPr>
            <w:tcW w:w="1289" w:type="pct"/>
            <w:noWrap/>
            <w:hideMark/>
          </w:tcPr>
          <w:p w14:paraId="0EBFCAF9"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Remote</w:t>
            </w:r>
          </w:p>
        </w:tc>
      </w:tr>
      <w:tr w:rsidR="002A1B7F" w:rsidRPr="008754B4" w14:paraId="0DFFD92C" w14:textId="77777777" w:rsidTr="00B26383">
        <w:trPr>
          <w:cnfStyle w:val="000000100000" w:firstRow="0" w:lastRow="0" w:firstColumn="0" w:lastColumn="0" w:oddVBand="0" w:evenVBand="0" w:oddHBand="1" w:evenHBand="0" w:firstRowFirstColumn="0" w:firstRowLastColumn="0" w:lastRowFirstColumn="0" w:lastRowLastColumn="0"/>
          <w:trHeight w:val="336"/>
        </w:trPr>
        <w:tc>
          <w:tcPr>
            <w:tcW w:w="589" w:type="pct"/>
            <w:noWrap/>
            <w:hideMark/>
          </w:tcPr>
          <w:p w14:paraId="4A79FF86"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WA</w:t>
            </w:r>
          </w:p>
        </w:tc>
        <w:tc>
          <w:tcPr>
            <w:tcW w:w="2310" w:type="pct"/>
            <w:noWrap/>
            <w:hideMark/>
          </w:tcPr>
          <w:p w14:paraId="454C90C5"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Western Australia - Wheat Belt</w:t>
            </w:r>
          </w:p>
        </w:tc>
        <w:tc>
          <w:tcPr>
            <w:tcW w:w="811" w:type="pct"/>
            <w:noWrap/>
            <w:hideMark/>
          </w:tcPr>
          <w:p w14:paraId="255AAE49"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$85.68</w:t>
            </w:r>
          </w:p>
        </w:tc>
        <w:tc>
          <w:tcPr>
            <w:tcW w:w="1289" w:type="pct"/>
            <w:noWrap/>
            <w:hideMark/>
          </w:tcPr>
          <w:p w14:paraId="22DCDC65"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5C96873D" w14:textId="77777777" w:rsidTr="00B26383">
        <w:trPr>
          <w:trHeight w:val="288"/>
        </w:trPr>
        <w:tc>
          <w:tcPr>
            <w:tcW w:w="589" w:type="pct"/>
            <w:noWrap/>
            <w:hideMark/>
          </w:tcPr>
          <w:p w14:paraId="2B3B3597"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TAS</w:t>
            </w:r>
          </w:p>
        </w:tc>
        <w:tc>
          <w:tcPr>
            <w:tcW w:w="2310" w:type="pct"/>
            <w:noWrap/>
            <w:hideMark/>
          </w:tcPr>
          <w:p w14:paraId="1983BC12"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Hobart</w:t>
            </w:r>
          </w:p>
        </w:tc>
        <w:tc>
          <w:tcPr>
            <w:tcW w:w="811" w:type="pct"/>
            <w:noWrap/>
            <w:hideMark/>
          </w:tcPr>
          <w:p w14:paraId="6DD2CCB0"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$215.19</w:t>
            </w:r>
          </w:p>
        </w:tc>
        <w:tc>
          <w:tcPr>
            <w:tcW w:w="1289" w:type="pct"/>
            <w:noWrap/>
            <w:hideMark/>
          </w:tcPr>
          <w:p w14:paraId="4B036716"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79C1023E"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15CF1D9B"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TAS</w:t>
            </w:r>
          </w:p>
        </w:tc>
        <w:tc>
          <w:tcPr>
            <w:tcW w:w="2310" w:type="pct"/>
            <w:noWrap/>
            <w:hideMark/>
          </w:tcPr>
          <w:p w14:paraId="45AF931B"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Launceston and </w:t>
            </w:r>
            <w:proofErr w:type="gramStart"/>
            <w:r w:rsidRPr="008754B4">
              <w:rPr>
                <w:rFonts w:eastAsia="Times New Roman" w:cstheme="minorHAnsi"/>
                <w:bCs/>
                <w:color w:val="000000"/>
                <w:szCs w:val="16"/>
                <w:lang w:eastAsia="en-AU"/>
              </w:rPr>
              <w:t>North East</w:t>
            </w:r>
            <w:proofErr w:type="gramEnd"/>
          </w:p>
        </w:tc>
        <w:tc>
          <w:tcPr>
            <w:tcW w:w="811" w:type="pct"/>
            <w:noWrap/>
            <w:hideMark/>
          </w:tcPr>
          <w:p w14:paraId="7BAB5DCE"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$116.29</w:t>
            </w:r>
          </w:p>
        </w:tc>
        <w:tc>
          <w:tcPr>
            <w:tcW w:w="1289" w:type="pct"/>
            <w:noWrap/>
            <w:hideMark/>
          </w:tcPr>
          <w:p w14:paraId="783A905C"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2A4434C9" w14:textId="77777777" w:rsidTr="00B26383">
        <w:trPr>
          <w:trHeight w:val="288"/>
        </w:trPr>
        <w:tc>
          <w:tcPr>
            <w:tcW w:w="589" w:type="pct"/>
            <w:noWrap/>
            <w:hideMark/>
          </w:tcPr>
          <w:p w14:paraId="7C800938"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TAS</w:t>
            </w:r>
          </w:p>
        </w:tc>
        <w:tc>
          <w:tcPr>
            <w:tcW w:w="2310" w:type="pct"/>
            <w:noWrap/>
            <w:hideMark/>
          </w:tcPr>
          <w:p w14:paraId="56EE9D8E" w14:textId="77777777" w:rsidR="002A1B7F" w:rsidRPr="008754B4" w:rsidRDefault="002A1B7F" w:rsidP="007F5AEA">
            <w:pPr>
              <w:rPr>
                <w:rFonts w:eastAsia="Times New Roman" w:cstheme="minorHAnsi"/>
                <w:bCs/>
                <w:color w:val="000000"/>
                <w:szCs w:val="16"/>
                <w:lang w:eastAsia="en-AU"/>
              </w:rPr>
            </w:pPr>
            <w:proofErr w:type="gramStart"/>
            <w:r w:rsidRPr="008754B4">
              <w:rPr>
                <w:rFonts w:eastAsia="Times New Roman" w:cstheme="minorHAnsi"/>
                <w:bCs/>
                <w:color w:val="000000"/>
                <w:szCs w:val="16"/>
                <w:lang w:eastAsia="en-AU"/>
              </w:rPr>
              <w:t>South East</w:t>
            </w:r>
            <w:proofErr w:type="gramEnd"/>
          </w:p>
        </w:tc>
        <w:tc>
          <w:tcPr>
            <w:tcW w:w="811" w:type="pct"/>
            <w:noWrap/>
            <w:hideMark/>
          </w:tcPr>
          <w:p w14:paraId="1B1F464D"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$71.16</w:t>
            </w:r>
          </w:p>
        </w:tc>
        <w:tc>
          <w:tcPr>
            <w:tcW w:w="1289" w:type="pct"/>
            <w:noWrap/>
            <w:hideMark/>
          </w:tcPr>
          <w:p w14:paraId="19D8B92A"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6FDD92BD"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15A9C329"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TAS</w:t>
            </w:r>
          </w:p>
        </w:tc>
        <w:tc>
          <w:tcPr>
            <w:tcW w:w="2310" w:type="pct"/>
            <w:noWrap/>
            <w:hideMark/>
          </w:tcPr>
          <w:p w14:paraId="2CB0C1F4"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 xml:space="preserve">West and </w:t>
            </w:r>
            <w:proofErr w:type="gramStart"/>
            <w:r w:rsidRPr="008754B4">
              <w:rPr>
                <w:rFonts w:eastAsia="Times New Roman" w:cstheme="minorHAnsi"/>
                <w:bCs/>
                <w:color w:val="000000"/>
                <w:szCs w:val="16"/>
                <w:lang w:eastAsia="en-AU"/>
              </w:rPr>
              <w:t>North West</w:t>
            </w:r>
            <w:proofErr w:type="gramEnd"/>
          </w:p>
        </w:tc>
        <w:tc>
          <w:tcPr>
            <w:tcW w:w="811" w:type="pct"/>
            <w:noWrap/>
            <w:hideMark/>
          </w:tcPr>
          <w:p w14:paraId="140D811D"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$97.25</w:t>
            </w:r>
          </w:p>
        </w:tc>
        <w:tc>
          <w:tcPr>
            <w:tcW w:w="1289" w:type="pct"/>
            <w:noWrap/>
            <w:hideMark/>
          </w:tcPr>
          <w:p w14:paraId="651EF659"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Outer regional</w:t>
            </w:r>
          </w:p>
        </w:tc>
      </w:tr>
      <w:tr w:rsidR="002A1B7F" w:rsidRPr="008754B4" w14:paraId="3378E4FA" w14:textId="77777777" w:rsidTr="00B26383">
        <w:trPr>
          <w:trHeight w:val="288"/>
        </w:trPr>
        <w:tc>
          <w:tcPr>
            <w:tcW w:w="589" w:type="pct"/>
            <w:noWrap/>
            <w:hideMark/>
          </w:tcPr>
          <w:p w14:paraId="225357C5"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ACT</w:t>
            </w:r>
          </w:p>
        </w:tc>
        <w:tc>
          <w:tcPr>
            <w:tcW w:w="2310" w:type="pct"/>
            <w:noWrap/>
            <w:hideMark/>
          </w:tcPr>
          <w:p w14:paraId="725AE4D3"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Australian Capital Territory</w:t>
            </w:r>
          </w:p>
        </w:tc>
        <w:tc>
          <w:tcPr>
            <w:tcW w:w="811" w:type="pct"/>
            <w:noWrap/>
            <w:hideMark/>
          </w:tcPr>
          <w:p w14:paraId="24095EB3"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$358.44</w:t>
            </w:r>
          </w:p>
        </w:tc>
        <w:tc>
          <w:tcPr>
            <w:tcW w:w="1289" w:type="pct"/>
            <w:noWrap/>
            <w:hideMark/>
          </w:tcPr>
          <w:p w14:paraId="1682D02C"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5058FA5D" w14:textId="77777777" w:rsidTr="00B26383">
        <w:trPr>
          <w:cnfStyle w:val="000000100000" w:firstRow="0" w:lastRow="0" w:firstColumn="0" w:lastColumn="0" w:oddVBand="0" w:evenVBand="0" w:oddHBand="1" w:evenHBand="0" w:firstRowFirstColumn="0" w:firstRowLastColumn="0" w:lastRowFirstColumn="0" w:lastRowLastColumn="0"/>
          <w:trHeight w:val="288"/>
        </w:trPr>
        <w:tc>
          <w:tcPr>
            <w:tcW w:w="589" w:type="pct"/>
            <w:noWrap/>
            <w:hideMark/>
          </w:tcPr>
          <w:p w14:paraId="3FF51F1D"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NT</w:t>
            </w:r>
          </w:p>
        </w:tc>
        <w:tc>
          <w:tcPr>
            <w:tcW w:w="2310" w:type="pct"/>
            <w:noWrap/>
            <w:hideMark/>
          </w:tcPr>
          <w:p w14:paraId="39B782A3"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Darwin</w:t>
            </w:r>
          </w:p>
        </w:tc>
        <w:tc>
          <w:tcPr>
            <w:tcW w:w="811" w:type="pct"/>
            <w:noWrap/>
            <w:hideMark/>
          </w:tcPr>
          <w:p w14:paraId="501B7EA8"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$346.92</w:t>
            </w:r>
          </w:p>
        </w:tc>
        <w:tc>
          <w:tcPr>
            <w:tcW w:w="1289" w:type="pct"/>
            <w:noWrap/>
            <w:hideMark/>
          </w:tcPr>
          <w:p w14:paraId="49D6CBE5"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Major city</w:t>
            </w:r>
          </w:p>
        </w:tc>
      </w:tr>
      <w:tr w:rsidR="002A1B7F" w:rsidRPr="008754B4" w14:paraId="4DC74461" w14:textId="77777777" w:rsidTr="00B26383">
        <w:trPr>
          <w:trHeight w:val="288"/>
        </w:trPr>
        <w:tc>
          <w:tcPr>
            <w:tcW w:w="589" w:type="pct"/>
            <w:noWrap/>
            <w:hideMark/>
          </w:tcPr>
          <w:p w14:paraId="0089AA64" w14:textId="77777777" w:rsidR="002A1B7F" w:rsidRPr="008754B4" w:rsidRDefault="002A1B7F" w:rsidP="007F5AEA">
            <w:pPr>
              <w:rPr>
                <w:rFonts w:eastAsia="Times New Roman" w:cstheme="minorHAnsi"/>
                <w:b/>
                <w:bCs/>
                <w:color w:val="000000"/>
                <w:szCs w:val="16"/>
                <w:lang w:eastAsia="en-AU"/>
              </w:rPr>
            </w:pPr>
            <w:r w:rsidRPr="008754B4">
              <w:rPr>
                <w:rFonts w:eastAsia="Times New Roman" w:cstheme="minorHAnsi"/>
                <w:color w:val="000000"/>
                <w:szCs w:val="16"/>
                <w:lang w:eastAsia="en-AU"/>
              </w:rPr>
              <w:t>NT</w:t>
            </w:r>
          </w:p>
        </w:tc>
        <w:tc>
          <w:tcPr>
            <w:tcW w:w="2310" w:type="pct"/>
            <w:noWrap/>
            <w:hideMark/>
          </w:tcPr>
          <w:p w14:paraId="3C5A6152" w14:textId="77777777" w:rsidR="002A1B7F" w:rsidRPr="008754B4" w:rsidRDefault="002A1B7F" w:rsidP="007F5AEA">
            <w:pPr>
              <w:rPr>
                <w:rFonts w:eastAsia="Times New Roman" w:cstheme="minorHAnsi"/>
                <w:bCs/>
                <w:color w:val="000000"/>
                <w:szCs w:val="16"/>
                <w:lang w:eastAsia="en-AU"/>
              </w:rPr>
            </w:pPr>
            <w:r w:rsidRPr="008754B4">
              <w:rPr>
                <w:rFonts w:eastAsia="Times New Roman" w:cstheme="minorHAnsi"/>
                <w:bCs/>
                <w:color w:val="000000"/>
                <w:szCs w:val="16"/>
                <w:lang w:eastAsia="en-AU"/>
              </w:rPr>
              <w:t>Northern Territory - Outback</w:t>
            </w:r>
          </w:p>
        </w:tc>
        <w:tc>
          <w:tcPr>
            <w:tcW w:w="811" w:type="pct"/>
            <w:noWrap/>
            <w:hideMark/>
          </w:tcPr>
          <w:p w14:paraId="725459F5" w14:textId="77777777" w:rsidR="002A1B7F" w:rsidRPr="009679B3" w:rsidRDefault="002A1B7F" w:rsidP="00130F86">
            <w:pPr>
              <w:jc w:val="center"/>
              <w:rPr>
                <w:rFonts w:eastAsia="Times New Roman" w:cstheme="minorHAnsi"/>
                <w:bCs/>
                <w:szCs w:val="16"/>
                <w:lang w:eastAsia="en-AU"/>
              </w:rPr>
            </w:pPr>
            <w:r w:rsidRPr="009679B3">
              <w:rPr>
                <w:rFonts w:eastAsia="Times New Roman" w:cstheme="minorHAnsi"/>
                <w:bCs/>
                <w:szCs w:val="16"/>
                <w:lang w:eastAsia="en-AU"/>
              </w:rPr>
              <w:t>$103.55</w:t>
            </w:r>
          </w:p>
        </w:tc>
        <w:tc>
          <w:tcPr>
            <w:tcW w:w="1289" w:type="pct"/>
            <w:noWrap/>
            <w:hideMark/>
          </w:tcPr>
          <w:p w14:paraId="290C0923" w14:textId="77777777" w:rsidR="002A1B7F" w:rsidRPr="008754B4" w:rsidRDefault="002A1B7F" w:rsidP="00130F86">
            <w:pPr>
              <w:jc w:val="center"/>
              <w:rPr>
                <w:rFonts w:eastAsia="Times New Roman" w:cstheme="minorHAnsi"/>
                <w:bCs/>
                <w:color w:val="000000"/>
                <w:szCs w:val="16"/>
                <w:lang w:eastAsia="en-AU"/>
              </w:rPr>
            </w:pPr>
            <w:r w:rsidRPr="008754B4">
              <w:rPr>
                <w:rFonts w:eastAsia="Times New Roman" w:cstheme="minorHAnsi"/>
                <w:bCs/>
                <w:color w:val="000000"/>
                <w:szCs w:val="16"/>
                <w:lang w:eastAsia="en-AU"/>
              </w:rPr>
              <w:t>Remote</w:t>
            </w:r>
          </w:p>
        </w:tc>
      </w:tr>
    </w:tbl>
    <w:p w14:paraId="6DF5DC1A" w14:textId="483811C5" w:rsidR="002A1B7F" w:rsidRPr="00355912" w:rsidRDefault="00CD7889" w:rsidP="00244A13">
      <w:pPr>
        <w:pStyle w:val="Heading4"/>
      </w:pPr>
      <w:bookmarkStart w:id="39" w:name="_Ref107401304"/>
      <w:r w:rsidRPr="00CD7889">
        <w:t>N</w:t>
      </w:r>
      <w:r w:rsidR="00EC29F7">
        <w:t xml:space="preserve">et Present Value of </w:t>
      </w:r>
      <w:r w:rsidRPr="00CD7889">
        <w:t>Ownership</w:t>
      </w:r>
      <w:r w:rsidR="00EC29F7">
        <w:t xml:space="preserve"> </w:t>
      </w:r>
      <w:r w:rsidRPr="00CD7889">
        <w:t>Cost</w:t>
      </w:r>
      <w:bookmarkEnd w:id="39"/>
      <w:r w:rsidR="00EC29F7">
        <w:t>s</w:t>
      </w:r>
    </w:p>
    <w:p w14:paraId="0C09BB53" w14:textId="12859C62" w:rsidR="00C33C41" w:rsidRDefault="00CC5D84" w:rsidP="007F5AEA">
      <w:r>
        <w:t xml:space="preserve">The </w:t>
      </w:r>
      <w:proofErr w:type="spellStart"/>
      <w:proofErr w:type="gramStart"/>
      <w:r w:rsidR="00C33C41" w:rsidRPr="00F668F8">
        <w:rPr>
          <w:b/>
          <w:bCs/>
        </w:rPr>
        <w:t>NPV.Ownership.Cost</w:t>
      </w:r>
      <w:proofErr w:type="spellEnd"/>
      <w:proofErr w:type="gramEnd"/>
      <w:r w:rsidR="00C33C41" w:rsidRPr="00ED1120">
        <w:t xml:space="preserve"> </w:t>
      </w:r>
      <w:r>
        <w:t xml:space="preserve">variable represents </w:t>
      </w:r>
      <w:r w:rsidR="00C33C41">
        <w:t>the net present value of ownership costs incurred in respect of the dwelling over the investment period, discounted by the NATWACC.</w:t>
      </w:r>
    </w:p>
    <w:p w14:paraId="6C640597" w14:textId="4BA82FB8" w:rsidR="00C33C41" w:rsidRDefault="00C33C41" w:rsidP="007F5AEA">
      <w:r>
        <w:t>The ownership cost in year “</w:t>
      </w:r>
      <w:proofErr w:type="spellStart"/>
      <w:r>
        <w:t>i</w:t>
      </w:r>
      <w:proofErr w:type="spellEnd"/>
      <w:r>
        <w:t xml:space="preserve">” of the investment period </w:t>
      </w:r>
      <w:r w:rsidRPr="00FA12C8">
        <w:rPr>
          <w:b/>
        </w:rPr>
        <w:t>(</w:t>
      </w:r>
      <m:oMath>
        <m:sSub>
          <m:sSubPr>
            <m:ctrlPr>
              <w:rPr>
                <w:rFonts w:ascii="Cambria Math" w:hAnsi="Cambria Math"/>
                <w:b/>
                <w:i/>
              </w:rPr>
            </m:ctrlPr>
          </m:sSubPr>
          <m:e>
            <m:r>
              <m:rPr>
                <m:sty m:val="bi"/>
              </m:rPr>
              <w:rPr>
                <w:rFonts w:ascii="Cambria Math" w:hAnsi="Cambria Math"/>
              </w:rPr>
              <m:t>Ownership.Cost</m:t>
            </m:r>
          </m:e>
          <m:sub>
            <m:r>
              <m:rPr>
                <m:sty m:val="bi"/>
              </m:rPr>
              <w:rPr>
                <w:rFonts w:ascii="Cambria Math" w:hAnsi="Cambria Math"/>
              </w:rPr>
              <m:t>year=i</m:t>
            </m:r>
          </m:sub>
        </m:sSub>
      </m:oMath>
      <w:r w:rsidRPr="00FA12C8">
        <w:rPr>
          <w:b/>
        </w:rPr>
        <w:t xml:space="preserve">) </w:t>
      </w:r>
      <w:r>
        <w:t>is given by:</w:t>
      </w:r>
    </w:p>
    <w:p w14:paraId="089BF657" w14:textId="77777777" w:rsidR="00C33C41" w:rsidRPr="00470FC7" w:rsidRDefault="0095150D" w:rsidP="007F5AEA">
      <w:pPr>
        <w:spacing w:before="300" w:after="300"/>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Maintenance</m:t>
                  </m:r>
                  <m:r>
                    <w:rPr>
                      <w:rFonts w:ascii="Cambria Math" w:hAnsi="Cambria Math"/>
                    </w:rPr>
                    <m:t>.</m:t>
                  </m:r>
                  <m:r>
                    <w:rPr>
                      <w:rFonts w:ascii="Cambria Math" w:hAnsi="Cambria Math"/>
                    </w:rPr>
                    <m:t>Cost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Property</m:t>
                  </m:r>
                  <m:r>
                    <w:rPr>
                      <w:rFonts w:ascii="Cambria Math" w:hAnsi="Cambria Math"/>
                    </w:rPr>
                    <m:t>.</m:t>
                  </m:r>
                  <m:r>
                    <w:rPr>
                      <w:rFonts w:ascii="Cambria Math" w:hAnsi="Cambria Math"/>
                    </w:rPr>
                    <m:t>Management</m:t>
                  </m:r>
                  <m:r>
                    <w:rPr>
                      <w:rFonts w:ascii="Cambria Math" w:hAnsi="Cambria Math"/>
                    </w:rPr>
                    <m:t>.</m:t>
                  </m:r>
                  <m:r>
                    <w:rPr>
                      <w:rFonts w:ascii="Cambria Math" w:hAnsi="Cambria Math"/>
                    </w:rPr>
                    <m:t>Cost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Vacancy</m:t>
                  </m:r>
                  <m:r>
                    <w:rPr>
                      <w:rFonts w:ascii="Cambria Math" w:hAnsi="Cambria Math"/>
                    </w:rPr>
                    <m:t>.</m:t>
                  </m:r>
                  <m:r>
                    <w:rPr>
                      <w:rFonts w:ascii="Cambria Math" w:hAnsi="Cambria Math"/>
                    </w:rPr>
                    <m:t>Management</m:t>
                  </m:r>
                  <m:r>
                    <w:rPr>
                      <w:rFonts w:ascii="Cambria Math" w:hAnsi="Cambria Math"/>
                    </w:rPr>
                    <m:t>.</m:t>
                  </m:r>
                  <m:r>
                    <w:rPr>
                      <w:rFonts w:ascii="Cambria Math" w:hAnsi="Cambria Math"/>
                    </w:rPr>
                    <m:t>Cost</m:t>
                  </m:r>
                </m:e>
                <m:sub>
                  <m:r>
                    <w:rPr>
                      <w:rFonts w:ascii="Cambria Math" w:hAnsi="Cambria Math"/>
                    </w:rPr>
                    <m:t>0</m:t>
                  </m:r>
                </m:sub>
              </m:sSub>
            </m:e>
          </m:d>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CPI</m:t>
                  </m:r>
                </m:e>
              </m:d>
            </m:e>
            <m:sup>
              <m:r>
                <w:rPr>
                  <w:rFonts w:ascii="Cambria Math" w:hAnsi="Cambria Math"/>
                </w:rPr>
                <m:t>i</m:t>
              </m:r>
            </m:sup>
          </m:sSup>
        </m:oMath>
      </m:oMathPara>
    </w:p>
    <w:p w14:paraId="6D9FA773" w14:textId="77777777" w:rsidR="00C33C41" w:rsidRPr="00470FC7" w:rsidRDefault="00C33C41" w:rsidP="007F5AEA">
      <w:proofErr w:type="gramStart"/>
      <w:r w:rsidRPr="00470FC7">
        <w:lastRenderedPageBreak/>
        <w:t>Where</w:t>
      </w:r>
      <w:proofErr w:type="gramEnd"/>
    </w:p>
    <w:p w14:paraId="20E7C890" w14:textId="7B07B62D" w:rsidR="00C33C41" w:rsidRPr="00470FC7" w:rsidRDefault="0095150D" w:rsidP="007F5AEA">
      <w:pPr>
        <w:pStyle w:val="DotPoint"/>
      </w:pPr>
      <m:oMath>
        <m:sSub>
          <m:sSubPr>
            <m:ctrlPr>
              <w:rPr>
                <w:rFonts w:ascii="Cambria Math" w:hAnsi="Cambria Math"/>
                <w:b/>
                <w:bCs/>
                <w:i/>
              </w:rPr>
            </m:ctrlPr>
          </m:sSubPr>
          <m:e>
            <m:r>
              <m:rPr>
                <m:sty m:val="bi"/>
              </m:rPr>
              <w:rPr>
                <w:rFonts w:ascii="Cambria Math" w:hAnsi="Cambria Math"/>
              </w:rPr>
              <m:t>Maintenance</m:t>
            </m:r>
            <m:r>
              <m:rPr>
                <m:sty m:val="bi"/>
              </m:rPr>
              <w:rPr>
                <w:rFonts w:ascii="Cambria Math" w:hAnsi="Cambria Math"/>
              </w:rPr>
              <m:t>.</m:t>
            </m:r>
            <m:r>
              <m:rPr>
                <m:sty m:val="bi"/>
              </m:rPr>
              <w:rPr>
                <w:rFonts w:ascii="Cambria Math" w:hAnsi="Cambria Math"/>
              </w:rPr>
              <m:t>Cost</m:t>
            </m:r>
          </m:e>
          <m:sub>
            <m:r>
              <m:rPr>
                <m:sty m:val="bi"/>
              </m:rPr>
              <w:rPr>
                <w:rFonts w:ascii="Cambria Math" w:hAnsi="Cambria Math"/>
              </w:rPr>
              <m:t>0</m:t>
            </m:r>
          </m:sub>
        </m:sSub>
      </m:oMath>
      <w:r w:rsidR="00C33C41" w:rsidRPr="00470FC7">
        <w:t xml:space="preserve"> is the annual maintenance cost for the dwelling expressed in 2015-16 prices and </w:t>
      </w:r>
      <w:r w:rsidR="00C33C41">
        <w:t>varies</w:t>
      </w:r>
      <w:r w:rsidR="00C33C41" w:rsidRPr="00470FC7">
        <w:t xml:space="preserve"> by </w:t>
      </w:r>
      <w:r w:rsidR="005F132E">
        <w:t>Building</w:t>
      </w:r>
      <w:r w:rsidR="005F132E" w:rsidRPr="00470FC7">
        <w:t xml:space="preserve"> </w:t>
      </w:r>
      <w:r w:rsidR="00C33C41" w:rsidRPr="00470FC7">
        <w:t>Type</w:t>
      </w:r>
      <w:r w:rsidR="00CC549E">
        <w:t xml:space="preserve">. The current assumptions </w:t>
      </w:r>
      <w:r w:rsidR="00CC5D84">
        <w:t xml:space="preserve">about maintenance costs </w:t>
      </w:r>
      <w:r w:rsidR="00CC549E">
        <w:t xml:space="preserve">are </w:t>
      </w:r>
      <w:r w:rsidR="00CC5D84">
        <w:t xml:space="preserve">set out </w:t>
      </w:r>
      <w:r w:rsidR="00CC549E">
        <w:t xml:space="preserve">in </w:t>
      </w:r>
      <w:r w:rsidR="00C33C41" w:rsidRPr="00FA12C8">
        <w:rPr>
          <w:b/>
        </w:rPr>
        <w:fldChar w:fldCharType="begin"/>
      </w:r>
      <w:r w:rsidR="00C33C41" w:rsidRPr="00FA12C8">
        <w:rPr>
          <w:b/>
        </w:rPr>
        <w:instrText xml:space="preserve"> REF _Ref102389744 \h  \* MERGEFORMAT </w:instrText>
      </w:r>
      <w:r w:rsidR="00C33C41" w:rsidRPr="00FA12C8">
        <w:rPr>
          <w:b/>
        </w:rPr>
      </w:r>
      <w:r w:rsidR="00C33C41" w:rsidRPr="00FA12C8">
        <w:rPr>
          <w:b/>
        </w:rPr>
        <w:fldChar w:fldCharType="separate"/>
      </w:r>
      <w:r w:rsidR="00765987" w:rsidRPr="00765987">
        <w:rPr>
          <w:b/>
        </w:rPr>
        <w:t xml:space="preserve">Table </w:t>
      </w:r>
      <w:r w:rsidR="00765987" w:rsidRPr="00765987">
        <w:rPr>
          <w:b/>
          <w:noProof/>
        </w:rPr>
        <w:t>13</w:t>
      </w:r>
      <w:r w:rsidR="00C33C41" w:rsidRPr="00FA12C8">
        <w:rPr>
          <w:b/>
        </w:rPr>
        <w:fldChar w:fldCharType="end"/>
      </w:r>
      <w:r w:rsidR="00C33C41" w:rsidRPr="00470FC7">
        <w:t>.</w:t>
      </w:r>
    </w:p>
    <w:p w14:paraId="0FB9DAE2" w14:textId="606CE7CA" w:rsidR="00C33C41" w:rsidRPr="00470FC7" w:rsidRDefault="00C33C41" w:rsidP="007F5AEA">
      <w:pPr>
        <w:pStyle w:val="Caption"/>
        <w:spacing w:before="120"/>
      </w:pPr>
      <w:bookmarkStart w:id="40" w:name="_Ref102389744"/>
      <w:r w:rsidRPr="00470FC7">
        <w:t xml:space="preserve">Table </w:t>
      </w:r>
      <w:r w:rsidR="0095150D">
        <w:fldChar w:fldCharType="begin"/>
      </w:r>
      <w:r w:rsidR="0095150D">
        <w:instrText xml:space="preserve"> SEQ Table \* ARABIC </w:instrText>
      </w:r>
      <w:r w:rsidR="0095150D">
        <w:fldChar w:fldCharType="separate"/>
      </w:r>
      <w:r w:rsidR="00765987">
        <w:rPr>
          <w:noProof/>
        </w:rPr>
        <w:t>13</w:t>
      </w:r>
      <w:r w:rsidR="0095150D">
        <w:rPr>
          <w:noProof/>
        </w:rPr>
        <w:fldChar w:fldCharType="end"/>
      </w:r>
      <w:bookmarkEnd w:id="40"/>
      <w:r w:rsidRPr="00470FC7">
        <w:t>: Maintenance Cost (2015-16)</w:t>
      </w:r>
    </w:p>
    <w:tbl>
      <w:tblPr>
        <w:tblStyle w:val="GridTable4"/>
        <w:tblW w:w="3121" w:type="pct"/>
        <w:tblInd w:w="1692" w:type="dxa"/>
        <w:tblLook w:val="0420" w:firstRow="1" w:lastRow="0" w:firstColumn="0" w:lastColumn="0" w:noHBand="0" w:noVBand="1"/>
      </w:tblPr>
      <w:tblGrid>
        <w:gridCol w:w="2607"/>
        <w:gridCol w:w="1435"/>
        <w:gridCol w:w="1586"/>
      </w:tblGrid>
      <w:tr w:rsidR="00C33C41" w:rsidRPr="00470FC7" w14:paraId="439070C1" w14:textId="77777777" w:rsidTr="00B26383">
        <w:trPr>
          <w:cnfStyle w:val="100000000000" w:firstRow="1" w:lastRow="0" w:firstColumn="0" w:lastColumn="0" w:oddVBand="0" w:evenVBand="0" w:oddHBand="0" w:evenHBand="0" w:firstRowFirstColumn="0" w:firstRowLastColumn="0" w:lastRowFirstColumn="0" w:lastRowLastColumn="0"/>
        </w:trPr>
        <w:tc>
          <w:tcPr>
            <w:tcW w:w="2316" w:type="pct"/>
            <w:hideMark/>
          </w:tcPr>
          <w:p w14:paraId="680ECAB2" w14:textId="77777777" w:rsidR="00C33C41" w:rsidRPr="00470FC7" w:rsidRDefault="00C33C41" w:rsidP="00130F86">
            <w:pPr>
              <w:spacing w:line="200" w:lineRule="atLeast"/>
              <w:rPr>
                <w:rFonts w:eastAsia="Times New Roman" w:cstheme="minorHAnsi"/>
                <w:szCs w:val="16"/>
                <w:lang w:eastAsia="en-AU"/>
              </w:rPr>
            </w:pPr>
            <w:r w:rsidRPr="00470FC7">
              <w:rPr>
                <w:rFonts w:eastAsia="Times New Roman" w:cstheme="minorHAnsi"/>
                <w:szCs w:val="16"/>
                <w:lang w:eastAsia="en-AU"/>
              </w:rPr>
              <w:t>Building Type</w:t>
            </w:r>
          </w:p>
        </w:tc>
        <w:tc>
          <w:tcPr>
            <w:tcW w:w="1275" w:type="pct"/>
          </w:tcPr>
          <w:p w14:paraId="1A82EA27" w14:textId="77777777" w:rsidR="00C33C41" w:rsidRPr="00470FC7" w:rsidRDefault="00C33C41" w:rsidP="00130F86">
            <w:pPr>
              <w:spacing w:line="200" w:lineRule="atLeast"/>
              <w:jc w:val="center"/>
              <w:rPr>
                <w:rFonts w:eastAsia="Times New Roman" w:cstheme="minorHAnsi"/>
                <w:szCs w:val="16"/>
                <w:lang w:eastAsia="en-AU"/>
              </w:rPr>
            </w:pPr>
            <w:r w:rsidRPr="00470FC7">
              <w:rPr>
                <w:rFonts w:eastAsia="Times New Roman" w:cstheme="minorHAnsi"/>
                <w:szCs w:val="16"/>
                <w:lang w:eastAsia="en-AU"/>
              </w:rPr>
              <w:t>Bedrooms</w:t>
            </w:r>
          </w:p>
        </w:tc>
        <w:tc>
          <w:tcPr>
            <w:tcW w:w="1409" w:type="pct"/>
            <w:noWrap/>
            <w:hideMark/>
          </w:tcPr>
          <w:p w14:paraId="2B5DABB1" w14:textId="77777777" w:rsidR="00C33C41" w:rsidRPr="00470FC7" w:rsidRDefault="00C33C41" w:rsidP="00130F86">
            <w:pPr>
              <w:spacing w:line="200" w:lineRule="atLeast"/>
              <w:jc w:val="center"/>
              <w:rPr>
                <w:rFonts w:eastAsia="Times New Roman" w:cstheme="minorHAnsi"/>
                <w:szCs w:val="16"/>
                <w:lang w:eastAsia="en-AU"/>
              </w:rPr>
            </w:pPr>
            <w:r w:rsidRPr="00470FC7">
              <w:rPr>
                <w:rFonts w:eastAsia="Times New Roman" w:cstheme="minorHAnsi"/>
                <w:szCs w:val="16"/>
                <w:lang w:eastAsia="en-AU"/>
              </w:rPr>
              <w:t>Maintenance Cost</w:t>
            </w:r>
          </w:p>
        </w:tc>
      </w:tr>
      <w:tr w:rsidR="00C33C41" w:rsidRPr="00470FC7" w14:paraId="4A52103E" w14:textId="77777777" w:rsidTr="00B26383">
        <w:trPr>
          <w:cnfStyle w:val="000000100000" w:firstRow="0" w:lastRow="0" w:firstColumn="0" w:lastColumn="0" w:oddVBand="0" w:evenVBand="0" w:oddHBand="1" w:evenHBand="0" w:firstRowFirstColumn="0" w:firstRowLastColumn="0" w:lastRowFirstColumn="0" w:lastRowLastColumn="0"/>
        </w:trPr>
        <w:tc>
          <w:tcPr>
            <w:tcW w:w="2316" w:type="pct"/>
            <w:noWrap/>
            <w:hideMark/>
          </w:tcPr>
          <w:p w14:paraId="17427295" w14:textId="77777777" w:rsidR="00C33C41" w:rsidRPr="00470FC7" w:rsidRDefault="00C33C41" w:rsidP="00130F86">
            <w:pPr>
              <w:spacing w:line="200" w:lineRule="atLeast"/>
              <w:rPr>
                <w:rFonts w:eastAsia="Times New Roman" w:cstheme="minorHAnsi"/>
                <w:color w:val="000000"/>
                <w:szCs w:val="16"/>
                <w:lang w:eastAsia="en-AU"/>
              </w:rPr>
            </w:pPr>
            <w:r w:rsidRPr="00470FC7">
              <w:rPr>
                <w:rFonts w:eastAsia="Times New Roman" w:cstheme="minorHAnsi"/>
                <w:color w:val="000000"/>
                <w:szCs w:val="16"/>
                <w:lang w:eastAsia="en-AU"/>
              </w:rPr>
              <w:t>Apartment</w:t>
            </w:r>
          </w:p>
        </w:tc>
        <w:tc>
          <w:tcPr>
            <w:tcW w:w="1275" w:type="pct"/>
          </w:tcPr>
          <w:p w14:paraId="6B328921" w14:textId="77777777" w:rsidR="00C33C41" w:rsidRPr="00470FC7" w:rsidRDefault="00C33C41" w:rsidP="00130F86">
            <w:pPr>
              <w:spacing w:before="0" w:after="0" w:line="240" w:lineRule="auto"/>
              <w:jc w:val="center"/>
              <w:rPr>
                <w:rFonts w:ascii="Calibri" w:eastAsia="Times New Roman" w:hAnsi="Calibri" w:cs="Calibri"/>
                <w:color w:val="000000"/>
                <w:sz w:val="18"/>
                <w:szCs w:val="18"/>
                <w:lang w:eastAsia="en-AU"/>
              </w:rPr>
            </w:pPr>
            <w:r w:rsidRPr="00470FC7">
              <w:rPr>
                <w:rFonts w:ascii="Calibri" w:eastAsia="Times New Roman" w:hAnsi="Calibri" w:cs="Calibri"/>
                <w:color w:val="000000"/>
                <w:sz w:val="18"/>
                <w:szCs w:val="18"/>
                <w:lang w:eastAsia="en-AU"/>
              </w:rPr>
              <w:t>1</w:t>
            </w:r>
          </w:p>
        </w:tc>
        <w:tc>
          <w:tcPr>
            <w:tcW w:w="1409" w:type="pct"/>
            <w:noWrap/>
            <w:hideMark/>
          </w:tcPr>
          <w:p w14:paraId="0CC3B060" w14:textId="77777777" w:rsidR="00C33C41" w:rsidRPr="00CC51BD" w:rsidRDefault="00C33C41"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$13,000</w:t>
            </w:r>
          </w:p>
        </w:tc>
      </w:tr>
      <w:tr w:rsidR="00C33C41" w:rsidRPr="00470FC7" w14:paraId="2108C0E2" w14:textId="77777777" w:rsidTr="00B26383">
        <w:tc>
          <w:tcPr>
            <w:tcW w:w="2316" w:type="pct"/>
            <w:noWrap/>
            <w:hideMark/>
          </w:tcPr>
          <w:p w14:paraId="4945EB4C" w14:textId="77777777" w:rsidR="00C33C41" w:rsidRPr="00470FC7" w:rsidRDefault="00C33C41" w:rsidP="00130F86">
            <w:pPr>
              <w:spacing w:line="200" w:lineRule="atLeast"/>
              <w:rPr>
                <w:rFonts w:eastAsia="Times New Roman" w:cstheme="minorHAnsi"/>
                <w:color w:val="000000"/>
                <w:szCs w:val="16"/>
                <w:lang w:eastAsia="en-AU"/>
              </w:rPr>
            </w:pPr>
            <w:r w:rsidRPr="00470FC7">
              <w:rPr>
                <w:rFonts w:eastAsia="Times New Roman" w:cstheme="minorHAnsi"/>
                <w:color w:val="000000"/>
                <w:szCs w:val="16"/>
                <w:lang w:eastAsia="en-AU"/>
              </w:rPr>
              <w:t>Apartment</w:t>
            </w:r>
          </w:p>
        </w:tc>
        <w:tc>
          <w:tcPr>
            <w:tcW w:w="1275" w:type="pct"/>
          </w:tcPr>
          <w:p w14:paraId="1A60951C" w14:textId="77777777" w:rsidR="00C33C41" w:rsidRPr="00470FC7" w:rsidRDefault="00C33C41" w:rsidP="00130F86">
            <w:pPr>
              <w:spacing w:before="0" w:after="0" w:line="240" w:lineRule="auto"/>
              <w:jc w:val="center"/>
              <w:rPr>
                <w:rFonts w:ascii="Calibri" w:eastAsia="Times New Roman" w:hAnsi="Calibri" w:cs="Calibri"/>
                <w:color w:val="000000"/>
                <w:sz w:val="18"/>
                <w:szCs w:val="18"/>
                <w:lang w:eastAsia="en-AU"/>
              </w:rPr>
            </w:pPr>
            <w:r w:rsidRPr="00470FC7">
              <w:rPr>
                <w:rFonts w:ascii="Calibri" w:eastAsia="Times New Roman" w:hAnsi="Calibri" w:cs="Calibri"/>
                <w:color w:val="000000"/>
                <w:sz w:val="18"/>
                <w:szCs w:val="18"/>
                <w:lang w:eastAsia="en-AU"/>
              </w:rPr>
              <w:t>2</w:t>
            </w:r>
          </w:p>
        </w:tc>
        <w:tc>
          <w:tcPr>
            <w:tcW w:w="1409" w:type="pct"/>
            <w:noWrap/>
            <w:hideMark/>
          </w:tcPr>
          <w:p w14:paraId="06450621" w14:textId="77777777" w:rsidR="00C33C41" w:rsidRPr="00CC51BD" w:rsidRDefault="00C33C41"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$13,000</w:t>
            </w:r>
          </w:p>
        </w:tc>
      </w:tr>
      <w:tr w:rsidR="00C33C41" w:rsidRPr="00470FC7" w14:paraId="0C2D3058" w14:textId="77777777" w:rsidTr="00B26383">
        <w:trPr>
          <w:cnfStyle w:val="000000100000" w:firstRow="0" w:lastRow="0" w:firstColumn="0" w:lastColumn="0" w:oddVBand="0" w:evenVBand="0" w:oddHBand="1" w:evenHBand="0" w:firstRowFirstColumn="0" w:firstRowLastColumn="0" w:lastRowFirstColumn="0" w:lastRowLastColumn="0"/>
        </w:trPr>
        <w:tc>
          <w:tcPr>
            <w:tcW w:w="2316" w:type="pct"/>
            <w:noWrap/>
            <w:hideMark/>
          </w:tcPr>
          <w:p w14:paraId="67DC6DF9" w14:textId="77777777" w:rsidR="00C33C41" w:rsidRPr="00470FC7" w:rsidRDefault="00C33C41" w:rsidP="00130F86">
            <w:pPr>
              <w:spacing w:line="200" w:lineRule="atLeast"/>
              <w:rPr>
                <w:rFonts w:eastAsia="Times New Roman" w:cstheme="minorHAnsi"/>
                <w:color w:val="000000"/>
                <w:szCs w:val="16"/>
                <w:lang w:eastAsia="en-AU"/>
              </w:rPr>
            </w:pPr>
            <w:r w:rsidRPr="00470FC7">
              <w:rPr>
                <w:rFonts w:eastAsia="Times New Roman" w:cstheme="minorHAnsi"/>
                <w:color w:val="000000"/>
                <w:szCs w:val="16"/>
                <w:lang w:eastAsia="en-AU"/>
              </w:rPr>
              <w:t>Apartment</w:t>
            </w:r>
          </w:p>
        </w:tc>
        <w:tc>
          <w:tcPr>
            <w:tcW w:w="1275" w:type="pct"/>
          </w:tcPr>
          <w:p w14:paraId="0E73DB6D" w14:textId="77777777" w:rsidR="00C33C41" w:rsidRPr="00470FC7" w:rsidRDefault="00C33C41" w:rsidP="00130F86">
            <w:pPr>
              <w:spacing w:before="0" w:after="0" w:line="240" w:lineRule="auto"/>
              <w:jc w:val="center"/>
              <w:rPr>
                <w:rFonts w:ascii="Calibri" w:eastAsia="Times New Roman" w:hAnsi="Calibri" w:cs="Calibri"/>
                <w:color w:val="000000"/>
                <w:sz w:val="18"/>
                <w:szCs w:val="18"/>
                <w:lang w:eastAsia="en-AU"/>
              </w:rPr>
            </w:pPr>
            <w:r w:rsidRPr="00470FC7">
              <w:rPr>
                <w:rFonts w:ascii="Calibri" w:eastAsia="Times New Roman" w:hAnsi="Calibri" w:cs="Calibri"/>
                <w:color w:val="000000"/>
                <w:sz w:val="18"/>
                <w:szCs w:val="18"/>
                <w:lang w:eastAsia="en-AU"/>
              </w:rPr>
              <w:t>3</w:t>
            </w:r>
          </w:p>
        </w:tc>
        <w:tc>
          <w:tcPr>
            <w:tcW w:w="1409" w:type="pct"/>
            <w:noWrap/>
            <w:hideMark/>
          </w:tcPr>
          <w:p w14:paraId="0DB5A2A4" w14:textId="77777777" w:rsidR="00C33C41" w:rsidRPr="00CC51BD" w:rsidRDefault="00C33C41"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$14,000</w:t>
            </w:r>
          </w:p>
        </w:tc>
      </w:tr>
      <w:tr w:rsidR="00C33C41" w:rsidRPr="00470FC7" w14:paraId="7A648C66" w14:textId="77777777" w:rsidTr="00B26383">
        <w:tc>
          <w:tcPr>
            <w:tcW w:w="2316" w:type="pct"/>
            <w:noWrap/>
            <w:hideMark/>
          </w:tcPr>
          <w:p w14:paraId="3CA44D60" w14:textId="77777777" w:rsidR="00C33C41" w:rsidRPr="00470FC7" w:rsidRDefault="00C33C41" w:rsidP="00130F86">
            <w:pPr>
              <w:spacing w:line="200" w:lineRule="atLeast"/>
              <w:rPr>
                <w:rFonts w:eastAsia="Times New Roman" w:cstheme="minorHAnsi"/>
                <w:color w:val="000000"/>
                <w:szCs w:val="16"/>
                <w:lang w:eastAsia="en-AU"/>
              </w:rPr>
            </w:pPr>
            <w:r w:rsidRPr="00470FC7">
              <w:rPr>
                <w:rFonts w:eastAsia="Times New Roman" w:cstheme="minorHAnsi"/>
                <w:color w:val="000000"/>
                <w:szCs w:val="16"/>
                <w:lang w:eastAsia="en-AU"/>
              </w:rPr>
              <w:t>Villa / Duplex / Townhouse</w:t>
            </w:r>
          </w:p>
        </w:tc>
        <w:tc>
          <w:tcPr>
            <w:tcW w:w="1275" w:type="pct"/>
          </w:tcPr>
          <w:p w14:paraId="06393891" w14:textId="77777777" w:rsidR="00C33C41" w:rsidRPr="00470FC7" w:rsidRDefault="00C33C41" w:rsidP="00130F86">
            <w:pPr>
              <w:spacing w:before="0" w:after="0" w:line="240" w:lineRule="auto"/>
              <w:jc w:val="center"/>
              <w:rPr>
                <w:rFonts w:ascii="Calibri" w:eastAsia="Times New Roman" w:hAnsi="Calibri" w:cs="Calibri"/>
                <w:color w:val="000000"/>
                <w:sz w:val="18"/>
                <w:szCs w:val="18"/>
                <w:lang w:eastAsia="en-AU"/>
              </w:rPr>
            </w:pPr>
            <w:r w:rsidRPr="00470FC7">
              <w:rPr>
                <w:rFonts w:ascii="Calibri" w:eastAsia="Times New Roman" w:hAnsi="Calibri" w:cs="Calibri"/>
                <w:color w:val="000000"/>
                <w:sz w:val="18"/>
                <w:szCs w:val="18"/>
                <w:lang w:eastAsia="en-AU"/>
              </w:rPr>
              <w:t>1</w:t>
            </w:r>
          </w:p>
        </w:tc>
        <w:tc>
          <w:tcPr>
            <w:tcW w:w="1409" w:type="pct"/>
            <w:noWrap/>
            <w:hideMark/>
          </w:tcPr>
          <w:p w14:paraId="5C3BBA3D" w14:textId="77777777" w:rsidR="00C33C41" w:rsidRPr="00CC51BD" w:rsidRDefault="00C33C41"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$11,000</w:t>
            </w:r>
          </w:p>
        </w:tc>
      </w:tr>
      <w:tr w:rsidR="00C33C41" w:rsidRPr="00470FC7" w14:paraId="20C530B7" w14:textId="77777777" w:rsidTr="00B26383">
        <w:trPr>
          <w:cnfStyle w:val="000000100000" w:firstRow="0" w:lastRow="0" w:firstColumn="0" w:lastColumn="0" w:oddVBand="0" w:evenVBand="0" w:oddHBand="1" w:evenHBand="0" w:firstRowFirstColumn="0" w:firstRowLastColumn="0" w:lastRowFirstColumn="0" w:lastRowLastColumn="0"/>
        </w:trPr>
        <w:tc>
          <w:tcPr>
            <w:tcW w:w="2316" w:type="pct"/>
            <w:noWrap/>
            <w:hideMark/>
          </w:tcPr>
          <w:p w14:paraId="7E6B27E0" w14:textId="77777777" w:rsidR="00C33C41" w:rsidRPr="00470FC7" w:rsidRDefault="00C33C41" w:rsidP="00130F86">
            <w:pPr>
              <w:spacing w:line="200" w:lineRule="atLeast"/>
              <w:rPr>
                <w:rFonts w:eastAsia="Times New Roman" w:cstheme="minorHAnsi"/>
                <w:color w:val="000000"/>
                <w:szCs w:val="16"/>
                <w:lang w:eastAsia="en-AU"/>
              </w:rPr>
            </w:pPr>
            <w:r w:rsidRPr="00470FC7">
              <w:rPr>
                <w:rFonts w:eastAsia="Times New Roman" w:cstheme="minorHAnsi"/>
                <w:color w:val="000000"/>
                <w:szCs w:val="16"/>
                <w:lang w:eastAsia="en-AU"/>
              </w:rPr>
              <w:t>Villa / Duplex / Townhouse</w:t>
            </w:r>
          </w:p>
        </w:tc>
        <w:tc>
          <w:tcPr>
            <w:tcW w:w="1275" w:type="pct"/>
          </w:tcPr>
          <w:p w14:paraId="6FE5C245" w14:textId="77777777" w:rsidR="00C33C41" w:rsidRPr="00470FC7" w:rsidRDefault="00C33C41" w:rsidP="00130F86">
            <w:pPr>
              <w:spacing w:before="0" w:after="0" w:line="240" w:lineRule="auto"/>
              <w:jc w:val="center"/>
              <w:rPr>
                <w:rFonts w:ascii="Calibri" w:eastAsia="Times New Roman" w:hAnsi="Calibri" w:cs="Calibri"/>
                <w:color w:val="000000"/>
                <w:sz w:val="18"/>
                <w:szCs w:val="18"/>
                <w:lang w:eastAsia="en-AU"/>
              </w:rPr>
            </w:pPr>
            <w:r w:rsidRPr="00470FC7">
              <w:rPr>
                <w:rFonts w:ascii="Calibri" w:eastAsia="Times New Roman" w:hAnsi="Calibri" w:cs="Calibri"/>
                <w:color w:val="000000"/>
                <w:sz w:val="18"/>
                <w:szCs w:val="18"/>
                <w:lang w:eastAsia="en-AU"/>
              </w:rPr>
              <w:t>2</w:t>
            </w:r>
          </w:p>
        </w:tc>
        <w:tc>
          <w:tcPr>
            <w:tcW w:w="1409" w:type="pct"/>
            <w:noWrap/>
            <w:hideMark/>
          </w:tcPr>
          <w:p w14:paraId="5C5AC1AF" w14:textId="77777777" w:rsidR="00C33C41" w:rsidRPr="00CC51BD" w:rsidRDefault="00C33C41"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$17,000</w:t>
            </w:r>
          </w:p>
        </w:tc>
      </w:tr>
      <w:tr w:rsidR="00C33C41" w:rsidRPr="00470FC7" w14:paraId="048ED8B8" w14:textId="77777777" w:rsidTr="00B26383">
        <w:tc>
          <w:tcPr>
            <w:tcW w:w="2316" w:type="pct"/>
            <w:noWrap/>
            <w:hideMark/>
          </w:tcPr>
          <w:p w14:paraId="47EAA3AA" w14:textId="77777777" w:rsidR="00C33C41" w:rsidRPr="00470FC7" w:rsidRDefault="00C33C41" w:rsidP="00130F86">
            <w:pPr>
              <w:spacing w:line="200" w:lineRule="atLeast"/>
              <w:rPr>
                <w:rFonts w:eastAsia="Times New Roman" w:cstheme="minorHAnsi"/>
                <w:color w:val="000000"/>
                <w:szCs w:val="16"/>
                <w:lang w:eastAsia="en-AU"/>
              </w:rPr>
            </w:pPr>
            <w:r w:rsidRPr="00470FC7">
              <w:rPr>
                <w:rFonts w:eastAsia="Times New Roman" w:cstheme="minorHAnsi"/>
                <w:color w:val="000000"/>
                <w:szCs w:val="16"/>
                <w:lang w:eastAsia="en-AU"/>
              </w:rPr>
              <w:t>Villa / Duplex / Townhouse</w:t>
            </w:r>
          </w:p>
        </w:tc>
        <w:tc>
          <w:tcPr>
            <w:tcW w:w="1275" w:type="pct"/>
          </w:tcPr>
          <w:p w14:paraId="0F9579AB" w14:textId="77777777" w:rsidR="00C33C41" w:rsidRPr="00470FC7" w:rsidRDefault="00C33C41" w:rsidP="00130F86">
            <w:pPr>
              <w:spacing w:before="0" w:after="0" w:line="240" w:lineRule="auto"/>
              <w:jc w:val="center"/>
              <w:rPr>
                <w:rFonts w:ascii="Calibri" w:eastAsia="Times New Roman" w:hAnsi="Calibri" w:cs="Calibri"/>
                <w:color w:val="000000"/>
                <w:sz w:val="18"/>
                <w:szCs w:val="18"/>
                <w:lang w:eastAsia="en-AU"/>
              </w:rPr>
            </w:pPr>
            <w:r w:rsidRPr="00470FC7">
              <w:rPr>
                <w:rFonts w:ascii="Calibri" w:eastAsia="Times New Roman" w:hAnsi="Calibri" w:cs="Calibri"/>
                <w:color w:val="000000"/>
                <w:sz w:val="18"/>
                <w:szCs w:val="18"/>
                <w:lang w:eastAsia="en-AU"/>
              </w:rPr>
              <w:t>3</w:t>
            </w:r>
          </w:p>
        </w:tc>
        <w:tc>
          <w:tcPr>
            <w:tcW w:w="1409" w:type="pct"/>
            <w:noWrap/>
            <w:hideMark/>
          </w:tcPr>
          <w:p w14:paraId="74693E7B" w14:textId="77777777" w:rsidR="00C33C41" w:rsidRPr="00CC51BD" w:rsidRDefault="00C33C41"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$20,000</w:t>
            </w:r>
          </w:p>
        </w:tc>
      </w:tr>
      <w:tr w:rsidR="00C33C41" w:rsidRPr="00470FC7" w14:paraId="7A874E38" w14:textId="77777777" w:rsidTr="00B26383">
        <w:trPr>
          <w:cnfStyle w:val="000000100000" w:firstRow="0" w:lastRow="0" w:firstColumn="0" w:lastColumn="0" w:oddVBand="0" w:evenVBand="0" w:oddHBand="1" w:evenHBand="0" w:firstRowFirstColumn="0" w:firstRowLastColumn="0" w:lastRowFirstColumn="0" w:lastRowLastColumn="0"/>
        </w:trPr>
        <w:tc>
          <w:tcPr>
            <w:tcW w:w="2316" w:type="pct"/>
            <w:noWrap/>
            <w:hideMark/>
          </w:tcPr>
          <w:p w14:paraId="771CAAD6" w14:textId="77777777" w:rsidR="00C33C41" w:rsidRPr="00470FC7" w:rsidRDefault="00C33C41" w:rsidP="00130F86">
            <w:pPr>
              <w:spacing w:line="200" w:lineRule="atLeast"/>
              <w:rPr>
                <w:rFonts w:eastAsia="Times New Roman" w:cstheme="minorHAnsi"/>
                <w:color w:val="000000"/>
                <w:szCs w:val="16"/>
                <w:lang w:eastAsia="en-AU"/>
              </w:rPr>
            </w:pPr>
            <w:r w:rsidRPr="00470FC7">
              <w:rPr>
                <w:rFonts w:eastAsia="Times New Roman" w:cstheme="minorHAnsi"/>
                <w:color w:val="000000"/>
                <w:szCs w:val="16"/>
                <w:lang w:eastAsia="en-AU"/>
              </w:rPr>
              <w:t>House</w:t>
            </w:r>
          </w:p>
        </w:tc>
        <w:tc>
          <w:tcPr>
            <w:tcW w:w="1275" w:type="pct"/>
          </w:tcPr>
          <w:p w14:paraId="21D2C316" w14:textId="77777777" w:rsidR="00C33C41" w:rsidRPr="00470FC7" w:rsidRDefault="00C33C41" w:rsidP="00130F86">
            <w:pPr>
              <w:spacing w:before="0" w:after="0" w:line="240" w:lineRule="auto"/>
              <w:jc w:val="center"/>
              <w:rPr>
                <w:rFonts w:ascii="Calibri" w:eastAsia="Times New Roman" w:hAnsi="Calibri" w:cs="Calibri"/>
                <w:color w:val="000000"/>
                <w:sz w:val="18"/>
                <w:szCs w:val="18"/>
                <w:lang w:eastAsia="en-AU"/>
              </w:rPr>
            </w:pPr>
            <w:r w:rsidRPr="00470FC7">
              <w:rPr>
                <w:rFonts w:ascii="Calibri" w:eastAsia="Times New Roman" w:hAnsi="Calibri" w:cs="Calibri"/>
                <w:color w:val="000000"/>
                <w:sz w:val="18"/>
                <w:szCs w:val="18"/>
                <w:lang w:eastAsia="en-AU"/>
              </w:rPr>
              <w:t>2</w:t>
            </w:r>
          </w:p>
        </w:tc>
        <w:tc>
          <w:tcPr>
            <w:tcW w:w="1409" w:type="pct"/>
            <w:noWrap/>
            <w:hideMark/>
          </w:tcPr>
          <w:p w14:paraId="2D92F9D6" w14:textId="77777777" w:rsidR="00C33C41" w:rsidRPr="00CC51BD" w:rsidRDefault="00C33C41"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$28,000</w:t>
            </w:r>
          </w:p>
        </w:tc>
      </w:tr>
      <w:tr w:rsidR="00C33C41" w:rsidRPr="00470FC7" w14:paraId="0C2E67D5" w14:textId="77777777" w:rsidTr="00B26383">
        <w:tc>
          <w:tcPr>
            <w:tcW w:w="2316" w:type="pct"/>
            <w:noWrap/>
            <w:hideMark/>
          </w:tcPr>
          <w:p w14:paraId="33D0C57D" w14:textId="77777777" w:rsidR="00C33C41" w:rsidRPr="00470FC7" w:rsidRDefault="00C33C41" w:rsidP="00130F86">
            <w:pPr>
              <w:spacing w:line="200" w:lineRule="atLeast"/>
              <w:rPr>
                <w:rFonts w:eastAsia="Times New Roman" w:cstheme="minorHAnsi"/>
                <w:color w:val="000000"/>
                <w:szCs w:val="16"/>
                <w:lang w:eastAsia="en-AU"/>
              </w:rPr>
            </w:pPr>
            <w:r w:rsidRPr="00470FC7">
              <w:rPr>
                <w:rFonts w:eastAsia="Times New Roman" w:cstheme="minorHAnsi"/>
                <w:color w:val="000000"/>
                <w:szCs w:val="16"/>
                <w:lang w:eastAsia="en-AU"/>
              </w:rPr>
              <w:t>House</w:t>
            </w:r>
          </w:p>
        </w:tc>
        <w:tc>
          <w:tcPr>
            <w:tcW w:w="1275" w:type="pct"/>
          </w:tcPr>
          <w:p w14:paraId="6B350BB9" w14:textId="77777777" w:rsidR="00C33C41" w:rsidRPr="00470FC7" w:rsidRDefault="00C33C41" w:rsidP="00130F86">
            <w:pPr>
              <w:spacing w:before="0" w:after="0" w:line="240" w:lineRule="auto"/>
              <w:jc w:val="center"/>
              <w:rPr>
                <w:rFonts w:ascii="Calibri" w:eastAsia="Times New Roman" w:hAnsi="Calibri" w:cs="Calibri"/>
                <w:color w:val="000000"/>
                <w:sz w:val="18"/>
                <w:szCs w:val="18"/>
                <w:lang w:eastAsia="en-AU"/>
              </w:rPr>
            </w:pPr>
            <w:r w:rsidRPr="00470FC7">
              <w:rPr>
                <w:rFonts w:ascii="Calibri" w:eastAsia="Times New Roman" w:hAnsi="Calibri" w:cs="Calibri"/>
                <w:color w:val="000000"/>
                <w:sz w:val="18"/>
                <w:szCs w:val="18"/>
                <w:lang w:eastAsia="en-AU"/>
              </w:rPr>
              <w:t>3</w:t>
            </w:r>
          </w:p>
        </w:tc>
        <w:tc>
          <w:tcPr>
            <w:tcW w:w="1409" w:type="pct"/>
            <w:noWrap/>
            <w:hideMark/>
          </w:tcPr>
          <w:p w14:paraId="6D0FA4B3" w14:textId="77777777" w:rsidR="00C33C41" w:rsidRPr="00CC51BD" w:rsidRDefault="00C33C41"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$29,500</w:t>
            </w:r>
          </w:p>
        </w:tc>
      </w:tr>
      <w:tr w:rsidR="00C33C41" w:rsidRPr="00470FC7" w14:paraId="02F81DC4" w14:textId="77777777" w:rsidTr="00B26383">
        <w:trPr>
          <w:cnfStyle w:val="000000100000" w:firstRow="0" w:lastRow="0" w:firstColumn="0" w:lastColumn="0" w:oddVBand="0" w:evenVBand="0" w:oddHBand="1" w:evenHBand="0" w:firstRowFirstColumn="0" w:firstRowLastColumn="0" w:lastRowFirstColumn="0" w:lastRowLastColumn="0"/>
        </w:trPr>
        <w:tc>
          <w:tcPr>
            <w:tcW w:w="2316" w:type="pct"/>
            <w:noWrap/>
            <w:hideMark/>
          </w:tcPr>
          <w:p w14:paraId="6B521325" w14:textId="4187486D" w:rsidR="00C33C41" w:rsidRPr="00470FC7" w:rsidRDefault="00601689" w:rsidP="00130F86">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1275" w:type="pct"/>
          </w:tcPr>
          <w:p w14:paraId="46B55832" w14:textId="77777777" w:rsidR="00C33C41" w:rsidRPr="00470FC7" w:rsidRDefault="00C33C41" w:rsidP="00130F86">
            <w:pPr>
              <w:spacing w:before="0" w:after="0" w:line="240" w:lineRule="auto"/>
              <w:jc w:val="center"/>
              <w:rPr>
                <w:rFonts w:ascii="Calibri" w:eastAsia="Times New Roman" w:hAnsi="Calibri" w:cs="Calibri"/>
                <w:color w:val="000000"/>
                <w:sz w:val="18"/>
                <w:szCs w:val="18"/>
                <w:lang w:eastAsia="en-AU"/>
              </w:rPr>
            </w:pPr>
            <w:r w:rsidRPr="00470FC7">
              <w:rPr>
                <w:rFonts w:ascii="Calibri" w:eastAsia="Times New Roman" w:hAnsi="Calibri" w:cs="Calibri"/>
                <w:color w:val="000000"/>
                <w:sz w:val="18"/>
                <w:szCs w:val="18"/>
                <w:lang w:eastAsia="en-AU"/>
              </w:rPr>
              <w:t>4</w:t>
            </w:r>
          </w:p>
        </w:tc>
        <w:tc>
          <w:tcPr>
            <w:tcW w:w="1409" w:type="pct"/>
            <w:noWrap/>
            <w:hideMark/>
          </w:tcPr>
          <w:p w14:paraId="3605436B" w14:textId="77777777" w:rsidR="00C33C41" w:rsidRPr="00CC51BD" w:rsidRDefault="00C33C41"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$30,500</w:t>
            </w:r>
          </w:p>
        </w:tc>
      </w:tr>
      <w:tr w:rsidR="00C33C41" w:rsidRPr="00470FC7" w14:paraId="690BF5EE" w14:textId="77777777" w:rsidTr="00B26383">
        <w:tc>
          <w:tcPr>
            <w:tcW w:w="2316" w:type="pct"/>
            <w:noWrap/>
            <w:hideMark/>
          </w:tcPr>
          <w:p w14:paraId="039A9D08" w14:textId="5689C46B" w:rsidR="00C33C41" w:rsidRPr="00470FC7" w:rsidRDefault="00601689" w:rsidP="00130F86">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1275" w:type="pct"/>
          </w:tcPr>
          <w:p w14:paraId="5D86F18E" w14:textId="77777777" w:rsidR="00C33C41" w:rsidRPr="00470FC7" w:rsidRDefault="00C33C41" w:rsidP="00130F86">
            <w:pPr>
              <w:spacing w:before="0" w:after="0" w:line="240" w:lineRule="auto"/>
              <w:jc w:val="center"/>
              <w:rPr>
                <w:rFonts w:ascii="Calibri" w:eastAsia="Times New Roman" w:hAnsi="Calibri" w:cs="Calibri"/>
                <w:color w:val="000000"/>
                <w:sz w:val="18"/>
                <w:szCs w:val="18"/>
                <w:lang w:eastAsia="en-AU"/>
              </w:rPr>
            </w:pPr>
            <w:r w:rsidRPr="00470FC7">
              <w:rPr>
                <w:rFonts w:ascii="Calibri" w:eastAsia="Times New Roman" w:hAnsi="Calibri" w:cs="Calibri"/>
                <w:color w:val="000000"/>
                <w:sz w:val="18"/>
                <w:szCs w:val="18"/>
                <w:lang w:eastAsia="en-AU"/>
              </w:rPr>
              <w:t>5</w:t>
            </w:r>
          </w:p>
        </w:tc>
        <w:tc>
          <w:tcPr>
            <w:tcW w:w="1409" w:type="pct"/>
            <w:noWrap/>
            <w:hideMark/>
          </w:tcPr>
          <w:p w14:paraId="1CEDC785" w14:textId="77777777" w:rsidR="00C33C41" w:rsidRPr="00CC51BD" w:rsidRDefault="00C33C41"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$31,500</w:t>
            </w:r>
          </w:p>
        </w:tc>
      </w:tr>
    </w:tbl>
    <w:p w14:paraId="0AE6A9A5" w14:textId="7E51E36E" w:rsidR="00C33C41" w:rsidRPr="00470FC7" w:rsidRDefault="0095150D" w:rsidP="007F5AEA">
      <w:pPr>
        <w:pStyle w:val="DotPoint"/>
      </w:pPr>
      <m:oMath>
        <m:sSub>
          <m:sSubPr>
            <m:ctrlPr>
              <w:rPr>
                <w:rFonts w:ascii="Cambria Math" w:hAnsi="Cambria Math"/>
                <w:b/>
                <w:bCs/>
              </w:rPr>
            </m:ctrlPr>
          </m:sSubPr>
          <m:e>
            <m:r>
              <m:rPr>
                <m:sty m:val="bi"/>
              </m:rPr>
              <w:rPr>
                <w:rFonts w:ascii="Cambria Math" w:hAnsi="Cambria Math"/>
              </w:rPr>
              <m:t>Property</m:t>
            </m:r>
            <m:r>
              <m:rPr>
                <m:sty m:val="b"/>
              </m:rPr>
              <w:rPr>
                <w:rFonts w:ascii="Cambria Math" w:hAnsi="Cambria Math"/>
              </w:rPr>
              <m:t>.</m:t>
            </m:r>
            <m:r>
              <m:rPr>
                <m:sty m:val="bi"/>
              </m:rPr>
              <w:rPr>
                <w:rFonts w:ascii="Cambria Math" w:hAnsi="Cambria Math"/>
              </w:rPr>
              <m:t>Management</m:t>
            </m:r>
            <m:r>
              <m:rPr>
                <m:sty m:val="b"/>
              </m:rPr>
              <w:rPr>
                <w:rFonts w:ascii="Cambria Math" w:hAnsi="Cambria Math"/>
              </w:rPr>
              <m:t>.</m:t>
            </m:r>
            <m:r>
              <m:rPr>
                <m:sty m:val="bi"/>
              </m:rPr>
              <w:rPr>
                <w:rFonts w:ascii="Cambria Math" w:hAnsi="Cambria Math"/>
              </w:rPr>
              <m:t>Cost</m:t>
            </m:r>
          </m:e>
          <m:sub>
            <m:r>
              <m:rPr>
                <m:sty m:val="b"/>
              </m:rPr>
              <w:rPr>
                <w:rFonts w:ascii="Cambria Math" w:hAnsi="Cambria Math"/>
              </w:rPr>
              <m:t>0</m:t>
            </m:r>
          </m:sub>
        </m:sSub>
      </m:oMath>
      <w:r w:rsidR="00C33C41" w:rsidRPr="00470FC7">
        <w:rPr>
          <w:rFonts w:eastAsiaTheme="minorEastAsia"/>
        </w:rPr>
        <w:t xml:space="preserve"> </w:t>
      </w:r>
      <w:r w:rsidR="00C33C41" w:rsidRPr="00D55B84">
        <w:rPr>
          <w:rFonts w:ascii="Arial" w:eastAsiaTheme="minorEastAsia" w:hAnsi="Arial"/>
          <w:szCs w:val="24"/>
          <w:lang w:eastAsia="ja-JP"/>
        </w:rPr>
        <w:t xml:space="preserve">is </w:t>
      </w:r>
      <w:r w:rsidR="00CC549E">
        <w:rPr>
          <w:rFonts w:ascii="Arial" w:eastAsiaTheme="minorEastAsia" w:hAnsi="Arial"/>
          <w:szCs w:val="24"/>
          <w:lang w:eastAsia="ja-JP"/>
        </w:rPr>
        <w:t xml:space="preserve">currently </w:t>
      </w:r>
      <w:r w:rsidR="00C33C41" w:rsidRPr="00D55B84">
        <w:rPr>
          <w:rFonts w:ascii="Arial" w:eastAsiaTheme="minorEastAsia" w:hAnsi="Arial"/>
          <w:szCs w:val="24"/>
          <w:lang w:eastAsia="ja-JP"/>
        </w:rPr>
        <w:t xml:space="preserve">assumed to be 0.4% of </w:t>
      </w:r>
      <w:proofErr w:type="spellStart"/>
      <w:r w:rsidR="00C33C41" w:rsidRPr="00CC5D84">
        <w:rPr>
          <w:rFonts w:ascii="Arial" w:eastAsiaTheme="minorEastAsia" w:hAnsi="Arial"/>
          <w:b/>
          <w:bCs/>
          <w:szCs w:val="24"/>
          <w:lang w:eastAsia="ja-JP"/>
        </w:rPr>
        <w:t>Acquisition.Cost</w:t>
      </w:r>
      <w:proofErr w:type="spellEnd"/>
      <w:r w:rsidR="00C33C41" w:rsidRPr="00CC5D84">
        <w:rPr>
          <w:rFonts w:ascii="Arial" w:eastAsiaTheme="minorEastAsia" w:hAnsi="Arial"/>
          <w:b/>
          <w:bCs/>
          <w:szCs w:val="24"/>
          <w:lang w:eastAsia="ja-JP"/>
        </w:rPr>
        <w:t>.</w:t>
      </w:r>
    </w:p>
    <w:p w14:paraId="0FBF8ACA" w14:textId="42F3DE84" w:rsidR="00C33C41" w:rsidRPr="00470FC7" w:rsidRDefault="0095150D" w:rsidP="007F5AEA">
      <w:pPr>
        <w:pStyle w:val="DotPoint"/>
      </w:pPr>
      <m:oMath>
        <m:sSub>
          <m:sSubPr>
            <m:ctrlPr>
              <w:rPr>
                <w:rFonts w:ascii="Cambria Math" w:hAnsi="Cambria Math"/>
                <w:b/>
                <w:bCs/>
                <w:i/>
              </w:rPr>
            </m:ctrlPr>
          </m:sSubPr>
          <m:e>
            <m:r>
              <m:rPr>
                <m:sty m:val="bi"/>
              </m:rPr>
              <w:rPr>
                <w:rFonts w:ascii="Cambria Math" w:hAnsi="Cambria Math"/>
              </w:rPr>
              <m:t>Vacancy</m:t>
            </m:r>
            <m:r>
              <m:rPr>
                <m:sty m:val="bi"/>
              </m:rPr>
              <w:rPr>
                <w:rFonts w:ascii="Cambria Math" w:hAnsi="Cambria Math"/>
              </w:rPr>
              <m:t>.</m:t>
            </m:r>
            <m:r>
              <m:rPr>
                <m:sty m:val="bi"/>
              </m:rPr>
              <w:rPr>
                <w:rFonts w:ascii="Cambria Math" w:hAnsi="Cambria Math"/>
              </w:rPr>
              <m:t>Management</m:t>
            </m:r>
            <m:r>
              <m:rPr>
                <m:sty m:val="bi"/>
              </m:rPr>
              <w:rPr>
                <w:rFonts w:ascii="Cambria Math" w:hAnsi="Cambria Math"/>
              </w:rPr>
              <m:t>.</m:t>
            </m:r>
            <m:r>
              <m:rPr>
                <m:sty m:val="bi"/>
              </m:rPr>
              <w:rPr>
                <w:rFonts w:ascii="Cambria Math" w:hAnsi="Cambria Math"/>
              </w:rPr>
              <m:t>Cost</m:t>
            </m:r>
          </m:e>
          <m:sub>
            <m:r>
              <m:rPr>
                <m:sty m:val="bi"/>
              </m:rPr>
              <w:rPr>
                <w:rFonts w:ascii="Cambria Math" w:hAnsi="Cambria Math"/>
              </w:rPr>
              <m:t>0</m:t>
            </m:r>
          </m:sub>
        </m:sSub>
      </m:oMath>
      <w:r w:rsidR="00C33C41" w:rsidRPr="00470FC7">
        <w:t xml:space="preserve"> </w:t>
      </w:r>
      <w:r w:rsidR="00C33C41" w:rsidRPr="00D55B84">
        <w:rPr>
          <w:szCs w:val="24"/>
          <w:lang w:eastAsia="ja-JP"/>
        </w:rPr>
        <w:t xml:space="preserve">is </w:t>
      </w:r>
      <w:r w:rsidR="00CC549E">
        <w:rPr>
          <w:szCs w:val="24"/>
          <w:lang w:eastAsia="ja-JP"/>
        </w:rPr>
        <w:t xml:space="preserve">currently </w:t>
      </w:r>
      <w:r w:rsidR="00C33C41" w:rsidRPr="00D55B84">
        <w:rPr>
          <w:szCs w:val="24"/>
          <w:lang w:eastAsia="ja-JP"/>
        </w:rPr>
        <w:t>assumed to be $333 per annum (2015-16 prices).</w:t>
      </w:r>
    </w:p>
    <w:p w14:paraId="15CC6E8E" w14:textId="0AF217F1" w:rsidR="00C33C41" w:rsidRDefault="00CC5D84" w:rsidP="007F5AEA">
      <w:pPr>
        <w:pStyle w:val="DotPoint"/>
      </w:pPr>
      <m:oMath>
        <m:r>
          <m:rPr>
            <m:sty m:val="bi"/>
          </m:rPr>
          <w:rPr>
            <w:rFonts w:ascii="Cambria Math" w:hAnsi="Cambria Math"/>
          </w:rPr>
          <m:t>CPI</m:t>
        </m:r>
      </m:oMath>
      <w:r w:rsidR="00C33C41" w:rsidRPr="00470FC7">
        <w:t xml:space="preserve"> </w:t>
      </w:r>
      <w:r w:rsidR="00C33C41" w:rsidRPr="00D55B84">
        <w:t xml:space="preserve">is </w:t>
      </w:r>
      <w:r w:rsidR="00CC549E">
        <w:t xml:space="preserve">currently </w:t>
      </w:r>
      <w:r w:rsidR="00C33C41" w:rsidRPr="00D55B84">
        <w:t>assumed to be 2.5% each year.</w:t>
      </w:r>
    </w:p>
    <w:p w14:paraId="1FC63473" w14:textId="04C06069" w:rsidR="00DB4E40" w:rsidRDefault="008A566C" w:rsidP="00244A13">
      <w:pPr>
        <w:pStyle w:val="Heading4"/>
      </w:pPr>
      <w:r w:rsidRPr="008A566C">
        <w:t>N</w:t>
      </w:r>
      <w:r w:rsidR="00EC29F7">
        <w:t xml:space="preserve">et Present Value of the </w:t>
      </w:r>
      <w:r w:rsidRPr="008A566C">
        <w:t>Residual</w:t>
      </w:r>
      <w:r w:rsidR="00EC29F7">
        <w:t xml:space="preserve"> </w:t>
      </w:r>
      <w:r w:rsidRPr="008A566C">
        <w:t>Value</w:t>
      </w:r>
      <w:r w:rsidR="00EC29F7">
        <w:t xml:space="preserve"> of the Dwelling</w:t>
      </w:r>
    </w:p>
    <w:p w14:paraId="11D6ECE2" w14:textId="4D61BCFD" w:rsidR="00267884" w:rsidRDefault="00685A2C" w:rsidP="007F5AEA">
      <w:r>
        <w:t xml:space="preserve">The </w:t>
      </w:r>
      <w:proofErr w:type="spellStart"/>
      <w:proofErr w:type="gramStart"/>
      <w:r w:rsidR="00267884" w:rsidRPr="00F668F8">
        <w:rPr>
          <w:b/>
          <w:bCs/>
        </w:rPr>
        <w:t>NPV.Residual.Value</w:t>
      </w:r>
      <w:proofErr w:type="spellEnd"/>
      <w:proofErr w:type="gramEnd"/>
      <w:r w:rsidR="00267884" w:rsidRPr="00ED1120">
        <w:t xml:space="preserve"> </w:t>
      </w:r>
      <w:r>
        <w:t xml:space="preserve">variable represents </w:t>
      </w:r>
      <w:r w:rsidR="00267884" w:rsidRPr="00ED1120">
        <w:t xml:space="preserve">the </w:t>
      </w:r>
      <w:r w:rsidR="00267884">
        <w:t>net present value of the resale value of the dwelling and land (after fees) at the end of the investment period, discounted by the NATWACC. Because the resale occurs at the end of year 20 and there are no other cash flow transactions relating to the residual value over the investment period, we have that:</w:t>
      </w:r>
    </w:p>
    <w:p w14:paraId="7D4A4A0D" w14:textId="77777777" w:rsidR="00267884" w:rsidRPr="005A2B2E" w:rsidRDefault="00267884" w:rsidP="007F5AEA">
      <w:pPr>
        <w:spacing w:before="300" w:after="300"/>
        <w:rPr>
          <w:rFonts w:ascii="Cambria Math" w:hAnsi="Cambria Math"/>
          <w:i/>
        </w:rPr>
      </w:pPr>
      <m:oMathPara>
        <m:oMath>
          <m:r>
            <w:rPr>
              <w:rFonts w:ascii="Cambria Math" w:hAnsi="Cambria Math"/>
            </w:rPr>
            <m:t xml:space="preserve">NPV.Residual.Value= </m:t>
          </m:r>
          <m:f>
            <m:fPr>
              <m:ctrlPr>
                <w:rPr>
                  <w:rFonts w:ascii="Cambria Math" w:hAnsi="Cambria Math"/>
                  <w:i/>
                </w:rPr>
              </m:ctrlPr>
            </m:fPr>
            <m:num>
              <m:sSub>
                <m:sSubPr>
                  <m:ctrlPr>
                    <w:rPr>
                      <w:rFonts w:ascii="Cambria Math" w:hAnsi="Cambria Math"/>
                      <w:i/>
                    </w:rPr>
                  </m:ctrlPr>
                </m:sSubPr>
                <m:e>
                  <m:r>
                    <w:rPr>
                      <w:rFonts w:ascii="Cambria Math" w:hAnsi="Cambria Math"/>
                    </w:rPr>
                    <m:t>Residual.Value</m:t>
                  </m:r>
                </m:e>
                <m:sub>
                  <m:r>
                    <w:rPr>
                      <w:rFonts w:ascii="Cambria Math" w:hAnsi="Cambria Math"/>
                    </w:rPr>
                    <m:t>year=20</m:t>
                  </m:r>
                </m:sub>
              </m:sSub>
            </m:num>
            <m:den>
              <m:sSup>
                <m:sSupPr>
                  <m:ctrlPr>
                    <w:rPr>
                      <w:rFonts w:ascii="Cambria Math" w:hAnsi="Cambria Math"/>
                      <w:i/>
                    </w:rPr>
                  </m:ctrlPr>
                </m:sSupPr>
                <m:e>
                  <m:r>
                    <w:rPr>
                      <w:rFonts w:ascii="Cambria Math" w:hAnsi="Cambria Math"/>
                    </w:rPr>
                    <m:t>[1+NATWACC]</m:t>
                  </m:r>
                </m:e>
                <m:sup>
                  <m:r>
                    <w:rPr>
                      <w:rFonts w:ascii="Cambria Math" w:hAnsi="Cambria Math"/>
                    </w:rPr>
                    <m:t>20</m:t>
                  </m:r>
                </m:sup>
              </m:sSup>
            </m:den>
          </m:f>
        </m:oMath>
      </m:oMathPara>
    </w:p>
    <w:p w14:paraId="72FCF218" w14:textId="7BFE5B7A" w:rsidR="00267884" w:rsidRDefault="00267884" w:rsidP="007F5AEA">
      <w:r>
        <w:t xml:space="preserve">Where </w:t>
      </w:r>
      <m:oMath>
        <m:sSub>
          <m:sSubPr>
            <m:ctrlPr>
              <w:rPr>
                <w:rFonts w:ascii="Cambria Math" w:hAnsi="Cambria Math"/>
                <w:b/>
                <w:i/>
              </w:rPr>
            </m:ctrlPr>
          </m:sSubPr>
          <m:e>
            <m:r>
              <m:rPr>
                <m:sty m:val="bi"/>
              </m:rPr>
              <w:rPr>
                <w:rFonts w:ascii="Cambria Math" w:hAnsi="Cambria Math"/>
              </w:rPr>
              <m:t>Residual.Value</m:t>
            </m:r>
          </m:e>
          <m:sub>
            <m:r>
              <m:rPr>
                <m:sty m:val="bi"/>
              </m:rPr>
              <w:rPr>
                <w:rFonts w:ascii="Cambria Math" w:hAnsi="Cambria Math"/>
              </w:rPr>
              <m:t>year=20</m:t>
            </m:r>
          </m:sub>
        </m:sSub>
      </m:oMath>
      <w:r>
        <w:t xml:space="preserve"> is the residual value of the land and building at the end of year 20 and is equal to</w:t>
      </w:r>
    </w:p>
    <w:p w14:paraId="57038601" w14:textId="77777777" w:rsidR="00267884" w:rsidRPr="005A2B2E" w:rsidRDefault="0095150D" w:rsidP="007F5AEA">
      <w:pPr>
        <w:spacing w:before="300" w:after="300"/>
        <w:rPr>
          <w:rFonts w:ascii="Cambria Math" w:hAnsi="Cambria Math"/>
          <w:i/>
        </w:rPr>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Residual</m:t>
                  </m:r>
                  <m:r>
                    <w:rPr>
                      <w:rFonts w:ascii="Cambria Math" w:hAnsi="Cambria Math"/>
                    </w:rPr>
                    <m:t>.</m:t>
                  </m:r>
                  <m:r>
                    <w:rPr>
                      <w:rFonts w:ascii="Cambria Math" w:hAnsi="Cambria Math"/>
                    </w:rPr>
                    <m:t>Land</m:t>
                  </m:r>
                  <m:r>
                    <w:rPr>
                      <w:rFonts w:ascii="Cambria Math" w:hAnsi="Cambria Math"/>
                    </w:rPr>
                    <m:t>.</m:t>
                  </m:r>
                  <m:r>
                    <w:rPr>
                      <w:rFonts w:ascii="Cambria Math" w:hAnsi="Cambria Math"/>
                    </w:rPr>
                    <m:t>Value</m:t>
                  </m:r>
                </m:e>
                <m:sub>
                  <m:r>
                    <w:rPr>
                      <w:rFonts w:ascii="Cambria Math" w:hAnsi="Cambria Math"/>
                    </w:rPr>
                    <m:t>year</m:t>
                  </m:r>
                  <m:r>
                    <w:rPr>
                      <w:rFonts w:ascii="Cambria Math" w:hAnsi="Cambria Math"/>
                    </w:rPr>
                    <m:t>=20</m:t>
                  </m:r>
                </m:sub>
              </m:sSub>
              <m:r>
                <w:rPr>
                  <w:rFonts w:ascii="Cambria Math" w:hAnsi="Cambria Math"/>
                </w:rPr>
                <m:t>+</m:t>
              </m:r>
              <m:sSub>
                <m:sSubPr>
                  <m:ctrlPr>
                    <w:rPr>
                      <w:rFonts w:ascii="Cambria Math" w:hAnsi="Cambria Math"/>
                      <w:i/>
                    </w:rPr>
                  </m:ctrlPr>
                </m:sSubPr>
                <m:e>
                  <m:r>
                    <w:rPr>
                      <w:rFonts w:ascii="Cambria Math" w:hAnsi="Cambria Math"/>
                    </w:rPr>
                    <m:t>Residual</m:t>
                  </m:r>
                  <m:r>
                    <w:rPr>
                      <w:rFonts w:ascii="Cambria Math" w:hAnsi="Cambria Math"/>
                    </w:rPr>
                    <m:t>.</m:t>
                  </m:r>
                  <m:r>
                    <w:rPr>
                      <w:rFonts w:ascii="Cambria Math" w:hAnsi="Cambria Math"/>
                    </w:rPr>
                    <m:t>Build</m:t>
                  </m:r>
                  <m:r>
                    <w:rPr>
                      <w:rFonts w:ascii="Cambria Math" w:hAnsi="Cambria Math"/>
                    </w:rPr>
                    <m:t>.</m:t>
                  </m:r>
                  <m:r>
                    <w:rPr>
                      <w:rFonts w:ascii="Cambria Math" w:hAnsi="Cambria Math"/>
                    </w:rPr>
                    <m:t>Value</m:t>
                  </m:r>
                </m:e>
                <m:sub>
                  <m:r>
                    <w:rPr>
                      <w:rFonts w:ascii="Cambria Math" w:hAnsi="Cambria Math"/>
                    </w:rPr>
                    <m:t>year</m:t>
                  </m:r>
                  <m:r>
                    <w:rPr>
                      <w:rFonts w:ascii="Cambria Math" w:hAnsi="Cambria Math"/>
                    </w:rPr>
                    <m:t>=20</m:t>
                  </m:r>
                </m:sub>
              </m:sSub>
            </m:e>
          </m:d>
          <m:r>
            <w:rPr>
              <w:rFonts w:ascii="Cambria Math" w:hAnsi="Cambria Math"/>
            </w:rPr>
            <m:t xml:space="preserve"> </m:t>
          </m:r>
          <m:d>
            <m:dPr>
              <m:begChr m:val="["/>
              <m:endChr m:val="]"/>
              <m:ctrlPr>
                <w:rPr>
                  <w:rFonts w:ascii="Cambria Math" w:hAnsi="Cambria Math"/>
                  <w:i/>
                </w:rPr>
              </m:ctrlPr>
            </m:dPr>
            <m:e>
              <m:r>
                <w:rPr>
                  <w:rFonts w:ascii="Cambria Math" w:hAnsi="Cambria Math"/>
                </w:rPr>
                <m:t>1-</m:t>
              </m:r>
              <m:r>
                <w:rPr>
                  <w:rFonts w:ascii="Cambria Math" w:hAnsi="Cambria Math"/>
                </w:rPr>
                <m:t>Fees</m:t>
              </m:r>
            </m:e>
          </m:d>
        </m:oMath>
      </m:oMathPara>
    </w:p>
    <w:p w14:paraId="49C731FC" w14:textId="77777777" w:rsidR="00267884" w:rsidRDefault="00267884" w:rsidP="007F5AEA">
      <w:proofErr w:type="gramStart"/>
      <w:r>
        <w:t>Where</w:t>
      </w:r>
      <w:proofErr w:type="gramEnd"/>
    </w:p>
    <w:p w14:paraId="79D5692F" w14:textId="248B3E91" w:rsidR="00267884" w:rsidRPr="00310C92" w:rsidRDefault="0095150D" w:rsidP="007F5AEA">
      <w:pPr>
        <w:pStyle w:val="ListParagraph"/>
        <w:numPr>
          <w:ilvl w:val="0"/>
          <w:numId w:val="6"/>
        </w:numPr>
      </w:pPr>
      <m:oMath>
        <m:sSub>
          <m:sSubPr>
            <m:ctrlPr>
              <w:rPr>
                <w:rFonts w:ascii="Cambria Math" w:hAnsi="Cambria Math"/>
                <w:b/>
                <w:bCs/>
                <w:i/>
              </w:rPr>
            </m:ctrlPr>
          </m:sSubPr>
          <m:e>
            <m:r>
              <m:rPr>
                <m:sty m:val="bi"/>
              </m:rPr>
              <w:rPr>
                <w:rFonts w:ascii="Cambria Math" w:hAnsi="Cambria Math"/>
              </w:rPr>
              <m:t>Residual</m:t>
            </m:r>
            <m:r>
              <m:rPr>
                <m:sty m:val="bi"/>
              </m:rPr>
              <w:rPr>
                <w:rFonts w:ascii="Cambria Math" w:hAnsi="Cambria Math"/>
              </w:rPr>
              <m:t>.</m:t>
            </m:r>
            <m:r>
              <m:rPr>
                <m:sty m:val="bi"/>
              </m:rPr>
              <w:rPr>
                <w:rFonts w:ascii="Cambria Math" w:hAnsi="Cambria Math"/>
              </w:rPr>
              <m:t>Land</m:t>
            </m:r>
            <m:r>
              <m:rPr>
                <m:sty m:val="bi"/>
              </m:rPr>
              <w:rPr>
                <w:rFonts w:ascii="Cambria Math" w:hAnsi="Cambria Math"/>
              </w:rPr>
              <m:t>.</m:t>
            </m:r>
            <m:r>
              <m:rPr>
                <m:sty m:val="bi"/>
              </m:rPr>
              <w:rPr>
                <w:rFonts w:ascii="Cambria Math" w:hAnsi="Cambria Math"/>
              </w:rPr>
              <m:t>Value</m:t>
            </m:r>
          </m:e>
          <m:sub>
            <m:r>
              <m:rPr>
                <m:sty m:val="bi"/>
              </m:rPr>
              <w:rPr>
                <w:rFonts w:ascii="Cambria Math" w:hAnsi="Cambria Math"/>
              </w:rPr>
              <m:t>year</m:t>
            </m:r>
            <m:r>
              <m:rPr>
                <m:sty m:val="bi"/>
              </m:rPr>
              <w:rPr>
                <w:rFonts w:ascii="Cambria Math" w:hAnsi="Cambria Math"/>
              </w:rPr>
              <m:t>=</m:t>
            </m:r>
            <m:r>
              <m:rPr>
                <m:sty m:val="bi"/>
              </m:rPr>
              <w:rPr>
                <w:rFonts w:ascii="Cambria Math" w:hAnsi="Cambria Math"/>
              </w:rPr>
              <m:t>20</m:t>
            </m:r>
          </m:sub>
        </m:sSub>
      </m:oMath>
      <w:r w:rsidR="00267884" w:rsidRPr="005A2B2E">
        <w:t xml:space="preserve"> is</w:t>
      </w:r>
      <w:r w:rsidR="00267884">
        <w:t xml:space="preserve"> the value of the land year 20:</w:t>
      </w:r>
    </w:p>
    <w:p w14:paraId="5494584D" w14:textId="77777777" w:rsidR="00267884" w:rsidRPr="00310C92" w:rsidRDefault="0095150D" w:rsidP="007F5AEA">
      <w:pPr>
        <w:spacing w:before="300" w:after="300"/>
        <w:rPr>
          <w:rFonts w:ascii="Cambria Math" w:hAnsi="Cambria Math"/>
          <w:i/>
        </w:rPr>
      </w:pPr>
      <m:oMathPara>
        <m:oMath>
          <m:sSub>
            <m:sSubPr>
              <m:ctrlPr>
                <w:rPr>
                  <w:rFonts w:ascii="Cambria Math" w:hAnsi="Cambria Math"/>
                  <w:i/>
                </w:rPr>
              </m:ctrlPr>
            </m:sSubPr>
            <m:e>
              <m:r>
                <w:rPr>
                  <w:rFonts w:ascii="Cambria Math" w:hAnsi="Cambria Math"/>
                </w:rPr>
                <m:t>Land</m:t>
              </m:r>
              <m:r>
                <w:rPr>
                  <w:rFonts w:ascii="Cambria Math" w:hAnsi="Cambria Math"/>
                </w:rPr>
                <m:t>.</m:t>
              </m:r>
              <m:r>
                <w:rPr>
                  <w:rFonts w:ascii="Cambria Math" w:hAnsi="Cambria Math"/>
                </w:rPr>
                <m:t>Value</m:t>
              </m:r>
            </m:e>
            <m:sub>
              <m:r>
                <w:rPr>
                  <w:rFonts w:ascii="Cambria Math" w:hAnsi="Cambria Math"/>
                </w:rPr>
                <m:t>year</m:t>
              </m:r>
              <m:r>
                <w:rPr>
                  <w:rFonts w:ascii="Cambria Math" w:hAnsi="Cambria Math"/>
                </w:rPr>
                <m:t>=0</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CPI</m:t>
                  </m:r>
                </m:e>
              </m:d>
            </m:e>
            <m:sup>
              <m:r>
                <w:rPr>
                  <w:rFonts w:ascii="Cambria Math" w:hAnsi="Cambria Math"/>
                </w:rPr>
                <m:t>20</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Real</m:t>
                  </m:r>
                  <m:r>
                    <w:rPr>
                      <w:rFonts w:ascii="Cambria Math" w:hAnsi="Cambria Math"/>
                    </w:rPr>
                    <m:t>.</m:t>
                  </m:r>
                  <m:r>
                    <w:rPr>
                      <w:rFonts w:ascii="Cambria Math" w:hAnsi="Cambria Math"/>
                    </w:rPr>
                    <m:t>Land</m:t>
                  </m:r>
                  <m:r>
                    <w:rPr>
                      <w:rFonts w:ascii="Cambria Math" w:hAnsi="Cambria Math"/>
                    </w:rPr>
                    <m:t>.</m:t>
                  </m:r>
                  <m:r>
                    <w:rPr>
                      <w:rFonts w:ascii="Cambria Math" w:hAnsi="Cambria Math"/>
                    </w:rPr>
                    <m:t>Inflation</m:t>
                  </m:r>
                </m:e>
              </m:d>
            </m:e>
            <m:sup>
              <m:r>
                <w:rPr>
                  <w:rFonts w:ascii="Cambria Math" w:hAnsi="Cambria Math"/>
                </w:rPr>
                <m:t>20</m:t>
              </m:r>
            </m:sup>
          </m:sSup>
        </m:oMath>
      </m:oMathPara>
    </w:p>
    <w:p w14:paraId="0E87FD3B" w14:textId="2068E130" w:rsidR="00267884" w:rsidRPr="00310C92" w:rsidRDefault="0095150D" w:rsidP="007F5AEA">
      <w:pPr>
        <w:pStyle w:val="ListParagraph"/>
        <w:numPr>
          <w:ilvl w:val="0"/>
          <w:numId w:val="6"/>
        </w:numPr>
      </w:pPr>
      <m:oMath>
        <m:sSub>
          <m:sSubPr>
            <m:ctrlPr>
              <w:rPr>
                <w:rFonts w:ascii="Cambria Math" w:hAnsi="Cambria Math"/>
                <w:b/>
                <w:bCs/>
                <w:i/>
              </w:rPr>
            </m:ctrlPr>
          </m:sSubPr>
          <m:e>
            <m:r>
              <m:rPr>
                <m:sty m:val="bi"/>
              </m:rPr>
              <w:rPr>
                <w:rFonts w:ascii="Cambria Math" w:hAnsi="Cambria Math"/>
              </w:rPr>
              <m:t>Residual</m:t>
            </m:r>
            <m:r>
              <m:rPr>
                <m:sty m:val="bi"/>
              </m:rPr>
              <w:rPr>
                <w:rFonts w:ascii="Cambria Math" w:hAnsi="Cambria Math"/>
              </w:rPr>
              <m:t>.</m:t>
            </m:r>
            <m:r>
              <m:rPr>
                <m:sty m:val="bi"/>
              </m:rPr>
              <w:rPr>
                <w:rFonts w:ascii="Cambria Math" w:hAnsi="Cambria Math"/>
              </w:rPr>
              <m:t>Build</m:t>
            </m:r>
            <m:r>
              <m:rPr>
                <m:sty m:val="bi"/>
              </m:rPr>
              <w:rPr>
                <w:rFonts w:ascii="Cambria Math" w:hAnsi="Cambria Math"/>
              </w:rPr>
              <m:t>.</m:t>
            </m:r>
            <m:r>
              <m:rPr>
                <m:sty m:val="bi"/>
              </m:rPr>
              <w:rPr>
                <w:rFonts w:ascii="Cambria Math" w:hAnsi="Cambria Math"/>
              </w:rPr>
              <m:t>Value</m:t>
            </m:r>
          </m:e>
          <m:sub>
            <m:r>
              <m:rPr>
                <m:sty m:val="bi"/>
              </m:rPr>
              <w:rPr>
                <w:rFonts w:ascii="Cambria Math" w:hAnsi="Cambria Math"/>
              </w:rPr>
              <m:t>year</m:t>
            </m:r>
            <m:r>
              <m:rPr>
                <m:sty m:val="bi"/>
              </m:rPr>
              <w:rPr>
                <w:rFonts w:ascii="Cambria Math" w:hAnsi="Cambria Math"/>
              </w:rPr>
              <m:t>=</m:t>
            </m:r>
            <m:r>
              <m:rPr>
                <m:sty m:val="bi"/>
              </m:rPr>
              <w:rPr>
                <w:rFonts w:ascii="Cambria Math" w:hAnsi="Cambria Math"/>
              </w:rPr>
              <m:t>20</m:t>
            </m:r>
          </m:sub>
        </m:sSub>
      </m:oMath>
      <w:r w:rsidR="00267884" w:rsidRPr="005A2B2E">
        <w:t xml:space="preserve"> is</w:t>
      </w:r>
      <w:r w:rsidR="00267884">
        <w:t xml:space="preserve"> the </w:t>
      </w:r>
      <w:r w:rsidR="001C3602">
        <w:t xml:space="preserve">estimated </w:t>
      </w:r>
      <w:r w:rsidR="00267884">
        <w:t xml:space="preserve">value of the building </w:t>
      </w:r>
      <w:r w:rsidR="001C3602">
        <w:t xml:space="preserve">in the general real estate market </w:t>
      </w:r>
      <w:r w:rsidR="00267884">
        <w:t>at year 20</w:t>
      </w:r>
      <w:r w:rsidR="001C3602">
        <w:t xml:space="preserve"> and is equal to:</w:t>
      </w:r>
    </w:p>
    <w:p w14:paraId="359E9FB5" w14:textId="3F75365E" w:rsidR="00267884" w:rsidRPr="00310C92" w:rsidRDefault="0095150D" w:rsidP="007F5AEA">
      <w:pPr>
        <w:spacing w:before="300" w:after="300"/>
        <w:rPr>
          <w:rFonts w:ascii="Cambria Math" w:hAnsi="Cambria Math"/>
          <w:i/>
        </w:rPr>
      </w:pPr>
      <m:oMathPara>
        <m:oMath>
          <m:sSub>
            <m:sSubPr>
              <m:ctrlPr>
                <w:rPr>
                  <w:rFonts w:ascii="Cambria Math" w:hAnsi="Cambria Math"/>
                  <w:i/>
                </w:rPr>
              </m:ctrlPr>
            </m:sSubPr>
            <m:e>
              <m:r>
                <w:rPr>
                  <w:rFonts w:ascii="Cambria Math" w:hAnsi="Cambria Math"/>
                </w:rPr>
                <m:t>Adjusted</m:t>
              </m:r>
              <m:r>
                <w:rPr>
                  <w:rFonts w:ascii="Cambria Math" w:hAnsi="Cambria Math"/>
                </w:rPr>
                <m:t>.</m:t>
              </m:r>
              <m:r>
                <w:rPr>
                  <w:rFonts w:ascii="Cambria Math" w:hAnsi="Cambria Math"/>
                </w:rPr>
                <m:t>Build</m:t>
              </m:r>
              <m:r>
                <w:rPr>
                  <w:rFonts w:ascii="Cambria Math" w:hAnsi="Cambria Math"/>
                </w:rPr>
                <m:t>.</m:t>
              </m:r>
              <m:r>
                <w:rPr>
                  <w:rFonts w:ascii="Cambria Math" w:hAnsi="Cambria Math"/>
                </w:rPr>
                <m:t>Value</m:t>
              </m:r>
            </m:e>
            <m:sub>
              <m:r>
                <w:rPr>
                  <w:rFonts w:ascii="Cambria Math" w:hAnsi="Cambria Math"/>
                </w:rPr>
                <m:t>year</m:t>
              </m:r>
              <m:r>
                <w:rPr>
                  <w:rFonts w:ascii="Cambria Math" w:hAnsi="Cambria Math"/>
                </w:rPr>
                <m:t>=0</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CPI</m:t>
                  </m:r>
                </m:e>
              </m:d>
            </m:e>
            <m:sup>
              <m:r>
                <w:rPr>
                  <w:rFonts w:ascii="Cambria Math" w:hAnsi="Cambria Math"/>
                </w:rPr>
                <m:t>20</m:t>
              </m:r>
            </m:sup>
          </m:sSup>
          <m:r>
            <w:rPr>
              <w:rFonts w:ascii="Cambria Math" w:hAnsi="Cambria Math"/>
            </w:rPr>
            <m:t>*</m:t>
          </m:r>
          <m:f>
            <m:fPr>
              <m:ctrlPr>
                <w:rPr>
                  <w:rFonts w:ascii="Cambria Math" w:hAnsi="Cambria Math"/>
                  <w:i/>
                </w:rPr>
              </m:ctrlPr>
            </m:fPr>
            <m:num>
              <m:r>
                <w:rPr>
                  <w:rFonts w:ascii="Cambria Math" w:hAnsi="Cambria Math"/>
                </w:rPr>
                <m:t>Us</m:t>
              </m:r>
              <m:r>
                <w:rPr>
                  <w:rFonts w:ascii="Cambria Math" w:hAnsi="Cambria Math"/>
                </w:rPr>
                <m:t>eful</m:t>
              </m:r>
              <m:r>
                <w:rPr>
                  <w:rFonts w:ascii="Cambria Math" w:hAnsi="Cambria Math"/>
                </w:rPr>
                <m:t>.</m:t>
              </m:r>
              <m:r>
                <w:rPr>
                  <w:rFonts w:ascii="Cambria Math" w:hAnsi="Cambria Math"/>
                </w:rPr>
                <m:t>Life</m:t>
              </m:r>
              <m:r>
                <w:rPr>
                  <w:rFonts w:ascii="Cambria Math" w:hAnsi="Cambria Math"/>
                </w:rPr>
                <m:t>-</m:t>
              </m:r>
              <m:r>
                <w:rPr>
                  <w:rFonts w:ascii="Cambria Math" w:hAnsi="Cambria Math"/>
                </w:rPr>
                <m:t>20</m:t>
              </m:r>
            </m:num>
            <m:den>
              <m:r>
                <w:rPr>
                  <w:rFonts w:ascii="Cambria Math" w:hAnsi="Cambria Math"/>
                </w:rPr>
                <m:t>Useful</m:t>
              </m:r>
              <m:r>
                <w:rPr>
                  <w:rFonts w:ascii="Cambria Math" w:hAnsi="Cambria Math"/>
                </w:rPr>
                <m:t>.</m:t>
              </m:r>
              <m:r>
                <w:rPr>
                  <w:rFonts w:ascii="Cambria Math" w:hAnsi="Cambria Math"/>
                </w:rPr>
                <m:t>Life</m:t>
              </m:r>
            </m:den>
          </m:f>
          <m:r>
            <w:rPr>
              <w:rFonts w:ascii="Cambria Math" w:hAnsi="Cambria Math"/>
            </w:rPr>
            <m:t>*</m:t>
          </m:r>
          <m:d>
            <m:dPr>
              <m:begChr m:val="["/>
              <m:endChr m:val="]"/>
              <m:ctrlPr>
                <w:rPr>
                  <w:rFonts w:ascii="Cambria Math" w:hAnsi="Cambria Math"/>
                  <w:i/>
                </w:rPr>
              </m:ctrlPr>
            </m:dPr>
            <m:e>
              <m:r>
                <w:rPr>
                  <w:rFonts w:ascii="Cambria Math" w:hAnsi="Cambria Math"/>
                </w:rPr>
                <m:t>1-</m:t>
              </m:r>
              <m:r>
                <w:rPr>
                  <w:rFonts w:ascii="Cambria Math" w:hAnsi="Cambria Math"/>
                </w:rPr>
                <m:t>Value</m:t>
              </m:r>
              <m:r>
                <w:rPr>
                  <w:rFonts w:ascii="Cambria Math" w:hAnsi="Cambria Math"/>
                </w:rPr>
                <m:t>.</m:t>
              </m:r>
              <m:r>
                <w:rPr>
                  <w:rFonts w:ascii="Cambria Math" w:hAnsi="Cambria Math"/>
                </w:rPr>
                <m:t>Loss</m:t>
              </m:r>
            </m:e>
          </m:d>
        </m:oMath>
      </m:oMathPara>
    </w:p>
    <w:p w14:paraId="639CA5A3" w14:textId="75BF0A17" w:rsidR="001C3602" w:rsidRPr="001C3602" w:rsidRDefault="0095150D" w:rsidP="001C3602">
      <w:pPr>
        <w:pStyle w:val="ListParagraph"/>
        <w:numPr>
          <w:ilvl w:val="0"/>
          <w:numId w:val="6"/>
        </w:numPr>
      </w:pPr>
      <m:oMath>
        <m:sSub>
          <m:sSubPr>
            <m:ctrlPr>
              <w:rPr>
                <w:rFonts w:ascii="Cambria Math" w:hAnsi="Cambria Math"/>
                <w:b/>
                <w:bCs/>
                <w:i/>
              </w:rPr>
            </m:ctrlPr>
          </m:sSubPr>
          <m:e>
            <m:r>
              <m:rPr>
                <m:sty m:val="bi"/>
              </m:rPr>
              <w:rPr>
                <w:rFonts w:ascii="Cambria Math" w:hAnsi="Cambria Math"/>
              </w:rPr>
              <m:t>Adjusted</m:t>
            </m:r>
            <m:r>
              <m:rPr>
                <m:sty m:val="bi"/>
              </m:rPr>
              <w:rPr>
                <w:rFonts w:ascii="Cambria Math" w:hAnsi="Cambria Math"/>
              </w:rPr>
              <m:t>.</m:t>
            </m:r>
            <m:r>
              <m:rPr>
                <m:sty m:val="bi"/>
              </m:rPr>
              <w:rPr>
                <w:rFonts w:ascii="Cambria Math" w:hAnsi="Cambria Math"/>
              </w:rPr>
              <m:t>Build</m:t>
            </m:r>
            <m:r>
              <m:rPr>
                <m:sty m:val="bi"/>
              </m:rPr>
              <w:rPr>
                <w:rFonts w:ascii="Cambria Math" w:hAnsi="Cambria Math"/>
              </w:rPr>
              <m:t>.</m:t>
            </m:r>
            <m:r>
              <m:rPr>
                <m:sty m:val="bi"/>
              </m:rPr>
              <w:rPr>
                <w:rFonts w:ascii="Cambria Math" w:hAnsi="Cambria Math"/>
              </w:rPr>
              <m:t>Value</m:t>
            </m:r>
          </m:e>
          <m:sub>
            <m:r>
              <m:rPr>
                <m:sty m:val="bi"/>
              </m:rPr>
              <w:rPr>
                <w:rFonts w:ascii="Cambria Math" w:hAnsi="Cambria Math"/>
              </w:rPr>
              <m:t>year</m:t>
            </m:r>
            <m:r>
              <m:rPr>
                <m:sty m:val="bi"/>
              </m:rPr>
              <w:rPr>
                <w:rFonts w:ascii="Cambria Math" w:hAnsi="Cambria Math"/>
              </w:rPr>
              <m:t>=</m:t>
            </m:r>
            <m:r>
              <m:rPr>
                <m:sty m:val="bi"/>
              </m:rPr>
              <w:rPr>
                <w:rFonts w:ascii="Cambria Math" w:hAnsi="Cambria Math"/>
              </w:rPr>
              <m:t>0</m:t>
            </m:r>
          </m:sub>
        </m:sSub>
      </m:oMath>
      <w:r w:rsidR="001C3602" w:rsidRPr="005A2B2E">
        <w:t xml:space="preserve"> is</w:t>
      </w:r>
      <w:r w:rsidR="001C3602">
        <w:t xml:space="preserve"> equal to the standard </w:t>
      </w:r>
      <m:oMath>
        <m:sSub>
          <m:sSubPr>
            <m:ctrlPr>
              <w:rPr>
                <w:rFonts w:ascii="Cambria Math" w:hAnsi="Cambria Math"/>
                <w:b/>
                <w:bCs/>
                <w:i/>
              </w:rPr>
            </m:ctrlPr>
          </m:sSubPr>
          <m:e>
            <m:r>
              <m:rPr>
                <m:sty m:val="bi"/>
              </m:rPr>
              <w:rPr>
                <w:rFonts w:ascii="Cambria Math" w:hAnsi="Cambria Math"/>
              </w:rPr>
              <m:t>Build</m:t>
            </m:r>
            <m:r>
              <m:rPr>
                <m:sty m:val="bi"/>
              </m:rPr>
              <w:rPr>
                <w:rFonts w:ascii="Cambria Math" w:hAnsi="Cambria Math"/>
              </w:rPr>
              <m:t>.</m:t>
            </m:r>
            <m:r>
              <m:rPr>
                <m:sty m:val="bi"/>
              </m:rPr>
              <w:rPr>
                <w:rFonts w:ascii="Cambria Math" w:hAnsi="Cambria Math"/>
              </w:rPr>
              <m:t>Value</m:t>
            </m:r>
          </m:e>
          <m:sub>
            <m:r>
              <m:rPr>
                <m:sty m:val="bi"/>
              </m:rPr>
              <w:rPr>
                <w:rFonts w:ascii="Cambria Math" w:hAnsi="Cambria Math"/>
              </w:rPr>
              <m:t>year</m:t>
            </m:r>
            <m:r>
              <m:rPr>
                <m:sty m:val="bi"/>
              </m:rPr>
              <w:rPr>
                <w:rFonts w:ascii="Cambria Math" w:hAnsi="Cambria Math"/>
              </w:rPr>
              <m:t>=</m:t>
            </m:r>
            <m:r>
              <m:rPr>
                <m:sty m:val="bi"/>
              </m:rPr>
              <w:rPr>
                <w:rFonts w:ascii="Cambria Math" w:hAnsi="Cambria Math"/>
              </w:rPr>
              <m:t>0</m:t>
            </m:r>
          </m:sub>
        </m:sSub>
      </m:oMath>
      <w:r w:rsidR="001C3602">
        <w:t xml:space="preserve"> for dwellings that are in the Improved Liveability Design Category. For all other dwellings it is equal to the standard </w:t>
      </w:r>
      <m:oMath>
        <m:sSub>
          <m:sSubPr>
            <m:ctrlPr>
              <w:rPr>
                <w:rFonts w:ascii="Cambria Math" w:hAnsi="Cambria Math"/>
                <w:b/>
                <w:bCs/>
                <w:i/>
              </w:rPr>
            </m:ctrlPr>
          </m:sSubPr>
          <m:e>
            <m:r>
              <m:rPr>
                <m:sty m:val="bi"/>
              </m:rPr>
              <w:rPr>
                <w:rFonts w:ascii="Cambria Math" w:hAnsi="Cambria Math"/>
              </w:rPr>
              <m:t>Build</m:t>
            </m:r>
            <m:r>
              <m:rPr>
                <m:sty m:val="bi"/>
              </m:rPr>
              <w:rPr>
                <w:rFonts w:ascii="Cambria Math" w:hAnsi="Cambria Math"/>
              </w:rPr>
              <m:t>.</m:t>
            </m:r>
            <m:r>
              <m:rPr>
                <m:sty m:val="bi"/>
              </m:rPr>
              <w:rPr>
                <w:rFonts w:ascii="Cambria Math" w:hAnsi="Cambria Math"/>
              </w:rPr>
              <m:t>Value</m:t>
            </m:r>
          </m:e>
          <m:sub>
            <m:r>
              <m:rPr>
                <m:sty m:val="bi"/>
              </m:rPr>
              <w:rPr>
                <w:rFonts w:ascii="Cambria Math" w:hAnsi="Cambria Math"/>
              </w:rPr>
              <m:t>year</m:t>
            </m:r>
            <m:r>
              <m:rPr>
                <m:sty m:val="bi"/>
              </m:rPr>
              <w:rPr>
                <w:rFonts w:ascii="Cambria Math" w:hAnsi="Cambria Math"/>
              </w:rPr>
              <m:t>=</m:t>
            </m:r>
            <m:r>
              <m:rPr>
                <m:sty m:val="bi"/>
              </m:rPr>
              <w:rPr>
                <w:rFonts w:ascii="Cambria Math" w:hAnsi="Cambria Math"/>
              </w:rPr>
              <m:t>0</m:t>
            </m:r>
          </m:sub>
        </m:sSub>
      </m:oMath>
      <w:r w:rsidR="001C3602">
        <w:t xml:space="preserve"> for the equivalent dwelling in the Fully Accessible Design Category.</w:t>
      </w:r>
    </w:p>
    <w:p w14:paraId="656848D4" w14:textId="36691F99" w:rsidR="00267884" w:rsidRPr="00CC51BD" w:rsidRDefault="001C3602" w:rsidP="007F5AEA">
      <w:pPr>
        <w:pStyle w:val="ListParagraph"/>
        <w:numPr>
          <w:ilvl w:val="0"/>
          <w:numId w:val="6"/>
        </w:numPr>
      </w:pPr>
      <m:oMath>
        <m:r>
          <m:rPr>
            <m:sty m:val="bi"/>
          </m:rPr>
          <w:rPr>
            <w:rFonts w:ascii="Cambria Math" w:hAnsi="Cambria Math"/>
          </w:rPr>
          <m:t>Fees</m:t>
        </m:r>
        <m:r>
          <w:rPr>
            <w:rFonts w:ascii="Cambria Math" w:hAnsi="Cambria Math"/>
          </w:rPr>
          <m:t xml:space="preserve"> </m:t>
        </m:r>
      </m:oMath>
      <w:r w:rsidR="00267884" w:rsidRPr="00CC51BD">
        <w:t xml:space="preserve">are the fees on the sale of the property as a share of the sale price and are </w:t>
      </w:r>
      <w:r w:rsidR="00685A2C">
        <w:t xml:space="preserve">currently </w:t>
      </w:r>
      <w:r w:rsidR="00267884" w:rsidRPr="00CC51BD">
        <w:t>assumed to be 7.3%.</w:t>
      </w:r>
    </w:p>
    <w:p w14:paraId="6CBED337" w14:textId="175B6E50" w:rsidR="00267884" w:rsidRPr="00CC51BD" w:rsidRDefault="001C3602" w:rsidP="007F5AEA">
      <w:pPr>
        <w:pStyle w:val="ListParagraph"/>
        <w:numPr>
          <w:ilvl w:val="0"/>
          <w:numId w:val="6"/>
        </w:numPr>
      </w:pPr>
      <m:oMath>
        <m:r>
          <m:rPr>
            <m:sty m:val="bi"/>
          </m:rPr>
          <w:rPr>
            <w:rFonts w:ascii="Cambria Math" w:hAnsi="Cambria Math"/>
          </w:rPr>
          <m:t>CPI</m:t>
        </m:r>
        <m:r>
          <w:rPr>
            <w:rFonts w:ascii="Cambria Math" w:hAnsi="Cambria Math"/>
          </w:rPr>
          <m:t xml:space="preserve"> </m:t>
        </m:r>
      </m:oMath>
      <w:r w:rsidR="00267884" w:rsidRPr="00CC51BD">
        <w:t xml:space="preserve">is </w:t>
      </w:r>
      <w:r w:rsidR="00685A2C">
        <w:t xml:space="preserve">currently </w:t>
      </w:r>
      <w:r w:rsidR="00267884" w:rsidRPr="00CC51BD">
        <w:t>assumed to be 2.5% each year</w:t>
      </w:r>
    </w:p>
    <w:p w14:paraId="6FB9DBE4" w14:textId="2B7B33F9" w:rsidR="00267884" w:rsidRPr="00CC51BD" w:rsidRDefault="00685A2C" w:rsidP="007F5AEA">
      <w:pPr>
        <w:pStyle w:val="ListParagraph"/>
        <w:numPr>
          <w:ilvl w:val="0"/>
          <w:numId w:val="6"/>
        </w:numPr>
      </w:pPr>
      <m:oMath>
        <m:r>
          <m:rPr>
            <m:sty m:val="bi"/>
          </m:rPr>
          <w:rPr>
            <w:rFonts w:ascii="Cambria Math" w:hAnsi="Cambria Math"/>
          </w:rPr>
          <m:t>Real.Land.Inflation</m:t>
        </m:r>
        <m:r>
          <w:rPr>
            <w:rFonts w:ascii="Cambria Math" w:hAnsi="Cambria Math"/>
          </w:rPr>
          <m:t xml:space="preserve"> </m:t>
        </m:r>
      </m:oMath>
      <w:r w:rsidR="00267884" w:rsidRPr="00CC51BD">
        <w:t xml:space="preserve">is </w:t>
      </w:r>
      <w:r>
        <w:t xml:space="preserve">currently </w:t>
      </w:r>
      <w:r w:rsidR="00267884" w:rsidRPr="00CC51BD">
        <w:t>assumed to be 2.4% each year</w:t>
      </w:r>
    </w:p>
    <w:p w14:paraId="48359DDB" w14:textId="1B42DE55" w:rsidR="00267884" w:rsidRPr="00CC51BD" w:rsidRDefault="001C3602" w:rsidP="007F5AEA">
      <w:pPr>
        <w:pStyle w:val="ListParagraph"/>
        <w:numPr>
          <w:ilvl w:val="0"/>
          <w:numId w:val="6"/>
        </w:numPr>
      </w:pPr>
      <m:oMath>
        <m:r>
          <m:rPr>
            <m:sty m:val="bi"/>
          </m:rPr>
          <w:rPr>
            <w:rFonts w:ascii="Cambria Math" w:hAnsi="Cambria Math"/>
          </w:rPr>
          <m:t>Useful.Life</m:t>
        </m:r>
        <m:r>
          <w:rPr>
            <w:rFonts w:ascii="Cambria Math" w:hAnsi="Cambria Math"/>
          </w:rPr>
          <m:t xml:space="preserve"> </m:t>
        </m:r>
      </m:oMath>
      <w:r w:rsidR="00267884" w:rsidRPr="00CC51BD">
        <w:t xml:space="preserve">is </w:t>
      </w:r>
      <w:r w:rsidR="00685A2C">
        <w:t xml:space="preserve">currently </w:t>
      </w:r>
      <w:r w:rsidR="00267884" w:rsidRPr="00CC51BD">
        <w:t>assumed to be 60 years.</w:t>
      </w:r>
    </w:p>
    <w:p w14:paraId="4BF5C747" w14:textId="0F6B8660" w:rsidR="00267884" w:rsidRDefault="001C3602" w:rsidP="007F5AEA">
      <w:pPr>
        <w:pStyle w:val="ListParagraph"/>
        <w:numPr>
          <w:ilvl w:val="0"/>
          <w:numId w:val="6"/>
        </w:numPr>
      </w:pPr>
      <m:oMath>
        <m:r>
          <m:rPr>
            <m:sty m:val="bi"/>
          </m:rPr>
          <w:rPr>
            <w:rFonts w:ascii="Cambria Math" w:hAnsi="Cambria Math"/>
          </w:rPr>
          <m:t>Value.Loss</m:t>
        </m:r>
        <m:r>
          <w:rPr>
            <w:rFonts w:ascii="Cambria Math" w:hAnsi="Cambria Math"/>
          </w:rPr>
          <m:t xml:space="preserve"> </m:t>
        </m:r>
      </m:oMath>
      <w:r w:rsidR="00267884">
        <w:t>is loss in value on sale because of change in use</w:t>
      </w:r>
      <w:r w:rsidR="00685A2C">
        <w:t xml:space="preserve">. The current assumptions are set out in </w:t>
      </w:r>
      <w:r w:rsidR="00267884">
        <w:fldChar w:fldCharType="begin"/>
      </w:r>
      <w:r w:rsidR="00267884">
        <w:instrText xml:space="preserve"> REF _Ref102142935 \h </w:instrText>
      </w:r>
      <w:r w:rsidR="00267884">
        <w:fldChar w:fldCharType="separate"/>
      </w:r>
      <w:r w:rsidR="00765987" w:rsidRPr="00392B76">
        <w:t xml:space="preserve">Table </w:t>
      </w:r>
      <w:r w:rsidR="00765987">
        <w:rPr>
          <w:noProof/>
        </w:rPr>
        <w:t>14</w:t>
      </w:r>
      <w:r w:rsidR="00267884">
        <w:fldChar w:fldCharType="end"/>
      </w:r>
      <w:r w:rsidR="00685A2C">
        <w:t>.</w:t>
      </w:r>
    </w:p>
    <w:p w14:paraId="2EEADE23" w14:textId="16E460CF" w:rsidR="00267884" w:rsidRPr="00392B76" w:rsidRDefault="00267884" w:rsidP="007F5AEA">
      <w:pPr>
        <w:pStyle w:val="Caption"/>
        <w:spacing w:before="120"/>
      </w:pPr>
      <w:bookmarkStart w:id="41" w:name="_Ref102142935"/>
      <w:r w:rsidRPr="00392B76">
        <w:t xml:space="preserve">Table </w:t>
      </w:r>
      <w:r w:rsidR="0095150D">
        <w:fldChar w:fldCharType="begin"/>
      </w:r>
      <w:r w:rsidR="0095150D">
        <w:instrText xml:space="preserve"> SEQ Table \* ARABIC </w:instrText>
      </w:r>
      <w:r w:rsidR="0095150D">
        <w:fldChar w:fldCharType="separate"/>
      </w:r>
      <w:r w:rsidR="00765987">
        <w:rPr>
          <w:noProof/>
        </w:rPr>
        <w:t>14</w:t>
      </w:r>
      <w:r w:rsidR="0095150D">
        <w:rPr>
          <w:noProof/>
        </w:rPr>
        <w:fldChar w:fldCharType="end"/>
      </w:r>
      <w:bookmarkEnd w:id="41"/>
      <w:r w:rsidRPr="00392B76">
        <w:t xml:space="preserve">: </w:t>
      </w:r>
      <w:r>
        <w:t>Building Value Loss on Sale</w:t>
      </w:r>
    </w:p>
    <w:tbl>
      <w:tblPr>
        <w:tblStyle w:val="GridTable4"/>
        <w:tblW w:w="3121" w:type="pct"/>
        <w:tblInd w:w="1692" w:type="dxa"/>
        <w:tblLook w:val="0420" w:firstRow="1" w:lastRow="0" w:firstColumn="0" w:lastColumn="0" w:noHBand="0" w:noVBand="1"/>
      </w:tblPr>
      <w:tblGrid>
        <w:gridCol w:w="2657"/>
        <w:gridCol w:w="1486"/>
        <w:gridCol w:w="1485"/>
      </w:tblGrid>
      <w:tr w:rsidR="00267884" w:rsidRPr="004B2A97" w14:paraId="684CBBEE" w14:textId="77777777" w:rsidTr="00B26383">
        <w:trPr>
          <w:cnfStyle w:val="100000000000" w:firstRow="1" w:lastRow="0" w:firstColumn="0" w:lastColumn="0" w:oddVBand="0" w:evenVBand="0" w:oddHBand="0" w:evenHBand="0" w:firstRowFirstColumn="0" w:firstRowLastColumn="0" w:lastRowFirstColumn="0" w:lastRowLastColumn="0"/>
        </w:trPr>
        <w:tc>
          <w:tcPr>
            <w:tcW w:w="2361" w:type="pct"/>
            <w:hideMark/>
          </w:tcPr>
          <w:p w14:paraId="0358BB69" w14:textId="77777777" w:rsidR="00267884" w:rsidRPr="004B2A97" w:rsidRDefault="00267884" w:rsidP="007F5AEA">
            <w:pPr>
              <w:spacing w:line="200" w:lineRule="atLeast"/>
              <w:rPr>
                <w:rFonts w:eastAsia="Times New Roman" w:cstheme="minorHAnsi"/>
                <w:szCs w:val="16"/>
                <w:lang w:eastAsia="en-AU"/>
              </w:rPr>
            </w:pPr>
            <w:r w:rsidRPr="004B2A97">
              <w:rPr>
                <w:rFonts w:eastAsia="Times New Roman" w:cstheme="minorHAnsi"/>
                <w:szCs w:val="16"/>
                <w:lang w:eastAsia="en-AU"/>
              </w:rPr>
              <w:t>Building Type</w:t>
            </w:r>
          </w:p>
        </w:tc>
        <w:tc>
          <w:tcPr>
            <w:tcW w:w="1320" w:type="pct"/>
          </w:tcPr>
          <w:p w14:paraId="7E1A64B0" w14:textId="77777777" w:rsidR="00267884" w:rsidRDefault="00267884" w:rsidP="00130F86">
            <w:pPr>
              <w:spacing w:line="200" w:lineRule="atLeast"/>
              <w:jc w:val="center"/>
              <w:rPr>
                <w:rFonts w:eastAsia="Times New Roman" w:cstheme="minorHAnsi"/>
                <w:szCs w:val="16"/>
                <w:lang w:eastAsia="en-AU"/>
              </w:rPr>
            </w:pPr>
            <w:r>
              <w:rPr>
                <w:rFonts w:eastAsia="Times New Roman" w:cstheme="minorHAnsi"/>
                <w:szCs w:val="16"/>
                <w:lang w:eastAsia="en-AU"/>
              </w:rPr>
              <w:t>Bedrooms</w:t>
            </w:r>
          </w:p>
        </w:tc>
        <w:tc>
          <w:tcPr>
            <w:tcW w:w="1319" w:type="pct"/>
            <w:noWrap/>
            <w:hideMark/>
          </w:tcPr>
          <w:p w14:paraId="5595A0F5" w14:textId="77777777" w:rsidR="00267884" w:rsidRPr="004B2A97" w:rsidRDefault="00267884" w:rsidP="00130F86">
            <w:pPr>
              <w:spacing w:line="200" w:lineRule="atLeast"/>
              <w:jc w:val="center"/>
              <w:rPr>
                <w:rFonts w:eastAsia="Times New Roman" w:cstheme="minorHAnsi"/>
                <w:szCs w:val="16"/>
                <w:lang w:eastAsia="en-AU"/>
              </w:rPr>
            </w:pPr>
            <w:r>
              <w:rPr>
                <w:rFonts w:eastAsia="Times New Roman" w:cstheme="minorHAnsi"/>
                <w:szCs w:val="16"/>
                <w:lang w:eastAsia="en-AU"/>
              </w:rPr>
              <w:t>Loss</w:t>
            </w:r>
          </w:p>
        </w:tc>
      </w:tr>
      <w:tr w:rsidR="00267884" w:rsidRPr="00BA1D10" w14:paraId="3E1419A7" w14:textId="77777777" w:rsidTr="00B26383">
        <w:trPr>
          <w:cnfStyle w:val="000000100000" w:firstRow="0" w:lastRow="0" w:firstColumn="0" w:lastColumn="0" w:oddVBand="0" w:evenVBand="0" w:oddHBand="1" w:evenHBand="0" w:firstRowFirstColumn="0" w:firstRowLastColumn="0" w:lastRowFirstColumn="0" w:lastRowLastColumn="0"/>
        </w:trPr>
        <w:tc>
          <w:tcPr>
            <w:tcW w:w="2361" w:type="pct"/>
            <w:noWrap/>
            <w:hideMark/>
          </w:tcPr>
          <w:p w14:paraId="62D28D00" w14:textId="77777777" w:rsidR="00267884" w:rsidRPr="004B2A97" w:rsidRDefault="00267884"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320" w:type="pct"/>
          </w:tcPr>
          <w:p w14:paraId="42781649" w14:textId="77777777" w:rsidR="00267884" w:rsidRPr="00735DDE" w:rsidRDefault="00267884" w:rsidP="00130F86">
            <w:pPr>
              <w:spacing w:before="0" w:after="0" w:line="240" w:lineRule="auto"/>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w:t>
            </w:r>
          </w:p>
        </w:tc>
        <w:tc>
          <w:tcPr>
            <w:tcW w:w="1319" w:type="pct"/>
            <w:noWrap/>
            <w:hideMark/>
          </w:tcPr>
          <w:p w14:paraId="13FBCDD5" w14:textId="77777777" w:rsidR="00267884" w:rsidRPr="00CC51BD" w:rsidRDefault="00267884"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20%</w:t>
            </w:r>
          </w:p>
        </w:tc>
      </w:tr>
      <w:tr w:rsidR="00267884" w:rsidRPr="00BA1D10" w14:paraId="74491658" w14:textId="77777777" w:rsidTr="00B26383">
        <w:tc>
          <w:tcPr>
            <w:tcW w:w="2361" w:type="pct"/>
            <w:noWrap/>
            <w:hideMark/>
          </w:tcPr>
          <w:p w14:paraId="2428FB21" w14:textId="77777777" w:rsidR="00267884" w:rsidRPr="004B2A97" w:rsidRDefault="00267884"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320" w:type="pct"/>
          </w:tcPr>
          <w:p w14:paraId="5336E433" w14:textId="77777777" w:rsidR="00267884" w:rsidRPr="00735DDE" w:rsidRDefault="00267884" w:rsidP="00130F86">
            <w:pPr>
              <w:spacing w:before="0" w:after="0" w:line="240" w:lineRule="auto"/>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w:t>
            </w:r>
          </w:p>
        </w:tc>
        <w:tc>
          <w:tcPr>
            <w:tcW w:w="1319" w:type="pct"/>
            <w:noWrap/>
            <w:hideMark/>
          </w:tcPr>
          <w:p w14:paraId="7BDD4FBE" w14:textId="77777777" w:rsidR="00267884" w:rsidRPr="00CC51BD" w:rsidRDefault="00267884"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20%</w:t>
            </w:r>
          </w:p>
        </w:tc>
      </w:tr>
      <w:tr w:rsidR="00267884" w:rsidRPr="00BA1D10" w14:paraId="7739D265" w14:textId="77777777" w:rsidTr="00B26383">
        <w:trPr>
          <w:cnfStyle w:val="000000100000" w:firstRow="0" w:lastRow="0" w:firstColumn="0" w:lastColumn="0" w:oddVBand="0" w:evenVBand="0" w:oddHBand="1" w:evenHBand="0" w:firstRowFirstColumn="0" w:firstRowLastColumn="0" w:lastRowFirstColumn="0" w:lastRowLastColumn="0"/>
        </w:trPr>
        <w:tc>
          <w:tcPr>
            <w:tcW w:w="2361" w:type="pct"/>
            <w:noWrap/>
            <w:hideMark/>
          </w:tcPr>
          <w:p w14:paraId="32EB2495" w14:textId="77777777" w:rsidR="00267884" w:rsidRPr="004B2A97" w:rsidRDefault="00267884"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320" w:type="pct"/>
          </w:tcPr>
          <w:p w14:paraId="01E7304A" w14:textId="77777777" w:rsidR="00267884" w:rsidRPr="00735DDE" w:rsidRDefault="00267884" w:rsidP="00130F86">
            <w:pPr>
              <w:spacing w:before="0" w:after="0" w:line="240" w:lineRule="auto"/>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w:t>
            </w:r>
          </w:p>
        </w:tc>
        <w:tc>
          <w:tcPr>
            <w:tcW w:w="1319" w:type="pct"/>
            <w:noWrap/>
            <w:hideMark/>
          </w:tcPr>
          <w:p w14:paraId="1D34374A" w14:textId="77777777" w:rsidR="00267884" w:rsidRPr="00CC51BD" w:rsidRDefault="00267884"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20%</w:t>
            </w:r>
          </w:p>
        </w:tc>
      </w:tr>
      <w:tr w:rsidR="00267884" w:rsidRPr="00BA1D10" w14:paraId="12837B8B" w14:textId="77777777" w:rsidTr="00B26383">
        <w:tc>
          <w:tcPr>
            <w:tcW w:w="2361" w:type="pct"/>
            <w:noWrap/>
            <w:hideMark/>
          </w:tcPr>
          <w:p w14:paraId="00496C99" w14:textId="77777777" w:rsidR="00267884" w:rsidRPr="004B2A97" w:rsidRDefault="00267884"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320" w:type="pct"/>
          </w:tcPr>
          <w:p w14:paraId="1BD7DF75" w14:textId="77777777" w:rsidR="00267884" w:rsidRPr="00735DDE" w:rsidRDefault="00267884" w:rsidP="00130F86">
            <w:pPr>
              <w:spacing w:before="0" w:after="0" w:line="240" w:lineRule="auto"/>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w:t>
            </w:r>
          </w:p>
        </w:tc>
        <w:tc>
          <w:tcPr>
            <w:tcW w:w="1319" w:type="pct"/>
            <w:noWrap/>
            <w:hideMark/>
          </w:tcPr>
          <w:p w14:paraId="43A455FC" w14:textId="77777777" w:rsidR="00267884" w:rsidRPr="00CC51BD" w:rsidRDefault="00267884"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40%</w:t>
            </w:r>
          </w:p>
        </w:tc>
      </w:tr>
      <w:tr w:rsidR="00267884" w:rsidRPr="00BA1D10" w14:paraId="6F885A7F" w14:textId="77777777" w:rsidTr="00B26383">
        <w:trPr>
          <w:cnfStyle w:val="000000100000" w:firstRow="0" w:lastRow="0" w:firstColumn="0" w:lastColumn="0" w:oddVBand="0" w:evenVBand="0" w:oddHBand="1" w:evenHBand="0" w:firstRowFirstColumn="0" w:firstRowLastColumn="0" w:lastRowFirstColumn="0" w:lastRowLastColumn="0"/>
        </w:trPr>
        <w:tc>
          <w:tcPr>
            <w:tcW w:w="2361" w:type="pct"/>
            <w:noWrap/>
            <w:hideMark/>
          </w:tcPr>
          <w:p w14:paraId="5927328D" w14:textId="77777777" w:rsidR="00267884" w:rsidRPr="004B2A97" w:rsidRDefault="00267884"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320" w:type="pct"/>
          </w:tcPr>
          <w:p w14:paraId="4FCB27C2" w14:textId="77777777" w:rsidR="00267884" w:rsidRPr="00735DDE" w:rsidRDefault="00267884" w:rsidP="00130F86">
            <w:pPr>
              <w:spacing w:before="0" w:after="0" w:line="240" w:lineRule="auto"/>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w:t>
            </w:r>
          </w:p>
        </w:tc>
        <w:tc>
          <w:tcPr>
            <w:tcW w:w="1319" w:type="pct"/>
            <w:noWrap/>
            <w:hideMark/>
          </w:tcPr>
          <w:p w14:paraId="3FC123D4" w14:textId="77777777" w:rsidR="00267884" w:rsidRPr="00CC51BD" w:rsidRDefault="00267884"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30%</w:t>
            </w:r>
          </w:p>
        </w:tc>
      </w:tr>
      <w:tr w:rsidR="00267884" w:rsidRPr="00BA1D10" w14:paraId="5501AC5E" w14:textId="77777777" w:rsidTr="00B26383">
        <w:tc>
          <w:tcPr>
            <w:tcW w:w="2361" w:type="pct"/>
            <w:noWrap/>
            <w:hideMark/>
          </w:tcPr>
          <w:p w14:paraId="5D04BC36" w14:textId="77777777" w:rsidR="00267884" w:rsidRPr="004B2A97" w:rsidRDefault="00267884"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320" w:type="pct"/>
          </w:tcPr>
          <w:p w14:paraId="19B54A0C" w14:textId="77777777" w:rsidR="00267884" w:rsidRPr="00735DDE" w:rsidRDefault="00267884" w:rsidP="00130F86">
            <w:pPr>
              <w:spacing w:before="0" w:after="0" w:line="240" w:lineRule="auto"/>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w:t>
            </w:r>
          </w:p>
        </w:tc>
        <w:tc>
          <w:tcPr>
            <w:tcW w:w="1319" w:type="pct"/>
            <w:noWrap/>
            <w:hideMark/>
          </w:tcPr>
          <w:p w14:paraId="5AE66D73" w14:textId="77777777" w:rsidR="00267884" w:rsidRPr="00CC51BD" w:rsidRDefault="00267884"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35%</w:t>
            </w:r>
          </w:p>
        </w:tc>
      </w:tr>
      <w:tr w:rsidR="00267884" w:rsidRPr="00BA1D10" w14:paraId="5FDC329E" w14:textId="77777777" w:rsidTr="00B26383">
        <w:trPr>
          <w:cnfStyle w:val="000000100000" w:firstRow="0" w:lastRow="0" w:firstColumn="0" w:lastColumn="0" w:oddVBand="0" w:evenVBand="0" w:oddHBand="1" w:evenHBand="0" w:firstRowFirstColumn="0" w:firstRowLastColumn="0" w:lastRowFirstColumn="0" w:lastRowLastColumn="0"/>
        </w:trPr>
        <w:tc>
          <w:tcPr>
            <w:tcW w:w="2361" w:type="pct"/>
            <w:noWrap/>
            <w:hideMark/>
          </w:tcPr>
          <w:p w14:paraId="3C3E78F3" w14:textId="77777777" w:rsidR="00267884" w:rsidRPr="004B2A97" w:rsidRDefault="00267884"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1320" w:type="pct"/>
          </w:tcPr>
          <w:p w14:paraId="43B2E435" w14:textId="77777777" w:rsidR="00267884" w:rsidRPr="00735DDE" w:rsidRDefault="00267884" w:rsidP="00130F86">
            <w:pPr>
              <w:spacing w:before="0" w:after="0" w:line="240" w:lineRule="auto"/>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w:t>
            </w:r>
          </w:p>
        </w:tc>
        <w:tc>
          <w:tcPr>
            <w:tcW w:w="1319" w:type="pct"/>
            <w:noWrap/>
            <w:hideMark/>
          </w:tcPr>
          <w:p w14:paraId="40E9AE9A" w14:textId="77777777" w:rsidR="00267884" w:rsidRPr="00CC51BD" w:rsidRDefault="00267884"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30%</w:t>
            </w:r>
          </w:p>
        </w:tc>
      </w:tr>
      <w:tr w:rsidR="00267884" w:rsidRPr="00BA1D10" w14:paraId="4B79F7DB" w14:textId="77777777" w:rsidTr="00B26383">
        <w:tc>
          <w:tcPr>
            <w:tcW w:w="2361" w:type="pct"/>
            <w:noWrap/>
            <w:hideMark/>
          </w:tcPr>
          <w:p w14:paraId="1D8ECE16" w14:textId="77777777" w:rsidR="00267884" w:rsidRPr="004B2A97" w:rsidRDefault="00267884" w:rsidP="007F5A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1320" w:type="pct"/>
          </w:tcPr>
          <w:p w14:paraId="0A84F10C" w14:textId="77777777" w:rsidR="00267884" w:rsidRPr="00735DDE" w:rsidRDefault="00267884" w:rsidP="00130F86">
            <w:pPr>
              <w:spacing w:before="0" w:after="0" w:line="240" w:lineRule="auto"/>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w:t>
            </w:r>
          </w:p>
        </w:tc>
        <w:tc>
          <w:tcPr>
            <w:tcW w:w="1319" w:type="pct"/>
            <w:noWrap/>
            <w:hideMark/>
          </w:tcPr>
          <w:p w14:paraId="291FFEAD" w14:textId="77777777" w:rsidR="00267884" w:rsidRPr="00CC51BD" w:rsidRDefault="00267884"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35%</w:t>
            </w:r>
          </w:p>
        </w:tc>
      </w:tr>
      <w:tr w:rsidR="00267884" w:rsidRPr="00BA1D10" w14:paraId="156999CF" w14:textId="77777777" w:rsidTr="00B26383">
        <w:trPr>
          <w:cnfStyle w:val="000000100000" w:firstRow="0" w:lastRow="0" w:firstColumn="0" w:lastColumn="0" w:oddVBand="0" w:evenVBand="0" w:oddHBand="1" w:evenHBand="0" w:firstRowFirstColumn="0" w:firstRowLastColumn="0" w:lastRowFirstColumn="0" w:lastRowLastColumn="0"/>
        </w:trPr>
        <w:tc>
          <w:tcPr>
            <w:tcW w:w="2361" w:type="pct"/>
            <w:noWrap/>
            <w:hideMark/>
          </w:tcPr>
          <w:p w14:paraId="21267190" w14:textId="21985B39" w:rsidR="00267884" w:rsidRPr="004B2A97" w:rsidRDefault="00601689" w:rsidP="007F5A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1320" w:type="pct"/>
          </w:tcPr>
          <w:p w14:paraId="5ADF7575" w14:textId="77777777" w:rsidR="00267884" w:rsidRPr="00735DDE" w:rsidRDefault="00267884" w:rsidP="00130F86">
            <w:pPr>
              <w:spacing w:before="0" w:after="0" w:line="240" w:lineRule="auto"/>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w:t>
            </w:r>
          </w:p>
        </w:tc>
        <w:tc>
          <w:tcPr>
            <w:tcW w:w="1319" w:type="pct"/>
            <w:noWrap/>
            <w:hideMark/>
          </w:tcPr>
          <w:p w14:paraId="49A9E2AB" w14:textId="77777777" w:rsidR="00267884" w:rsidRPr="00CC51BD" w:rsidRDefault="00267884"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30%</w:t>
            </w:r>
          </w:p>
        </w:tc>
      </w:tr>
      <w:tr w:rsidR="00267884" w:rsidRPr="00BA1D10" w14:paraId="24CFB351" w14:textId="77777777" w:rsidTr="00B26383">
        <w:tc>
          <w:tcPr>
            <w:tcW w:w="2361" w:type="pct"/>
            <w:noWrap/>
            <w:hideMark/>
          </w:tcPr>
          <w:p w14:paraId="0F3E4BF4" w14:textId="5CADB4A3" w:rsidR="00267884" w:rsidRPr="004B2A97" w:rsidRDefault="00601689" w:rsidP="007F5A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1320" w:type="pct"/>
          </w:tcPr>
          <w:p w14:paraId="63F49A7E" w14:textId="77777777" w:rsidR="00267884" w:rsidRPr="00735DDE" w:rsidRDefault="00267884" w:rsidP="00130F86">
            <w:pPr>
              <w:spacing w:before="0" w:after="0" w:line="240" w:lineRule="auto"/>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w:t>
            </w:r>
          </w:p>
        </w:tc>
        <w:tc>
          <w:tcPr>
            <w:tcW w:w="1319" w:type="pct"/>
            <w:noWrap/>
            <w:hideMark/>
          </w:tcPr>
          <w:p w14:paraId="39D7BF39" w14:textId="77777777" w:rsidR="00267884" w:rsidRPr="00CC51BD" w:rsidRDefault="00267884" w:rsidP="00130F86">
            <w:pPr>
              <w:spacing w:before="0" w:after="0" w:line="240" w:lineRule="auto"/>
              <w:jc w:val="center"/>
              <w:rPr>
                <w:rFonts w:ascii="Calibri" w:eastAsia="Times New Roman" w:hAnsi="Calibri" w:cs="Calibri"/>
                <w:sz w:val="18"/>
                <w:szCs w:val="18"/>
                <w:lang w:eastAsia="en-AU"/>
              </w:rPr>
            </w:pPr>
            <w:r w:rsidRPr="00CC51BD">
              <w:rPr>
                <w:rFonts w:ascii="Calibri" w:eastAsia="Times New Roman" w:hAnsi="Calibri" w:cs="Calibri"/>
                <w:sz w:val="18"/>
                <w:szCs w:val="18"/>
                <w:lang w:eastAsia="en-AU"/>
              </w:rPr>
              <w:t>40%</w:t>
            </w:r>
          </w:p>
        </w:tc>
      </w:tr>
    </w:tbl>
    <w:p w14:paraId="727AE750" w14:textId="418D9D83" w:rsidR="00257E15" w:rsidRDefault="00957FE3" w:rsidP="00244A13">
      <w:pPr>
        <w:pStyle w:val="Heading4"/>
      </w:pPr>
      <w:bookmarkStart w:id="42" w:name="_Ref116313175"/>
      <w:r w:rsidRPr="00957FE3">
        <w:t>N</w:t>
      </w:r>
      <w:r w:rsidR="00EC29F7">
        <w:t xml:space="preserve">et Present Value of </w:t>
      </w:r>
      <w:r w:rsidRPr="00957FE3">
        <w:t>Rent</w:t>
      </w:r>
      <w:r w:rsidR="00EC29F7">
        <w:t xml:space="preserve"> Paid by Participants</w:t>
      </w:r>
      <w:bookmarkEnd w:id="42"/>
    </w:p>
    <w:p w14:paraId="7008EA96" w14:textId="63BE8F55" w:rsidR="007D281C" w:rsidRDefault="00685A2C" w:rsidP="007F5AEA">
      <w:r>
        <w:t xml:space="preserve">The </w:t>
      </w:r>
      <w:proofErr w:type="spellStart"/>
      <w:r w:rsidR="007D281C" w:rsidRPr="00F668F8">
        <w:rPr>
          <w:b/>
          <w:bCs/>
        </w:rPr>
        <w:t>NPV.Rent</w:t>
      </w:r>
      <w:proofErr w:type="spellEnd"/>
      <w:r w:rsidR="007D281C" w:rsidRPr="005168A6">
        <w:t xml:space="preserve"> </w:t>
      </w:r>
      <w:r>
        <w:t xml:space="preserve">variable represents </w:t>
      </w:r>
      <w:r w:rsidR="007D281C" w:rsidRPr="005168A6">
        <w:t>the n</w:t>
      </w:r>
      <w:r w:rsidR="007D281C">
        <w:t xml:space="preserve">et present value of the revenue stream from rent paid by participants (over and above the payments by the NDIS) in respect of the dwelling over the investment period, discounted by the NATWACC. </w:t>
      </w:r>
    </w:p>
    <w:p w14:paraId="211C6685" w14:textId="2A8E1B55" w:rsidR="007D281C" w:rsidRDefault="00C32D84" w:rsidP="007F5AEA">
      <w:r>
        <w:t>In the base case where all residents are SDA-eligible participants, t</w:t>
      </w:r>
      <w:r w:rsidR="007D281C">
        <w:t>he rent in year “</w:t>
      </w:r>
      <w:proofErr w:type="spellStart"/>
      <w:r w:rsidR="007D281C">
        <w:t>i</w:t>
      </w:r>
      <w:proofErr w:type="spellEnd"/>
      <w:r w:rsidR="007D281C">
        <w:t>” of the investment period (</w:t>
      </w:r>
      <m:oMath>
        <m:sSub>
          <m:sSubPr>
            <m:ctrlPr>
              <w:rPr>
                <w:rFonts w:ascii="Cambria Math" w:hAnsi="Cambria Math"/>
                <w:i/>
              </w:rPr>
            </m:ctrlPr>
          </m:sSubPr>
          <m:e>
            <m:r>
              <w:rPr>
                <w:rFonts w:ascii="Cambria Math" w:hAnsi="Cambria Math"/>
              </w:rPr>
              <m:t>Rent</m:t>
            </m:r>
          </m:e>
          <m:sub>
            <m:r>
              <w:rPr>
                <w:rFonts w:ascii="Cambria Math" w:hAnsi="Cambria Math"/>
              </w:rPr>
              <m:t>year=i</m:t>
            </m:r>
          </m:sub>
        </m:sSub>
      </m:oMath>
      <w:r w:rsidR="007D281C">
        <w:t>) is given by:</w:t>
      </w:r>
    </w:p>
    <w:p w14:paraId="33AD98DB" w14:textId="77777777" w:rsidR="007D281C" w:rsidRDefault="0095150D" w:rsidP="007F5AEA">
      <w:pPr>
        <w:spacing w:before="300" w:after="300"/>
      </w:pPr>
      <m:oMathPara>
        <m:oMath>
          <m:sSub>
            <m:sSubPr>
              <m:ctrlPr>
                <w:rPr>
                  <w:rFonts w:ascii="Cambria Math" w:hAnsi="Cambria Math"/>
                  <w:i/>
                </w:rPr>
              </m:ctrlPr>
            </m:sSubPr>
            <m:e>
              <m:r>
                <w:rPr>
                  <w:rFonts w:ascii="Cambria Math" w:hAnsi="Cambria Math"/>
                </w:rPr>
                <m:t>RRC</m:t>
              </m:r>
            </m:e>
            <m:sub>
              <m:r>
                <w:rPr>
                  <w:rFonts w:ascii="Cambria Math" w:hAnsi="Cambria Math"/>
                </w:rPr>
                <m:t>year</m:t>
              </m:r>
              <m:r>
                <w:rPr>
                  <w:rFonts w:ascii="Cambria Math" w:hAnsi="Cambria Math"/>
                </w:rPr>
                <m:t>=0</m:t>
              </m:r>
            </m:sub>
          </m:sSub>
          <m:r>
            <w:rPr>
              <w:rFonts w:ascii="Cambria Math" w:hAnsi="Cambria Math"/>
            </w:rPr>
            <m:t>*</m:t>
          </m:r>
          <m:r>
            <w:rPr>
              <w:rFonts w:ascii="Cambria Math" w:hAnsi="Cambria Math"/>
            </w:rPr>
            <m:t>Number</m:t>
          </m:r>
          <m:r>
            <w:rPr>
              <w:rFonts w:ascii="Cambria Math" w:hAnsi="Cambria Math"/>
            </w:rPr>
            <m:t>.</m:t>
          </m:r>
          <m:r>
            <w:rPr>
              <w:rFonts w:ascii="Cambria Math" w:hAnsi="Cambria Math"/>
            </w:rPr>
            <m:t>Bedrooms</m:t>
          </m:r>
          <m:r>
            <w:rPr>
              <w:rFonts w:ascii="Cambria Math" w:hAnsi="Cambria Math"/>
            </w:rPr>
            <m:t>*</m:t>
          </m:r>
          <m:d>
            <m:dPr>
              <m:begChr m:val="["/>
              <m:endChr m:val="]"/>
              <m:ctrlPr>
                <w:rPr>
                  <w:rFonts w:ascii="Cambria Math" w:hAnsi="Cambria Math"/>
                  <w:i/>
                </w:rPr>
              </m:ctrlPr>
            </m:dPr>
            <m:e>
              <m:r>
                <w:rPr>
                  <w:rFonts w:ascii="Cambria Math" w:hAnsi="Cambria Math"/>
                </w:rPr>
                <m:t>1-</m:t>
              </m:r>
              <m:r>
                <w:rPr>
                  <w:rFonts w:ascii="Cambria Math" w:hAnsi="Cambria Math"/>
                </w:rPr>
                <m:t>Vacancy</m:t>
              </m:r>
              <m:r>
                <w:rPr>
                  <w:rFonts w:ascii="Cambria Math" w:hAnsi="Cambria Math"/>
                </w:rPr>
                <m:t>.</m:t>
              </m:r>
              <m:r>
                <w:rPr>
                  <w:rFonts w:ascii="Cambria Math" w:hAnsi="Cambria Math"/>
                </w:rPr>
                <m:t>Rate</m:t>
              </m:r>
            </m:e>
          </m:d>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CPI</m:t>
                  </m:r>
                </m:e>
              </m:d>
            </m:e>
            <m:sup>
              <m:r>
                <w:rPr>
                  <w:rFonts w:ascii="Cambria Math" w:hAnsi="Cambria Math"/>
                </w:rPr>
                <m:t>i</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r>
                    <w:rPr>
                      <w:rFonts w:ascii="Cambria Math" w:hAnsi="Cambria Math"/>
                    </w:rPr>
                    <m:t>Real</m:t>
                  </m:r>
                  <m:r>
                    <w:rPr>
                      <w:rFonts w:ascii="Cambria Math" w:hAnsi="Cambria Math"/>
                    </w:rPr>
                    <m:t>.</m:t>
                  </m:r>
                  <m:r>
                    <w:rPr>
                      <w:rFonts w:ascii="Cambria Math" w:hAnsi="Cambria Math"/>
                    </w:rPr>
                    <m:t>Growt</m:t>
                  </m:r>
                  <m:r>
                    <w:rPr>
                      <w:rFonts w:ascii="Cambria Math" w:hAnsi="Cambria Math"/>
                    </w:rPr>
                    <m:t>h</m:t>
                  </m:r>
                </m:e>
              </m:d>
            </m:e>
            <m:sup>
              <m:r>
                <w:rPr>
                  <w:rFonts w:ascii="Cambria Math" w:hAnsi="Cambria Math"/>
                </w:rPr>
                <m:t>i</m:t>
              </m:r>
            </m:sup>
          </m:sSup>
        </m:oMath>
      </m:oMathPara>
    </w:p>
    <w:p w14:paraId="6B22268C" w14:textId="77777777" w:rsidR="007D281C" w:rsidRPr="00CC51BD" w:rsidRDefault="007D281C" w:rsidP="007F5AEA">
      <w:proofErr w:type="gramStart"/>
      <w:r w:rsidRPr="005168A6">
        <w:t>Where</w:t>
      </w:r>
      <w:proofErr w:type="gramEnd"/>
    </w:p>
    <w:p w14:paraId="182DC34C" w14:textId="7CA8B77F" w:rsidR="007D281C" w:rsidRPr="00CC51BD" w:rsidRDefault="0095150D" w:rsidP="007F5AEA">
      <w:pPr>
        <w:pStyle w:val="ListParagraph"/>
        <w:numPr>
          <w:ilvl w:val="0"/>
          <w:numId w:val="7"/>
        </w:numPr>
      </w:pPr>
      <m:oMath>
        <m:sSub>
          <m:sSubPr>
            <m:ctrlPr>
              <w:rPr>
                <w:rFonts w:ascii="Cambria Math" w:hAnsi="Cambria Math"/>
                <w:b/>
                <w:i/>
              </w:rPr>
            </m:ctrlPr>
          </m:sSubPr>
          <m:e>
            <m:r>
              <m:rPr>
                <m:sty m:val="bi"/>
              </m:rPr>
              <w:rPr>
                <w:rFonts w:ascii="Cambria Math" w:hAnsi="Cambria Math"/>
              </w:rPr>
              <m:t>RRC</m:t>
            </m:r>
          </m:e>
          <m:sub>
            <m:r>
              <m:rPr>
                <m:sty m:val="bi"/>
              </m:rPr>
              <w:rPr>
                <w:rFonts w:ascii="Cambria Math" w:hAnsi="Cambria Math"/>
              </w:rPr>
              <m:t>year</m:t>
            </m:r>
            <m:r>
              <m:rPr>
                <m:sty m:val="bi"/>
              </m:rPr>
              <w:rPr>
                <w:rFonts w:ascii="Cambria Math" w:hAnsi="Cambria Math"/>
              </w:rPr>
              <m:t>=</m:t>
            </m:r>
            <m:r>
              <m:rPr>
                <m:sty m:val="bi"/>
              </m:rPr>
              <w:rPr>
                <w:rFonts w:ascii="Cambria Math" w:hAnsi="Cambria Math"/>
              </w:rPr>
              <m:t>0</m:t>
            </m:r>
          </m:sub>
        </m:sSub>
        <m:r>
          <w:rPr>
            <w:rFonts w:ascii="Cambria Math" w:hAnsi="Cambria Math"/>
          </w:rPr>
          <m:t xml:space="preserve"> </m:t>
        </m:r>
      </m:oMath>
      <w:r w:rsidR="007D281C" w:rsidRPr="00CC51BD">
        <w:t xml:space="preserve">is the reasonable rent contribution for a participant – this </w:t>
      </w:r>
      <w:r w:rsidR="00685A2C">
        <w:t>is currently</w:t>
      </w:r>
      <w:r w:rsidR="007D281C" w:rsidRPr="00CC51BD">
        <w:t xml:space="preserve"> assumed to be $8</w:t>
      </w:r>
      <w:r w:rsidR="00DA1F99">
        <w:t>,</w:t>
      </w:r>
      <w:r w:rsidR="007D281C" w:rsidRPr="00CC51BD">
        <w:t>580 in 2015-16 prices.</w:t>
      </w:r>
      <w:r w:rsidR="00C32D84">
        <w:t xml:space="preserve"> The NDIA does not regulate the rent paid by residents who are not SDA-eligible participants.</w:t>
      </w:r>
    </w:p>
    <w:p w14:paraId="5EC667C2" w14:textId="77777777" w:rsidR="007D281C" w:rsidRPr="00CC51BD" w:rsidRDefault="007D281C" w:rsidP="007F5AEA">
      <w:pPr>
        <w:pStyle w:val="ListParagraph"/>
        <w:numPr>
          <w:ilvl w:val="0"/>
          <w:numId w:val="7"/>
        </w:numPr>
      </w:pPr>
      <m:oMath>
        <m:r>
          <m:rPr>
            <m:sty m:val="bi"/>
          </m:rPr>
          <w:rPr>
            <w:rFonts w:ascii="Cambria Math" w:hAnsi="Cambria Math"/>
          </w:rPr>
          <m:t>Number.Bedrooms</m:t>
        </m:r>
      </m:oMath>
      <w:r w:rsidRPr="00CC51BD">
        <w:t xml:space="preserve"> is the number of bedrooms in the dwelling.</w:t>
      </w:r>
    </w:p>
    <w:p w14:paraId="7C8764CD" w14:textId="6DFB26B8" w:rsidR="007D281C" w:rsidRPr="00CC51BD" w:rsidRDefault="007D281C" w:rsidP="007F5AEA">
      <w:pPr>
        <w:pStyle w:val="ListParagraph"/>
        <w:numPr>
          <w:ilvl w:val="0"/>
          <w:numId w:val="7"/>
        </w:numPr>
      </w:pPr>
      <m:oMath>
        <m:r>
          <m:rPr>
            <m:sty m:val="bi"/>
          </m:rPr>
          <w:rPr>
            <w:rFonts w:ascii="Cambria Math" w:hAnsi="Cambria Math"/>
          </w:rPr>
          <w:lastRenderedPageBreak/>
          <m:t>Vacancy.Rate</m:t>
        </m:r>
      </m:oMath>
      <w:r w:rsidRPr="00CC51BD">
        <w:t xml:space="preserve"> is assumed vacancy rate for this type of dwelling - see </w:t>
      </w:r>
      <w:r w:rsidRPr="00C32D84">
        <w:rPr>
          <w:b/>
          <w:bCs/>
        </w:rPr>
        <w:fldChar w:fldCharType="begin"/>
      </w:r>
      <w:r w:rsidRPr="00C32D84">
        <w:rPr>
          <w:b/>
          <w:bCs/>
        </w:rPr>
        <w:instrText xml:space="preserve"> REF _Ref102129867 \h </w:instrText>
      </w:r>
      <w:r w:rsidR="00C32D84">
        <w:rPr>
          <w:b/>
          <w:bCs/>
        </w:rPr>
        <w:instrText xml:space="preserve"> \* MERGEFORMAT </w:instrText>
      </w:r>
      <w:r w:rsidRPr="00C32D84">
        <w:rPr>
          <w:b/>
          <w:bCs/>
        </w:rPr>
      </w:r>
      <w:r w:rsidRPr="00C32D84">
        <w:rPr>
          <w:b/>
          <w:bCs/>
        </w:rPr>
        <w:fldChar w:fldCharType="separate"/>
      </w:r>
      <w:r w:rsidR="00765987" w:rsidRPr="00765987">
        <w:rPr>
          <w:b/>
          <w:bCs/>
        </w:rPr>
        <w:t xml:space="preserve">Table </w:t>
      </w:r>
      <w:r w:rsidR="00765987" w:rsidRPr="00765987">
        <w:rPr>
          <w:b/>
          <w:bCs/>
          <w:noProof/>
        </w:rPr>
        <w:t>6</w:t>
      </w:r>
      <w:r w:rsidRPr="00C32D84">
        <w:rPr>
          <w:b/>
          <w:bCs/>
        </w:rPr>
        <w:fldChar w:fldCharType="end"/>
      </w:r>
      <w:r w:rsidRPr="00CC51BD">
        <w:t xml:space="preserve"> above.</w:t>
      </w:r>
    </w:p>
    <w:p w14:paraId="7132F8D1" w14:textId="41586397" w:rsidR="007D281C" w:rsidRPr="00CC51BD" w:rsidRDefault="007D281C" w:rsidP="007F5AEA">
      <w:pPr>
        <w:pStyle w:val="ListParagraph"/>
        <w:numPr>
          <w:ilvl w:val="0"/>
          <w:numId w:val="7"/>
        </w:numPr>
      </w:pPr>
      <m:oMath>
        <m:r>
          <m:rPr>
            <m:sty m:val="bi"/>
          </m:rPr>
          <w:rPr>
            <w:rFonts w:ascii="Cambria Math" w:hAnsi="Cambria Math"/>
          </w:rPr>
          <m:t>CPI</m:t>
        </m:r>
      </m:oMath>
      <w:r w:rsidRPr="00CC51BD">
        <w:t xml:space="preserve"> is </w:t>
      </w:r>
      <w:r w:rsidR="00685A2C">
        <w:t xml:space="preserve">currently </w:t>
      </w:r>
      <w:r w:rsidRPr="00CC51BD">
        <w:t xml:space="preserve">assumed to be 2.5% per annum (see </w:t>
      </w:r>
      <w:r w:rsidR="00C41AF2" w:rsidRPr="00CC51BD">
        <w:t>above</w:t>
      </w:r>
      <w:r w:rsidRPr="00CC51BD">
        <w:t>).</w:t>
      </w:r>
    </w:p>
    <w:p w14:paraId="4B805CF1" w14:textId="65F1AACC" w:rsidR="007D281C" w:rsidRPr="00CC51BD" w:rsidRDefault="007D281C" w:rsidP="007F5AEA">
      <w:pPr>
        <w:pStyle w:val="ListParagraph"/>
        <w:numPr>
          <w:ilvl w:val="0"/>
          <w:numId w:val="7"/>
        </w:numPr>
      </w:pPr>
      <m:oMath>
        <m:r>
          <m:rPr>
            <m:sty m:val="bi"/>
          </m:rPr>
          <w:rPr>
            <w:rFonts w:ascii="Cambria Math" w:hAnsi="Cambria Math"/>
          </w:rPr>
          <m:t>Real.Growth</m:t>
        </m:r>
      </m:oMath>
      <w:r w:rsidRPr="00CC51BD">
        <w:t xml:space="preserve"> is the annual increase in rent from participants above CPI. This </w:t>
      </w:r>
      <w:r w:rsidR="00685A2C">
        <w:t>is currently</w:t>
      </w:r>
      <w:r w:rsidRPr="00CC51BD">
        <w:t xml:space="preserve"> assumed to be 0% in all cases.</w:t>
      </w:r>
    </w:p>
    <w:p w14:paraId="6F3B50E5" w14:textId="3AFF595B" w:rsidR="00957FE3" w:rsidRPr="00CC51BD" w:rsidRDefault="00EC29F7" w:rsidP="00244A13">
      <w:pPr>
        <w:pStyle w:val="Heading4"/>
      </w:pPr>
      <w:r>
        <w:t>Net Present Value of Tax Costs Incurred</w:t>
      </w:r>
    </w:p>
    <w:p w14:paraId="519B5C73" w14:textId="59EAC4ED" w:rsidR="00F740B9" w:rsidRPr="0018104A" w:rsidRDefault="00685A2C" w:rsidP="007F5AEA">
      <w:r>
        <w:t xml:space="preserve">The </w:t>
      </w:r>
      <w:proofErr w:type="spellStart"/>
      <w:proofErr w:type="gramStart"/>
      <w:r w:rsidR="00F740B9" w:rsidRPr="00CC51BD">
        <w:rPr>
          <w:b/>
          <w:bCs/>
        </w:rPr>
        <w:t>NPV.Tax.Cost</w:t>
      </w:r>
      <w:proofErr w:type="spellEnd"/>
      <w:proofErr w:type="gramEnd"/>
      <w:r w:rsidR="00F740B9" w:rsidRPr="00CC51BD">
        <w:t xml:space="preserve"> </w:t>
      </w:r>
      <w:r>
        <w:t>variable represents</w:t>
      </w:r>
      <w:r w:rsidR="00F740B9" w:rsidRPr="00CC51BD">
        <w:t xml:space="preserve"> the net present value of tax costs incurred in respect of the cash flow from the dwelling over the </w:t>
      </w:r>
      <w:r w:rsidR="00F740B9" w:rsidRPr="0018104A">
        <w:t>investment period, discounted by the NATWACC.</w:t>
      </w:r>
    </w:p>
    <w:p w14:paraId="503679F9" w14:textId="77777777" w:rsidR="00F740B9" w:rsidRPr="0018104A" w:rsidRDefault="00F740B9" w:rsidP="007F5AEA">
      <w:r>
        <w:t>In general, t</w:t>
      </w:r>
      <w:r w:rsidRPr="0018104A">
        <w:t>he Tax Cost</w:t>
      </w:r>
      <w:r w:rsidR="00CC51BD">
        <w:t xml:space="preserve"> </w:t>
      </w:r>
      <w:r>
        <w:t>(Benefit)</w:t>
      </w:r>
      <w:r w:rsidRPr="0018104A">
        <w:t xml:space="preserve"> in year “</w:t>
      </w:r>
      <w:proofErr w:type="spellStart"/>
      <w:r w:rsidRPr="0018104A">
        <w:t>i</w:t>
      </w:r>
      <w:proofErr w:type="spellEnd"/>
      <w:r w:rsidRPr="0018104A">
        <w:t>” of the investment period (</w:t>
      </w:r>
      <m:oMath>
        <m:sSub>
          <m:sSubPr>
            <m:ctrlPr>
              <w:rPr>
                <w:rFonts w:ascii="Cambria Math" w:hAnsi="Cambria Math"/>
                <w:i/>
              </w:rPr>
            </m:ctrlPr>
          </m:sSubPr>
          <m:e>
            <m:r>
              <w:rPr>
                <w:rFonts w:ascii="Cambria Math" w:hAnsi="Cambria Math"/>
              </w:rPr>
              <m:t>Tax.Cost</m:t>
            </m:r>
          </m:e>
          <m:sub>
            <m:r>
              <w:rPr>
                <w:rFonts w:ascii="Cambria Math" w:hAnsi="Cambria Math"/>
              </w:rPr>
              <m:t>year=i</m:t>
            </m:r>
          </m:sub>
        </m:sSub>
      </m:oMath>
      <w:r w:rsidRPr="0018104A">
        <w:t>) is given by:</w:t>
      </w:r>
    </w:p>
    <w:p w14:paraId="05A753D3" w14:textId="77777777" w:rsidR="00F740B9" w:rsidRPr="0018104A" w:rsidRDefault="0095150D" w:rsidP="007F5AEA">
      <w:pPr>
        <w:spacing w:before="300" w:after="300"/>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Rent</m:t>
                  </m:r>
                </m:e>
                <m:sub>
                  <m:r>
                    <w:rPr>
                      <w:rFonts w:ascii="Cambria Math" w:hAnsi="Cambria Math"/>
                    </w:rPr>
                    <m:t>i</m:t>
                  </m:r>
                </m:sub>
              </m:sSub>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Owners</m:t>
                  </m:r>
                  <m:r>
                    <w:rPr>
                      <w:rFonts w:ascii="Cambria Math" w:hAnsi="Cambria Math"/>
                    </w:rPr>
                    <m:t>h</m:t>
                  </m:r>
                  <m:r>
                    <w:rPr>
                      <w:rFonts w:ascii="Cambria Math" w:hAnsi="Cambria Math"/>
                    </w:rPr>
                    <m:t>ip</m:t>
                  </m:r>
                  <m:r>
                    <w:rPr>
                      <w:rFonts w:ascii="Cambria Math" w:hAnsi="Cambria Math"/>
                    </w:rPr>
                    <m:t>.</m:t>
                  </m:r>
                  <m:r>
                    <w:rPr>
                      <w:rFonts w:ascii="Cambria Math" w:hAnsi="Cambria Math"/>
                    </w:rPr>
                    <m:t>Cost</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Bu</m:t>
                      </m:r>
                      <m:r>
                        <w:rPr>
                          <w:rFonts w:ascii="Cambria Math" w:hAnsi="Cambria Math"/>
                        </w:rPr>
                        <m:t>ild</m:t>
                      </m:r>
                      <m:r>
                        <w:rPr>
                          <w:rFonts w:ascii="Cambria Math" w:hAnsi="Cambria Math"/>
                        </w:rPr>
                        <m:t>.</m:t>
                      </m:r>
                      <m:r>
                        <w:rPr>
                          <w:rFonts w:ascii="Cambria Math" w:hAnsi="Cambria Math"/>
                        </w:rPr>
                        <m:t>Value</m:t>
                      </m:r>
                    </m:e>
                    <m:sub>
                      <m:r>
                        <w:rPr>
                          <w:rFonts w:ascii="Cambria Math" w:hAnsi="Cambria Math"/>
                        </w:rPr>
                        <m:t>0</m:t>
                      </m:r>
                    </m:sub>
                  </m:sSub>
                </m:num>
                <m:den>
                  <m:r>
                    <w:rPr>
                      <w:rFonts w:ascii="Cambria Math" w:hAnsi="Cambria Math"/>
                    </w:rPr>
                    <m:t>Tax</m:t>
                  </m:r>
                  <m:r>
                    <w:rPr>
                      <w:rFonts w:ascii="Cambria Math" w:hAnsi="Cambria Math"/>
                    </w:rPr>
                    <m:t>.</m:t>
                  </m:r>
                  <m:r>
                    <w:rPr>
                      <w:rFonts w:ascii="Cambria Math" w:hAnsi="Cambria Math"/>
                    </w:rPr>
                    <m:t>Life</m:t>
                  </m:r>
                </m:den>
              </m:f>
            </m:e>
          </m:d>
          <m:r>
            <w:rPr>
              <w:rFonts w:ascii="Cambria Math" w:hAnsi="Cambria Math"/>
            </w:rPr>
            <m:t>*</m:t>
          </m:r>
          <m:r>
            <w:rPr>
              <w:rFonts w:ascii="Cambria Math" w:hAnsi="Cambria Math"/>
            </w:rPr>
            <m:t>Tax</m:t>
          </m:r>
          <m:r>
            <w:rPr>
              <w:rFonts w:ascii="Cambria Math" w:hAnsi="Cambria Math"/>
            </w:rPr>
            <m:t>.</m:t>
          </m:r>
          <m:r>
            <w:rPr>
              <w:rFonts w:ascii="Cambria Math" w:hAnsi="Cambria Math"/>
            </w:rPr>
            <m:t>Rate</m:t>
          </m:r>
        </m:oMath>
      </m:oMathPara>
    </w:p>
    <w:p w14:paraId="5929505A" w14:textId="77777777" w:rsidR="00F740B9" w:rsidRDefault="00F740B9" w:rsidP="007F5AEA">
      <w:r>
        <w:t xml:space="preserve">and in final year of the investment (year = IP), the </w:t>
      </w:r>
      <w:r w:rsidRPr="0018104A">
        <w:t xml:space="preserve">Tax </w:t>
      </w:r>
      <w:proofErr w:type="gramStart"/>
      <w:r w:rsidRPr="0018104A">
        <w:t>Cost</w:t>
      </w:r>
      <w:r>
        <w:t>(</w:t>
      </w:r>
      <w:proofErr w:type="gramEnd"/>
      <w:r>
        <w:t>Benefit) is given by:</w:t>
      </w:r>
    </w:p>
    <w:p w14:paraId="20FC7705" w14:textId="52007848" w:rsidR="00F740B9" w:rsidRPr="0018104A" w:rsidRDefault="0095150D" w:rsidP="007F5AEA">
      <w:pPr>
        <w:spacing w:before="300" w:after="300"/>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Rent</m:t>
                  </m:r>
                </m:e>
                <m:sub>
                  <m:r>
                    <w:rPr>
                      <w:rFonts w:ascii="Cambria Math" w:hAnsi="Cambria Math"/>
                    </w:rPr>
                    <m:t>IP</m:t>
                  </m:r>
                </m:sub>
              </m:sSub>
              <m:sSub>
                <m:sSubPr>
                  <m:ctrlPr>
                    <w:rPr>
                      <w:rFonts w:ascii="Cambria Math" w:hAnsi="Cambria Math"/>
                      <w:i/>
                    </w:rPr>
                  </m:ctrlPr>
                </m:sSubPr>
                <m:e>
                  <m:r>
                    <w:rPr>
                      <w:rFonts w:ascii="Cambria Math" w:hAnsi="Cambria Math"/>
                    </w:rPr>
                    <m:t>-</m:t>
                  </m:r>
                  <m:r>
                    <w:rPr>
                      <w:rFonts w:ascii="Cambria Math" w:hAnsi="Cambria Math"/>
                    </w:rPr>
                    <m:t>Owners</m:t>
                  </m:r>
                  <m:r>
                    <w:rPr>
                      <w:rFonts w:ascii="Cambria Math" w:hAnsi="Cambria Math"/>
                    </w:rPr>
                    <m:t>h</m:t>
                  </m:r>
                  <m:r>
                    <w:rPr>
                      <w:rFonts w:ascii="Cambria Math" w:hAnsi="Cambria Math"/>
                    </w:rPr>
                    <m:t>ip</m:t>
                  </m:r>
                  <m:r>
                    <w:rPr>
                      <w:rFonts w:ascii="Cambria Math" w:hAnsi="Cambria Math"/>
                    </w:rPr>
                    <m:t>.</m:t>
                  </m:r>
                  <m:r>
                    <w:rPr>
                      <w:rFonts w:ascii="Cambria Math" w:hAnsi="Cambria Math"/>
                    </w:rPr>
                    <m:t>Cost</m:t>
                  </m:r>
                </m:e>
                <m:sub>
                  <m:r>
                    <w:rPr>
                      <w:rFonts w:ascii="Cambria Math" w:hAnsi="Cambria Math"/>
                    </w:rPr>
                    <m:t>IP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Build</m:t>
                      </m:r>
                      <m:r>
                        <w:rPr>
                          <w:rFonts w:ascii="Cambria Math" w:hAnsi="Cambria Math"/>
                        </w:rPr>
                        <m:t>.</m:t>
                      </m:r>
                      <m:r>
                        <w:rPr>
                          <w:rFonts w:ascii="Cambria Math" w:hAnsi="Cambria Math"/>
                        </w:rPr>
                        <m:t>Value</m:t>
                      </m:r>
                    </m:e>
                    <m:sub>
                      <m:r>
                        <w:rPr>
                          <w:rFonts w:ascii="Cambria Math" w:hAnsi="Cambria Math"/>
                        </w:rPr>
                        <m:t>0</m:t>
                      </m:r>
                    </m:sub>
                  </m:sSub>
                </m:num>
                <m:den>
                  <m:r>
                    <w:rPr>
                      <w:rFonts w:ascii="Cambria Math" w:hAnsi="Cambria Math"/>
                    </w:rPr>
                    <m:t>Tax</m:t>
                  </m:r>
                  <m:r>
                    <w:rPr>
                      <w:rFonts w:ascii="Cambria Math" w:hAnsi="Cambria Math"/>
                    </w:rPr>
                    <m:t>.</m:t>
                  </m:r>
                  <m:r>
                    <w:rPr>
                      <w:rFonts w:ascii="Cambria Math" w:hAnsi="Cambria Math"/>
                    </w:rPr>
                    <m:t>Life</m:t>
                  </m:r>
                </m:den>
              </m:f>
              <m:r>
                <w:rPr>
                  <w:rFonts w:ascii="Cambria Math" w:hAnsi="Cambria Math"/>
                </w:rPr>
                <m:t>+</m:t>
              </m:r>
              <m:sSub>
                <m:sSubPr>
                  <m:ctrlPr>
                    <w:rPr>
                      <w:rFonts w:ascii="Cambria Math" w:hAnsi="Cambria Math"/>
                      <w:i/>
                    </w:rPr>
                  </m:ctrlPr>
                </m:sSubPr>
                <m:e>
                  <m:r>
                    <w:rPr>
                      <w:rFonts w:ascii="Cambria Math" w:hAnsi="Cambria Math"/>
                    </w:rPr>
                    <m:t>Residual</m:t>
                  </m:r>
                  <m:r>
                    <w:rPr>
                      <w:rFonts w:ascii="Cambria Math" w:hAnsi="Cambria Math"/>
                    </w:rPr>
                    <m:t>.</m:t>
                  </m:r>
                  <m:r>
                    <w:rPr>
                      <w:rFonts w:ascii="Cambria Math" w:hAnsi="Cambria Math"/>
                    </w:rPr>
                    <m:t>Value</m:t>
                  </m:r>
                </m:e>
                <m:sub>
                  <m:r>
                    <w:rPr>
                      <w:rFonts w:ascii="Cambria Math" w:hAnsi="Cambria Math"/>
                    </w:rPr>
                    <m:t>IP</m:t>
                  </m:r>
                </m:sub>
              </m:sSub>
              <m:r>
                <w:rPr>
                  <w:rFonts w:ascii="Cambria Math" w:hAnsi="Cambria Math"/>
                </w:rPr>
                <m:t>-</m:t>
              </m:r>
              <m:d>
                <m:dPr>
                  <m:begChr m:val="{"/>
                  <m:endChr m:val="}"/>
                  <m:ctrlPr>
                    <w:rPr>
                      <w:rFonts w:ascii="Cambria Math" w:hAnsi="Cambria Math"/>
                      <w:i/>
                    </w:rPr>
                  </m:ctrlPr>
                </m:dPr>
                <m:e>
                  <m:r>
                    <w:rPr>
                      <w:rFonts w:ascii="Cambria Math" w:hAnsi="Cambria Math"/>
                    </w:rPr>
                    <m:t>Acqu</m:t>
                  </m:r>
                  <m:r>
                    <w:rPr>
                      <w:rFonts w:ascii="Cambria Math" w:hAnsi="Cambria Math"/>
                    </w:rPr>
                    <m:t>isition</m:t>
                  </m:r>
                  <m:r>
                    <w:rPr>
                      <w:rFonts w:ascii="Cambria Math" w:hAnsi="Cambria Math"/>
                    </w:rPr>
                    <m:t>.</m:t>
                  </m:r>
                  <m:r>
                    <w:rPr>
                      <w:rFonts w:ascii="Cambria Math" w:hAnsi="Cambria Math"/>
                    </w:rPr>
                    <m:t>Cost</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Build</m:t>
                          </m:r>
                          <m:r>
                            <w:rPr>
                              <w:rFonts w:ascii="Cambria Math" w:hAnsi="Cambria Math"/>
                            </w:rPr>
                            <m:t>.</m:t>
                          </m:r>
                          <m:r>
                            <w:rPr>
                              <w:rFonts w:ascii="Cambria Math" w:hAnsi="Cambria Math"/>
                            </w:rPr>
                            <m:t>Value</m:t>
                          </m:r>
                        </m:e>
                        <m:sub>
                          <m:r>
                            <w:rPr>
                              <w:rFonts w:ascii="Cambria Math" w:hAnsi="Cambria Math"/>
                            </w:rPr>
                            <m:t>0</m:t>
                          </m:r>
                        </m:sub>
                      </m:sSub>
                      <m:r>
                        <w:rPr>
                          <w:rFonts w:ascii="Cambria Math" w:hAnsi="Cambria Math"/>
                        </w:rPr>
                        <m:t>*</m:t>
                      </m:r>
                      <m:r>
                        <w:rPr>
                          <w:rFonts w:ascii="Cambria Math" w:hAnsi="Cambria Math"/>
                        </w:rPr>
                        <m:t>IP</m:t>
                      </m:r>
                    </m:num>
                    <m:den>
                      <m:r>
                        <w:rPr>
                          <w:rFonts w:ascii="Cambria Math" w:hAnsi="Cambria Math"/>
                        </w:rPr>
                        <m:t>Tax</m:t>
                      </m:r>
                      <m:r>
                        <w:rPr>
                          <w:rFonts w:ascii="Cambria Math" w:hAnsi="Cambria Math"/>
                        </w:rPr>
                        <m:t>.</m:t>
                      </m:r>
                      <m:r>
                        <w:rPr>
                          <w:rFonts w:ascii="Cambria Math" w:hAnsi="Cambria Math"/>
                        </w:rPr>
                        <m:t>Life</m:t>
                      </m:r>
                    </m:den>
                  </m:f>
                </m:e>
              </m:d>
            </m:e>
          </m:d>
          <m:r>
            <w:rPr>
              <w:rFonts w:ascii="Cambria Math" w:hAnsi="Cambria Math"/>
            </w:rPr>
            <m:t>*</m:t>
          </m:r>
          <m:r>
            <w:rPr>
              <w:rFonts w:ascii="Cambria Math" w:hAnsi="Cambria Math"/>
            </w:rPr>
            <m:t>Tax</m:t>
          </m:r>
          <m:r>
            <w:rPr>
              <w:rFonts w:ascii="Cambria Math" w:hAnsi="Cambria Math"/>
            </w:rPr>
            <m:t>.</m:t>
          </m:r>
          <m:r>
            <w:rPr>
              <w:rFonts w:ascii="Cambria Math" w:hAnsi="Cambria Math"/>
            </w:rPr>
            <m:t>Rate</m:t>
          </m:r>
        </m:oMath>
      </m:oMathPara>
    </w:p>
    <w:p w14:paraId="59D9F7D5" w14:textId="77777777" w:rsidR="00F740B9" w:rsidRPr="0018104A" w:rsidRDefault="00F740B9" w:rsidP="007F5AEA">
      <w:proofErr w:type="gramStart"/>
      <w:r w:rsidRPr="0018104A">
        <w:t>Where</w:t>
      </w:r>
      <w:proofErr w:type="gramEnd"/>
    </w:p>
    <w:p w14:paraId="1A057AE7" w14:textId="1D8C5EBB" w:rsidR="00F740B9" w:rsidRDefault="0095150D" w:rsidP="007F5AEA">
      <w:pPr>
        <w:pStyle w:val="ListParagraph"/>
        <w:numPr>
          <w:ilvl w:val="0"/>
          <w:numId w:val="4"/>
        </w:numPr>
      </w:pPr>
      <m:oMath>
        <m:sSub>
          <m:sSubPr>
            <m:ctrlPr>
              <w:rPr>
                <w:rFonts w:ascii="Cambria Math" w:hAnsi="Cambria Math"/>
                <w:b/>
                <w:bCs/>
                <w:i/>
              </w:rPr>
            </m:ctrlPr>
          </m:sSubPr>
          <m:e>
            <m:r>
              <m:rPr>
                <m:sty m:val="bi"/>
              </m:rPr>
              <w:rPr>
                <w:rFonts w:ascii="Cambria Math" w:hAnsi="Cambria Math"/>
              </w:rPr>
              <m:t>Rent</m:t>
            </m:r>
          </m:e>
          <m:sub>
            <m:r>
              <m:rPr>
                <m:sty m:val="bi"/>
              </m:rPr>
              <w:rPr>
                <w:rFonts w:ascii="Cambria Math" w:hAnsi="Cambria Math"/>
              </w:rPr>
              <m:t>i</m:t>
            </m:r>
          </m:sub>
        </m:sSub>
      </m:oMath>
      <w:r w:rsidR="00F740B9" w:rsidRPr="0018104A">
        <w:t xml:space="preserve"> is the rent from</w:t>
      </w:r>
      <w:r w:rsidR="00F740B9">
        <w:t xml:space="preserve"> participants in year “</w:t>
      </w:r>
      <w:proofErr w:type="spellStart"/>
      <w:r w:rsidR="00F740B9">
        <w:t>i</w:t>
      </w:r>
      <w:proofErr w:type="spellEnd"/>
      <w:r w:rsidR="00F740B9">
        <w:t xml:space="preserve">” and is defined on </w:t>
      </w:r>
      <w:r w:rsidR="00F740B9" w:rsidRPr="005548D9">
        <w:t xml:space="preserve">page </w:t>
      </w:r>
      <w:r w:rsidR="00407728">
        <w:fldChar w:fldCharType="begin"/>
      </w:r>
      <w:r w:rsidR="00407728">
        <w:instrText xml:space="preserve"> PAGEREF _Ref116313175 \h </w:instrText>
      </w:r>
      <w:r w:rsidR="00407728">
        <w:fldChar w:fldCharType="separate"/>
      </w:r>
      <w:r w:rsidR="00765987">
        <w:rPr>
          <w:noProof/>
        </w:rPr>
        <w:t>30</w:t>
      </w:r>
      <w:r w:rsidR="00407728">
        <w:fldChar w:fldCharType="end"/>
      </w:r>
      <w:r w:rsidR="00F740B9">
        <w:t>.</w:t>
      </w:r>
    </w:p>
    <w:p w14:paraId="48504826" w14:textId="7BFF250B" w:rsidR="00F740B9" w:rsidRPr="009679B3" w:rsidRDefault="0095150D" w:rsidP="007F5AEA">
      <w:pPr>
        <w:pStyle w:val="ListParagraph"/>
        <w:numPr>
          <w:ilvl w:val="0"/>
          <w:numId w:val="4"/>
        </w:numPr>
      </w:pPr>
      <m:oMath>
        <m:sSub>
          <m:sSubPr>
            <m:ctrlPr>
              <w:rPr>
                <w:rFonts w:ascii="Cambria Math" w:hAnsi="Cambria Math"/>
                <w:b/>
                <w:bCs/>
                <w:i/>
              </w:rPr>
            </m:ctrlPr>
          </m:sSubPr>
          <m:e>
            <m:r>
              <m:rPr>
                <m:sty m:val="bi"/>
              </m:rPr>
              <w:rPr>
                <w:rFonts w:ascii="Cambria Math" w:hAnsi="Cambria Math"/>
              </w:rPr>
              <m:t>Ownership</m:t>
            </m:r>
            <m:r>
              <m:rPr>
                <m:sty m:val="bi"/>
              </m:rPr>
              <w:rPr>
                <w:rFonts w:ascii="Cambria Math" w:hAnsi="Cambria Math"/>
              </w:rPr>
              <m:t>.</m:t>
            </m:r>
            <m:r>
              <m:rPr>
                <m:sty m:val="bi"/>
              </m:rPr>
              <w:rPr>
                <w:rFonts w:ascii="Cambria Math" w:hAnsi="Cambria Math"/>
              </w:rPr>
              <m:t>Cost</m:t>
            </m:r>
          </m:e>
          <m:sub>
            <m:r>
              <m:rPr>
                <m:sty m:val="bi"/>
              </m:rPr>
              <w:rPr>
                <w:rFonts w:ascii="Cambria Math" w:hAnsi="Cambria Math"/>
              </w:rPr>
              <m:t>i</m:t>
            </m:r>
          </m:sub>
        </m:sSub>
      </m:oMath>
      <w:r w:rsidR="00F740B9">
        <w:t xml:space="preserve"> is the cost of ownership in year “i</w:t>
      </w:r>
      <w:r w:rsidR="00F740B9" w:rsidRPr="009679B3">
        <w:t xml:space="preserve">” and is defined on </w:t>
      </w:r>
      <w:r w:rsidR="009679B3" w:rsidRPr="00036DFB">
        <w:t xml:space="preserve">page </w:t>
      </w:r>
      <w:r w:rsidR="009679B3" w:rsidRPr="00036DFB">
        <w:fldChar w:fldCharType="begin"/>
      </w:r>
      <w:r w:rsidR="009679B3" w:rsidRPr="00036DFB">
        <w:instrText xml:space="preserve"> PAGEREF _Ref107401304 \h </w:instrText>
      </w:r>
      <w:r w:rsidR="009679B3" w:rsidRPr="00036DFB">
        <w:fldChar w:fldCharType="separate"/>
      </w:r>
      <w:r w:rsidR="00765987">
        <w:rPr>
          <w:noProof/>
        </w:rPr>
        <w:t>29</w:t>
      </w:r>
      <w:r w:rsidR="009679B3" w:rsidRPr="00036DFB">
        <w:fldChar w:fldCharType="end"/>
      </w:r>
      <w:r w:rsidR="009679B3" w:rsidRPr="009679B3">
        <w:t>.</w:t>
      </w:r>
    </w:p>
    <w:p w14:paraId="14C42619" w14:textId="6CF300C5" w:rsidR="00F740B9" w:rsidRDefault="0095150D" w:rsidP="007F5AEA">
      <w:pPr>
        <w:pStyle w:val="ListParagraph"/>
        <w:numPr>
          <w:ilvl w:val="0"/>
          <w:numId w:val="4"/>
        </w:numPr>
      </w:pPr>
      <m:oMath>
        <m:sSub>
          <m:sSubPr>
            <m:ctrlPr>
              <w:rPr>
                <w:rFonts w:ascii="Cambria Math" w:hAnsi="Cambria Math"/>
                <w:b/>
                <w:bCs/>
                <w:i/>
              </w:rPr>
            </m:ctrlPr>
          </m:sSubPr>
          <m:e>
            <m:r>
              <m:rPr>
                <m:sty m:val="bi"/>
              </m:rPr>
              <w:rPr>
                <w:rFonts w:ascii="Cambria Math" w:hAnsi="Cambria Math"/>
              </w:rPr>
              <m:t>Residual</m:t>
            </m:r>
            <m:r>
              <m:rPr>
                <m:sty m:val="bi"/>
              </m:rPr>
              <w:rPr>
                <w:rFonts w:ascii="Cambria Math" w:hAnsi="Cambria Math"/>
              </w:rPr>
              <m:t>.</m:t>
            </m:r>
            <m:r>
              <m:rPr>
                <m:sty m:val="bi"/>
              </m:rPr>
              <w:rPr>
                <w:rFonts w:ascii="Cambria Math" w:hAnsi="Cambria Math"/>
              </w:rPr>
              <m:t>Value</m:t>
            </m:r>
          </m:e>
          <m:sub>
            <m:r>
              <m:rPr>
                <m:sty m:val="bi"/>
              </m:rPr>
              <w:rPr>
                <w:rFonts w:ascii="Cambria Math" w:hAnsi="Cambria Math"/>
              </w:rPr>
              <m:t>IP</m:t>
            </m:r>
          </m:sub>
        </m:sSub>
      </m:oMath>
      <w:r w:rsidR="00F740B9" w:rsidRPr="009679B3">
        <w:t xml:space="preserve"> is the residual value of the property (building and land) at the end of the investment period.</w:t>
      </w:r>
    </w:p>
    <w:p w14:paraId="417172F6" w14:textId="00990DF1" w:rsidR="00807559" w:rsidRPr="009679B3" w:rsidRDefault="00807559" w:rsidP="007F5AEA">
      <w:pPr>
        <w:pStyle w:val="ListParagraph"/>
        <w:numPr>
          <w:ilvl w:val="0"/>
          <w:numId w:val="4"/>
        </w:numPr>
      </w:pPr>
      <m:oMath>
        <m:r>
          <m:rPr>
            <m:sty m:val="bi"/>
          </m:rPr>
          <w:rPr>
            <w:rFonts w:ascii="Cambria Math" w:hAnsi="Cambria Math"/>
          </w:rPr>
          <m:t>Acquisition.Cost</m:t>
        </m:r>
      </m:oMath>
      <w:r>
        <w:rPr>
          <w:b/>
        </w:rPr>
        <w:t xml:space="preserve"> </w:t>
      </w:r>
      <w:r w:rsidRPr="00807559">
        <w:rPr>
          <w:bCs/>
        </w:rPr>
        <w:t>is as</w:t>
      </w:r>
      <w:r>
        <w:rPr>
          <w:bCs/>
        </w:rPr>
        <w:t xml:space="preserve"> defined on page </w:t>
      </w:r>
      <w:r>
        <w:rPr>
          <w:bCs/>
        </w:rPr>
        <w:fldChar w:fldCharType="begin"/>
      </w:r>
      <w:r>
        <w:rPr>
          <w:bCs/>
        </w:rPr>
        <w:instrText xml:space="preserve"> PAGEREF _Ref113461433 \h </w:instrText>
      </w:r>
      <w:r>
        <w:rPr>
          <w:bCs/>
        </w:rPr>
      </w:r>
      <w:r>
        <w:rPr>
          <w:bCs/>
        </w:rPr>
        <w:fldChar w:fldCharType="separate"/>
      </w:r>
      <w:r>
        <w:rPr>
          <w:bCs/>
          <w:noProof/>
        </w:rPr>
        <w:t>24</w:t>
      </w:r>
      <w:r>
        <w:rPr>
          <w:bCs/>
        </w:rPr>
        <w:fldChar w:fldCharType="end"/>
      </w:r>
      <w:r>
        <w:rPr>
          <w:bCs/>
        </w:rPr>
        <w:t>.</w:t>
      </w:r>
    </w:p>
    <w:p w14:paraId="29640BCF" w14:textId="109FAD91" w:rsidR="00F740B9" w:rsidRPr="009679B3" w:rsidRDefault="0095150D" w:rsidP="007F5AEA">
      <w:pPr>
        <w:pStyle w:val="ListParagraph"/>
        <w:numPr>
          <w:ilvl w:val="0"/>
          <w:numId w:val="4"/>
        </w:numPr>
      </w:pPr>
      <m:oMath>
        <m:sSub>
          <m:sSubPr>
            <m:ctrlPr>
              <w:rPr>
                <w:rFonts w:ascii="Cambria Math" w:hAnsi="Cambria Math"/>
                <w:b/>
                <w:bCs/>
                <w:i/>
              </w:rPr>
            </m:ctrlPr>
          </m:sSubPr>
          <m:e>
            <m:r>
              <m:rPr>
                <m:sty m:val="bi"/>
              </m:rPr>
              <w:rPr>
                <w:rFonts w:ascii="Cambria Math" w:hAnsi="Cambria Math"/>
              </w:rPr>
              <m:t>Buil</m:t>
            </m:r>
            <m:r>
              <m:rPr>
                <m:sty m:val="bi"/>
              </m:rPr>
              <w:rPr>
                <w:rFonts w:ascii="Cambria Math" w:hAnsi="Cambria Math"/>
              </w:rPr>
              <m:t>d</m:t>
            </m:r>
            <m:r>
              <m:rPr>
                <m:sty m:val="bi"/>
              </m:rPr>
              <w:rPr>
                <w:rFonts w:ascii="Cambria Math" w:hAnsi="Cambria Math"/>
              </w:rPr>
              <m:t>.</m:t>
            </m:r>
            <m:r>
              <m:rPr>
                <m:sty m:val="bi"/>
              </m:rPr>
              <w:rPr>
                <w:rFonts w:ascii="Cambria Math" w:hAnsi="Cambria Math"/>
              </w:rPr>
              <m:t>Value</m:t>
            </m:r>
          </m:e>
          <m:sub>
            <m:r>
              <m:rPr>
                <m:sty m:val="bi"/>
              </m:rPr>
              <w:rPr>
                <w:rFonts w:ascii="Cambria Math" w:hAnsi="Cambria Math"/>
              </w:rPr>
              <m:t>0</m:t>
            </m:r>
          </m:sub>
        </m:sSub>
      </m:oMath>
      <w:r w:rsidR="00F740B9" w:rsidRPr="009679B3">
        <w:t xml:space="preserve"> is the initial cost of the building.</w:t>
      </w:r>
    </w:p>
    <w:p w14:paraId="680485A2" w14:textId="6E6D1A4A" w:rsidR="00F740B9" w:rsidRDefault="00685A2C" w:rsidP="007F5AEA">
      <w:pPr>
        <w:pStyle w:val="ListParagraph"/>
        <w:numPr>
          <w:ilvl w:val="0"/>
          <w:numId w:val="4"/>
        </w:numPr>
      </w:pPr>
      <m:oMath>
        <m:r>
          <m:rPr>
            <m:sty m:val="bi"/>
          </m:rPr>
          <w:rPr>
            <w:rFonts w:ascii="Cambria Math" w:hAnsi="Cambria Math"/>
          </w:rPr>
          <m:t>IP</m:t>
        </m:r>
        <m:r>
          <w:rPr>
            <w:rFonts w:ascii="Cambria Math" w:hAnsi="Cambria Math"/>
          </w:rPr>
          <m:t xml:space="preserve"> </m:t>
        </m:r>
      </m:oMath>
      <w:r w:rsidR="00F740B9">
        <w:t xml:space="preserve">is the number of years in the investment period. This is </w:t>
      </w:r>
      <w:r>
        <w:t>currently always</w:t>
      </w:r>
      <w:r w:rsidR="00F740B9">
        <w:t xml:space="preserve"> assumed to be 20.</w:t>
      </w:r>
    </w:p>
    <w:p w14:paraId="108798E2" w14:textId="23950D07" w:rsidR="00F740B9" w:rsidRPr="00CC51BD" w:rsidRDefault="00CC51BD" w:rsidP="007F5AEA">
      <w:pPr>
        <w:pStyle w:val="ListParagraph"/>
        <w:numPr>
          <w:ilvl w:val="0"/>
          <w:numId w:val="4"/>
        </w:numPr>
      </w:pPr>
      <m:oMath>
        <m:r>
          <m:rPr>
            <m:sty m:val="bi"/>
          </m:rPr>
          <w:rPr>
            <w:rFonts w:ascii="Cambria Math" w:hAnsi="Cambria Math"/>
          </w:rPr>
          <m:t>Tax.Life</m:t>
        </m:r>
      </m:oMath>
      <w:r w:rsidR="00F740B9" w:rsidRPr="00CC51BD">
        <w:t xml:space="preserve"> is the life of the building for depreciation purposes and is </w:t>
      </w:r>
      <w:r w:rsidR="00685A2C">
        <w:t xml:space="preserve">currently </w:t>
      </w:r>
      <w:r w:rsidR="00F740B9" w:rsidRPr="00CC51BD">
        <w:t>assumed to be 40 years in all cases.</w:t>
      </w:r>
    </w:p>
    <w:p w14:paraId="3D00C156" w14:textId="44AAF12C" w:rsidR="00F740B9" w:rsidRPr="00087A3E" w:rsidRDefault="00807559" w:rsidP="007F5AEA">
      <w:pPr>
        <w:pStyle w:val="ListParagraph"/>
        <w:numPr>
          <w:ilvl w:val="0"/>
          <w:numId w:val="4"/>
        </w:numPr>
      </w:pPr>
      <m:oMath>
        <m:r>
          <m:rPr>
            <m:sty m:val="bi"/>
          </m:rPr>
          <w:rPr>
            <w:rFonts w:ascii="Cambria Math" w:hAnsi="Cambria Math"/>
          </w:rPr>
          <m:t>Tax.Rate</m:t>
        </m:r>
      </m:oMath>
      <w:r w:rsidRPr="00CC51BD">
        <w:t xml:space="preserve"> </w:t>
      </w:r>
      <w:r w:rsidR="00F740B9">
        <w:t>is the r</w:t>
      </w:r>
      <w:r w:rsidR="00F740B9" w:rsidRPr="00E42DA9">
        <w:t xml:space="preserve">ate of tax payable by the provider. </w:t>
      </w:r>
      <w:r w:rsidR="00685A2C">
        <w:t>This is</w:t>
      </w:r>
      <w:r w:rsidR="00F740B9">
        <w:t xml:space="preserve"> </w:t>
      </w:r>
      <w:r w:rsidR="00685A2C">
        <w:t xml:space="preserve">currently </w:t>
      </w:r>
      <w:r w:rsidR="00F740B9">
        <w:t xml:space="preserve">assumed to be 30% in all cases </w:t>
      </w:r>
      <w:r w:rsidR="00F740B9" w:rsidRPr="003D4E89">
        <w:t xml:space="preserve">(see </w:t>
      </w:r>
      <w:r w:rsidR="00F740B9" w:rsidRPr="00283CDB">
        <w:t xml:space="preserve">page </w:t>
      </w:r>
      <w:r w:rsidR="00EE1371">
        <w:fldChar w:fldCharType="begin"/>
      </w:r>
      <w:r w:rsidR="00EE1371">
        <w:instrText xml:space="preserve"> PAGEREF _Ref115957669 \h </w:instrText>
      </w:r>
      <w:r w:rsidR="00EE1371">
        <w:fldChar w:fldCharType="separate"/>
      </w:r>
      <w:r w:rsidR="00765987">
        <w:rPr>
          <w:noProof/>
        </w:rPr>
        <w:t>22</w:t>
      </w:r>
      <w:r w:rsidR="00EE1371">
        <w:fldChar w:fldCharType="end"/>
      </w:r>
      <w:r w:rsidR="00F740B9">
        <w:t>).</w:t>
      </w:r>
    </w:p>
    <w:p w14:paraId="6105D2A9" w14:textId="0475EFF8" w:rsidR="00F740B9" w:rsidRDefault="00F740B9" w:rsidP="007F5AEA">
      <w:r>
        <w:t>Note, the last two terms in the brackets in final equation equate to the capital gain on the building and land over the investment period, with the last term in the brackets in final equation equating to the amount of value already written off for depreciation in earlier year tax costs over the life of the investment.</w:t>
      </w:r>
    </w:p>
    <w:p w14:paraId="1C5CFD18" w14:textId="4B78B208" w:rsidR="00C61F9D" w:rsidRDefault="00D3108D" w:rsidP="00FA12C8">
      <w:pPr>
        <w:pStyle w:val="Heading2"/>
      </w:pPr>
      <w:bookmarkStart w:id="43" w:name="_Toc116293081"/>
      <w:r>
        <w:lastRenderedPageBreak/>
        <w:t xml:space="preserve">Detailed Methodology – </w:t>
      </w:r>
      <w:r w:rsidR="007F5AEA">
        <w:t xml:space="preserve">Price Limits for </w:t>
      </w:r>
      <w:r w:rsidR="00EC284D" w:rsidRPr="00EC284D">
        <w:t>E</w:t>
      </w:r>
      <w:r w:rsidR="00DB5FA9">
        <w:t xml:space="preserve">xisting </w:t>
      </w:r>
      <w:bookmarkEnd w:id="43"/>
      <w:r w:rsidR="00EE1371">
        <w:t>Stock</w:t>
      </w:r>
    </w:p>
    <w:p w14:paraId="5E8D84C1" w14:textId="0E3F1376" w:rsidR="00CA2393" w:rsidRDefault="00A378EA" w:rsidP="00A378EA">
      <w:r>
        <w:t xml:space="preserve">For </w:t>
      </w:r>
      <w:r w:rsidR="008F29B7">
        <w:t>Existing Stock</w:t>
      </w:r>
      <w:r>
        <w:t xml:space="preserve">, </w:t>
      </w:r>
      <w:r w:rsidR="00CA2393">
        <w:t xml:space="preserve">the amount of the </w:t>
      </w:r>
      <w:proofErr w:type="spellStart"/>
      <w:r w:rsidR="00CA2393" w:rsidRPr="00F668F8">
        <w:rPr>
          <w:b/>
          <w:bCs/>
        </w:rPr>
        <w:t>SDA.Payment</w:t>
      </w:r>
      <w:proofErr w:type="spellEnd"/>
      <w:r w:rsidR="00CA2393">
        <w:t xml:space="preserve"> is </w:t>
      </w:r>
      <w:r>
        <w:t xml:space="preserve">2015-16 is </w:t>
      </w:r>
      <w:r w:rsidR="00CA2393">
        <w:t>determined by the following formula:</w:t>
      </w:r>
    </w:p>
    <w:p w14:paraId="762ABE12" w14:textId="77777777" w:rsidR="00CA2393" w:rsidRPr="00546527" w:rsidRDefault="0095150D" w:rsidP="00A378EA">
      <w:pPr>
        <w:spacing w:before="300" w:after="300"/>
        <w:rPr>
          <w:rFonts w:ascii="Cambria Math" w:hAnsi="Cambria Math"/>
          <w:i/>
        </w:rPr>
      </w:pPr>
      <m:oMathPara>
        <m:oMath>
          <m:f>
            <m:fPr>
              <m:ctrlPr>
                <w:rPr>
                  <w:rFonts w:ascii="Cambria Math" w:hAnsi="Cambria Math"/>
                  <w:i/>
                </w:rPr>
              </m:ctrlPr>
            </m:fPr>
            <m:num>
              <m:r>
                <w:rPr>
                  <w:rFonts w:ascii="Cambria Math" w:hAnsi="Cambria Math"/>
                </w:rPr>
                <m:t>Acquisition</m:t>
              </m:r>
              <m:r>
                <w:rPr>
                  <w:rFonts w:ascii="Cambria Math" w:hAnsi="Cambria Math"/>
                </w:rPr>
                <m:t>.</m:t>
              </m:r>
              <m:r>
                <w:rPr>
                  <w:rFonts w:ascii="Cambria Math" w:hAnsi="Cambria Math"/>
                </w:rPr>
                <m:t>Cost</m:t>
              </m:r>
              <m:r>
                <w:rPr>
                  <w:rFonts w:ascii="Cambria Math" w:hAnsi="Cambria Math"/>
                </w:rPr>
                <m:t>*</m:t>
              </m:r>
              <m:r>
                <w:rPr>
                  <w:rFonts w:ascii="Cambria Math" w:hAnsi="Cambria Math"/>
                </w:rPr>
                <m:t>Gross</m:t>
              </m:r>
              <m:r>
                <w:rPr>
                  <w:rFonts w:ascii="Cambria Math" w:hAnsi="Cambria Math"/>
                </w:rPr>
                <m:t>.</m:t>
              </m:r>
              <m:r>
                <w:rPr>
                  <w:rFonts w:ascii="Cambria Math" w:hAnsi="Cambria Math"/>
                </w:rPr>
                <m:t>Rental</m:t>
              </m:r>
              <m:r>
                <w:rPr>
                  <w:rFonts w:ascii="Cambria Math" w:hAnsi="Cambria Math"/>
                </w:rPr>
                <m:t>.</m:t>
              </m:r>
              <m:r>
                <w:rPr>
                  <w:rFonts w:ascii="Cambria Math" w:hAnsi="Cambria Math"/>
                </w:rPr>
                <m:t>Yield</m:t>
              </m:r>
              <m:r>
                <w:rPr>
                  <w:rFonts w:ascii="Cambria Math" w:hAnsi="Cambria Math"/>
                </w:rPr>
                <m:t>*</m:t>
              </m:r>
              <m:d>
                <m:dPr>
                  <m:begChr m:val="["/>
                  <m:endChr m:val="]"/>
                  <m:ctrlPr>
                    <w:rPr>
                      <w:rFonts w:ascii="Cambria Math" w:hAnsi="Cambria Math"/>
                      <w:i/>
                    </w:rPr>
                  </m:ctrlPr>
                </m:dPr>
                <m:e>
                  <m:r>
                    <w:rPr>
                      <w:rFonts w:ascii="Cambria Math" w:hAnsi="Cambria Math"/>
                    </w:rPr>
                    <m:t>1+</m:t>
                  </m:r>
                  <m:r>
                    <w:rPr>
                      <w:rFonts w:ascii="Cambria Math" w:hAnsi="Cambria Math"/>
                    </w:rPr>
                    <m:t>Sprinkler</m:t>
                  </m:r>
                  <m:r>
                    <w:rPr>
                      <w:rFonts w:ascii="Cambria Math" w:hAnsi="Cambria Math"/>
                    </w:rPr>
                    <m:t>.</m:t>
                  </m:r>
                  <m:r>
                    <w:rPr>
                      <w:rFonts w:ascii="Cambria Math" w:hAnsi="Cambria Math"/>
                    </w:rPr>
                    <m:t>Factor</m:t>
                  </m:r>
                  <m:r>
                    <w:rPr>
                      <w:rFonts w:ascii="Cambria Math" w:hAnsi="Cambria Math"/>
                    </w:rPr>
                    <m:t xml:space="preserve"> </m:t>
                  </m:r>
                </m:e>
              </m:d>
            </m:num>
            <m:den>
              <m:r>
                <w:rPr>
                  <w:rFonts w:ascii="Cambria Math" w:hAnsi="Cambria Math"/>
                </w:rPr>
                <m:t>Number</m:t>
              </m:r>
              <m:r>
                <w:rPr>
                  <w:rFonts w:ascii="Cambria Math" w:hAnsi="Cambria Math"/>
                </w:rPr>
                <m:t>.</m:t>
              </m:r>
              <m:r>
                <w:rPr>
                  <w:rFonts w:ascii="Cambria Math" w:hAnsi="Cambria Math"/>
                </w:rPr>
                <m:t>Bedrooms</m:t>
              </m:r>
              <m:r>
                <w:rPr>
                  <w:rFonts w:ascii="Cambria Math" w:hAnsi="Cambria Math"/>
                </w:rPr>
                <m:t>*</m:t>
              </m:r>
              <m:d>
                <m:dPr>
                  <m:begChr m:val="["/>
                  <m:endChr m:val="]"/>
                  <m:ctrlPr>
                    <w:rPr>
                      <w:rFonts w:ascii="Cambria Math" w:hAnsi="Cambria Math"/>
                      <w:i/>
                    </w:rPr>
                  </m:ctrlPr>
                </m:dPr>
                <m:e>
                  <m:r>
                    <w:rPr>
                      <w:rFonts w:ascii="Cambria Math" w:hAnsi="Cambria Math"/>
                    </w:rPr>
                    <m:t>1-</m:t>
                  </m:r>
                  <m:r>
                    <w:rPr>
                      <w:rFonts w:ascii="Cambria Math" w:hAnsi="Cambria Math"/>
                    </w:rPr>
                    <m:t>Vacancy</m:t>
                  </m:r>
                  <m:r>
                    <w:rPr>
                      <w:rFonts w:ascii="Cambria Math" w:hAnsi="Cambria Math"/>
                    </w:rPr>
                    <m:t>.</m:t>
                  </m:r>
                  <m:r>
                    <w:rPr>
                      <w:rFonts w:ascii="Cambria Math" w:hAnsi="Cambria Math"/>
                    </w:rPr>
                    <m:t>Rate</m:t>
                  </m:r>
                </m:e>
              </m:d>
            </m:den>
          </m:f>
        </m:oMath>
      </m:oMathPara>
    </w:p>
    <w:p w14:paraId="2D54A4E6" w14:textId="77777777" w:rsidR="00CA2393" w:rsidRPr="00CC51BD" w:rsidRDefault="00CA2393" w:rsidP="00A378EA">
      <w:r w:rsidRPr="00CC51BD">
        <w:t>Where:</w:t>
      </w:r>
    </w:p>
    <w:p w14:paraId="2346E818" w14:textId="1A05ADDA" w:rsidR="00CC51BD" w:rsidRDefault="00CC51BD" w:rsidP="00A378EA">
      <w:pPr>
        <w:pStyle w:val="ListParagraph"/>
        <w:numPr>
          <w:ilvl w:val="0"/>
          <w:numId w:val="4"/>
        </w:numPr>
      </w:pPr>
      <w:proofErr w:type="spellStart"/>
      <w:r w:rsidRPr="00F668F8">
        <w:rPr>
          <w:b/>
          <w:bCs/>
        </w:rPr>
        <w:t>Acquisition.Cost</w:t>
      </w:r>
      <w:proofErr w:type="spellEnd"/>
      <w:r>
        <w:t xml:space="preserve"> is the initial cost of the land and buildings (in 2015-16 prices) and is assumed to be the same as the cost of </w:t>
      </w:r>
      <w:r w:rsidR="005F132E">
        <w:t>N</w:t>
      </w:r>
      <w:r>
        <w:t xml:space="preserve">ew </w:t>
      </w:r>
      <w:r w:rsidR="005F132E">
        <w:t>B</w:t>
      </w:r>
      <w:r>
        <w:t xml:space="preserve">uilds – </w:t>
      </w:r>
      <w:r w:rsidRPr="0075642F">
        <w:t xml:space="preserve">see </w:t>
      </w:r>
      <w:r w:rsidRPr="00157176">
        <w:t>page</w:t>
      </w:r>
      <w:r w:rsidR="00685A2C" w:rsidRPr="00157176">
        <w:t xml:space="preserve"> </w:t>
      </w:r>
      <w:r w:rsidR="00685A2C" w:rsidRPr="00157176">
        <w:fldChar w:fldCharType="begin"/>
      </w:r>
      <w:r w:rsidR="00685A2C" w:rsidRPr="00157176">
        <w:instrText xml:space="preserve"> PAGEREF _Ref113461433 \h </w:instrText>
      </w:r>
      <w:r w:rsidR="00685A2C" w:rsidRPr="00157176">
        <w:fldChar w:fldCharType="separate"/>
      </w:r>
      <w:r w:rsidR="00765987">
        <w:rPr>
          <w:noProof/>
        </w:rPr>
        <w:t>24</w:t>
      </w:r>
      <w:r w:rsidR="00685A2C" w:rsidRPr="00157176">
        <w:fldChar w:fldCharType="end"/>
      </w:r>
      <w:r w:rsidR="00685A2C">
        <w:t>.</w:t>
      </w:r>
    </w:p>
    <w:p w14:paraId="6844E427" w14:textId="77777777" w:rsidR="00A378EA" w:rsidRDefault="00CC51BD" w:rsidP="00A378EA">
      <w:pPr>
        <w:pStyle w:val="ListParagraph"/>
        <w:numPr>
          <w:ilvl w:val="0"/>
          <w:numId w:val="4"/>
        </w:numPr>
      </w:pPr>
      <w:proofErr w:type="spellStart"/>
      <w:proofErr w:type="gramStart"/>
      <w:r w:rsidRPr="00F668F8">
        <w:rPr>
          <w:b/>
          <w:bCs/>
        </w:rPr>
        <w:t>Gross.Rental</w:t>
      </w:r>
      <w:r w:rsidRPr="00CC51BD">
        <w:rPr>
          <w:b/>
          <w:bCs/>
        </w:rPr>
        <w:t>.Yield</w:t>
      </w:r>
      <w:proofErr w:type="spellEnd"/>
      <w:proofErr w:type="gramEnd"/>
      <w:r w:rsidRPr="00CC51BD">
        <w:t xml:space="preserve"> is the total annual rental income received from a property before tax divided by the value of the property. </w:t>
      </w:r>
    </w:p>
    <w:p w14:paraId="7242A0B4" w14:textId="61A2C5B4" w:rsidR="00CC51BD" w:rsidRPr="00CC51BD" w:rsidRDefault="00CC51BD">
      <w:pPr>
        <w:pStyle w:val="ListParagraph"/>
        <w:numPr>
          <w:ilvl w:val="0"/>
          <w:numId w:val="12"/>
        </w:numPr>
      </w:pPr>
      <w:r>
        <w:t xml:space="preserve">This is </w:t>
      </w:r>
      <w:r w:rsidR="00685A2C">
        <w:t xml:space="preserve">currently </w:t>
      </w:r>
      <w:r>
        <w:t>assumed to be 6</w:t>
      </w:r>
      <w:r w:rsidRPr="00CC51BD">
        <w:t>.5% for apartments and 5.5% for houses and villas/duplexes/townhouses.</w:t>
      </w:r>
    </w:p>
    <w:p w14:paraId="011C1E3E" w14:textId="77777777" w:rsidR="00CA2393" w:rsidRPr="00CC51BD" w:rsidRDefault="00CA2393" w:rsidP="00A378EA">
      <w:pPr>
        <w:pStyle w:val="ListParagraph"/>
        <w:numPr>
          <w:ilvl w:val="0"/>
          <w:numId w:val="4"/>
        </w:numPr>
      </w:pPr>
      <w:proofErr w:type="spellStart"/>
      <w:r w:rsidRPr="00CC51BD">
        <w:rPr>
          <w:b/>
        </w:rPr>
        <w:t>Number.Bedrooms</w:t>
      </w:r>
      <w:proofErr w:type="spellEnd"/>
      <w:r w:rsidRPr="00CC51BD">
        <w:t xml:space="preserve"> is the number of bedrooms in the dwelling</w:t>
      </w:r>
    </w:p>
    <w:p w14:paraId="2EC0E5F3" w14:textId="5E71AD98" w:rsidR="00CA2393" w:rsidRPr="00CC51BD" w:rsidRDefault="00CA2393" w:rsidP="00A378EA">
      <w:pPr>
        <w:pStyle w:val="ListParagraph"/>
        <w:numPr>
          <w:ilvl w:val="0"/>
          <w:numId w:val="4"/>
        </w:numPr>
        <w:rPr>
          <w:b/>
        </w:rPr>
      </w:pPr>
      <w:proofErr w:type="spellStart"/>
      <w:r w:rsidRPr="00CC51BD">
        <w:rPr>
          <w:b/>
        </w:rPr>
        <w:t>Sprinkler.Allowance</w:t>
      </w:r>
      <w:proofErr w:type="spellEnd"/>
      <w:r w:rsidRPr="00CC51BD">
        <w:t xml:space="preserve"> is</w:t>
      </w:r>
      <w:r w:rsidR="00685A2C">
        <w:t xml:space="preserve"> currently assumed to be</w:t>
      </w:r>
      <w:r w:rsidRPr="00CC51BD">
        <w:t xml:space="preserve"> 0% if there are </w:t>
      </w:r>
      <w:r w:rsidR="00A378EA">
        <w:t xml:space="preserve">no </w:t>
      </w:r>
      <w:r w:rsidRPr="00CC51BD">
        <w:t xml:space="preserve">sprinklers and is otherwise 1.2% for Apartments and 1.9% for other </w:t>
      </w:r>
      <w:r w:rsidR="00060F47">
        <w:t>Building T</w:t>
      </w:r>
      <w:r w:rsidRPr="00CC51BD">
        <w:t>ypes</w:t>
      </w:r>
      <w:r w:rsidR="00060F47">
        <w:t xml:space="preserve"> </w:t>
      </w:r>
      <w:r w:rsidRPr="00CC51BD">
        <w:t xml:space="preserve">– same as for </w:t>
      </w:r>
      <w:r w:rsidR="005F132E">
        <w:t>N</w:t>
      </w:r>
      <w:r w:rsidRPr="00CC51BD">
        <w:t xml:space="preserve">ew </w:t>
      </w:r>
      <w:r w:rsidR="005F132E">
        <w:t>B</w:t>
      </w:r>
      <w:r w:rsidRPr="00CC51BD">
        <w:t>uilds.</w:t>
      </w:r>
    </w:p>
    <w:p w14:paraId="39426250" w14:textId="3FF107AC" w:rsidR="00CA2393" w:rsidRPr="00CC51BD" w:rsidRDefault="00CA2393" w:rsidP="00A378EA">
      <w:pPr>
        <w:pStyle w:val="ListParagraph"/>
        <w:numPr>
          <w:ilvl w:val="0"/>
          <w:numId w:val="4"/>
        </w:numPr>
      </w:pPr>
      <w:proofErr w:type="spellStart"/>
      <w:r w:rsidRPr="00CC51BD">
        <w:rPr>
          <w:b/>
        </w:rPr>
        <w:t>Vacancy.Rate</w:t>
      </w:r>
      <w:proofErr w:type="spellEnd"/>
      <w:r w:rsidRPr="00CC51BD">
        <w:t xml:space="preserve"> is the assumed vacancy rate for the dwelling – see </w:t>
      </w:r>
      <w:r w:rsidR="00E46182" w:rsidRPr="00CC51BD">
        <w:fldChar w:fldCharType="begin"/>
      </w:r>
      <w:r w:rsidR="00E46182" w:rsidRPr="00CC51BD">
        <w:instrText xml:space="preserve"> REF _Ref107398556 \h </w:instrText>
      </w:r>
      <w:r w:rsidR="00E46182" w:rsidRPr="00CC51BD">
        <w:fldChar w:fldCharType="separate"/>
      </w:r>
      <w:r w:rsidR="00765987" w:rsidRPr="00392B76">
        <w:t xml:space="preserve">Table </w:t>
      </w:r>
      <w:r w:rsidR="00765987">
        <w:rPr>
          <w:noProof/>
        </w:rPr>
        <w:t>15</w:t>
      </w:r>
      <w:r w:rsidR="00E46182" w:rsidRPr="00CC51BD">
        <w:fldChar w:fldCharType="end"/>
      </w:r>
      <w:r w:rsidR="00685A2C">
        <w:t xml:space="preserve"> for current assumptions, which are the</w:t>
      </w:r>
      <w:r w:rsidRPr="00CC51BD">
        <w:t xml:space="preserve"> same as for </w:t>
      </w:r>
      <w:r w:rsidR="005F132E">
        <w:t>N</w:t>
      </w:r>
      <w:r w:rsidRPr="00CC51BD">
        <w:t xml:space="preserve">ew </w:t>
      </w:r>
      <w:r w:rsidR="005F132E">
        <w:t>B</w:t>
      </w:r>
      <w:r w:rsidRPr="00CC51BD">
        <w:t>uilds. Note, this is the vacancy rate for the entire dwelling not for a single bedroom in the dwelling.</w:t>
      </w:r>
    </w:p>
    <w:p w14:paraId="42C25D88" w14:textId="7E8A20F1" w:rsidR="00CA2393" w:rsidRPr="00E8672A" w:rsidRDefault="00CA2393" w:rsidP="00A378EA">
      <w:pPr>
        <w:pStyle w:val="Caption"/>
        <w:spacing w:before="120"/>
      </w:pPr>
      <w:bookmarkStart w:id="44" w:name="_Ref107398556"/>
      <w:r w:rsidRPr="00392B76">
        <w:t xml:space="preserve">Table </w:t>
      </w:r>
      <w:r w:rsidR="0095150D">
        <w:fldChar w:fldCharType="begin"/>
      </w:r>
      <w:r w:rsidR="0095150D">
        <w:instrText xml:space="preserve"> SEQ Table \* ARABIC </w:instrText>
      </w:r>
      <w:r w:rsidR="0095150D">
        <w:fldChar w:fldCharType="separate"/>
      </w:r>
      <w:r w:rsidR="00765987">
        <w:rPr>
          <w:noProof/>
        </w:rPr>
        <w:t>15</w:t>
      </w:r>
      <w:r w:rsidR="0095150D">
        <w:rPr>
          <w:noProof/>
        </w:rPr>
        <w:fldChar w:fldCharType="end"/>
      </w:r>
      <w:bookmarkEnd w:id="44"/>
      <w:r w:rsidRPr="00392B76">
        <w:t xml:space="preserve">: </w:t>
      </w:r>
      <w:r>
        <w:t>Vacancy Rates</w:t>
      </w:r>
      <w:r w:rsidR="00E46182">
        <w:t xml:space="preserve"> for Existing Dwellings</w:t>
      </w:r>
    </w:p>
    <w:tbl>
      <w:tblPr>
        <w:tblStyle w:val="GridTable4"/>
        <w:tblW w:w="2427" w:type="pct"/>
        <w:tblInd w:w="2315" w:type="dxa"/>
        <w:tblLook w:val="0420" w:firstRow="1" w:lastRow="0" w:firstColumn="0" w:lastColumn="0" w:noHBand="0" w:noVBand="1"/>
      </w:tblPr>
      <w:tblGrid>
        <w:gridCol w:w="2112"/>
        <w:gridCol w:w="1008"/>
        <w:gridCol w:w="1257"/>
      </w:tblGrid>
      <w:tr w:rsidR="00CA2393" w:rsidRPr="004B2A97" w14:paraId="251C1B81" w14:textId="77777777" w:rsidTr="00B26383">
        <w:trPr>
          <w:cnfStyle w:val="100000000000" w:firstRow="1" w:lastRow="0" w:firstColumn="0" w:lastColumn="0" w:oddVBand="0" w:evenVBand="0" w:oddHBand="0" w:evenHBand="0" w:firstRowFirstColumn="0" w:firstRowLastColumn="0" w:lastRowFirstColumn="0" w:lastRowLastColumn="0"/>
        </w:trPr>
        <w:tc>
          <w:tcPr>
            <w:tcW w:w="2413" w:type="pct"/>
            <w:hideMark/>
          </w:tcPr>
          <w:p w14:paraId="358B110F" w14:textId="77777777" w:rsidR="00CA2393" w:rsidRPr="004B2A97" w:rsidRDefault="00CA2393" w:rsidP="00A378EA">
            <w:pPr>
              <w:keepNext/>
              <w:spacing w:line="200" w:lineRule="atLeast"/>
              <w:rPr>
                <w:rFonts w:eastAsia="Times New Roman" w:cstheme="minorHAnsi"/>
                <w:szCs w:val="16"/>
                <w:lang w:eastAsia="en-AU"/>
              </w:rPr>
            </w:pPr>
            <w:r w:rsidRPr="004B2A97">
              <w:rPr>
                <w:rFonts w:eastAsia="Times New Roman" w:cstheme="minorHAnsi"/>
                <w:szCs w:val="16"/>
                <w:lang w:eastAsia="en-AU"/>
              </w:rPr>
              <w:t>Building Type</w:t>
            </w:r>
          </w:p>
        </w:tc>
        <w:tc>
          <w:tcPr>
            <w:tcW w:w="1151" w:type="pct"/>
            <w:hideMark/>
          </w:tcPr>
          <w:p w14:paraId="331A4072" w14:textId="77777777" w:rsidR="00CA2393" w:rsidRPr="004B2A97" w:rsidRDefault="00CA2393" w:rsidP="00130F86">
            <w:pPr>
              <w:keepNext/>
              <w:spacing w:line="200" w:lineRule="atLeast"/>
              <w:jc w:val="center"/>
              <w:rPr>
                <w:rFonts w:eastAsia="Times New Roman" w:cstheme="minorHAnsi"/>
                <w:szCs w:val="16"/>
                <w:lang w:eastAsia="en-AU"/>
              </w:rPr>
            </w:pPr>
            <w:r w:rsidRPr="004B2A97">
              <w:rPr>
                <w:rFonts w:eastAsia="Times New Roman" w:cstheme="minorHAnsi"/>
                <w:szCs w:val="16"/>
                <w:lang w:eastAsia="en-AU"/>
              </w:rPr>
              <w:t>Bedrooms</w:t>
            </w:r>
          </w:p>
        </w:tc>
        <w:tc>
          <w:tcPr>
            <w:tcW w:w="1436" w:type="pct"/>
            <w:noWrap/>
            <w:hideMark/>
          </w:tcPr>
          <w:p w14:paraId="112720A5" w14:textId="77777777" w:rsidR="00CA2393" w:rsidRPr="004B2A97" w:rsidRDefault="00CA2393" w:rsidP="00130F86">
            <w:pPr>
              <w:keepNext/>
              <w:spacing w:line="200" w:lineRule="atLeast"/>
              <w:jc w:val="center"/>
              <w:rPr>
                <w:rFonts w:eastAsia="Times New Roman" w:cstheme="minorHAnsi"/>
                <w:szCs w:val="16"/>
                <w:lang w:eastAsia="en-AU"/>
              </w:rPr>
            </w:pPr>
            <w:r>
              <w:rPr>
                <w:rFonts w:eastAsia="Times New Roman" w:cstheme="minorHAnsi"/>
                <w:szCs w:val="16"/>
                <w:lang w:eastAsia="en-AU"/>
              </w:rPr>
              <w:t>Vacancy Rate</w:t>
            </w:r>
          </w:p>
        </w:tc>
      </w:tr>
      <w:tr w:rsidR="00CA2393" w:rsidRPr="004B2A97" w14:paraId="7E9F796C" w14:textId="77777777" w:rsidTr="00B26383">
        <w:trPr>
          <w:cnfStyle w:val="000000100000" w:firstRow="0" w:lastRow="0" w:firstColumn="0" w:lastColumn="0" w:oddVBand="0" w:evenVBand="0" w:oddHBand="1" w:evenHBand="0" w:firstRowFirstColumn="0" w:firstRowLastColumn="0" w:lastRowFirstColumn="0" w:lastRowLastColumn="0"/>
        </w:trPr>
        <w:tc>
          <w:tcPr>
            <w:tcW w:w="2413" w:type="pct"/>
            <w:noWrap/>
            <w:hideMark/>
          </w:tcPr>
          <w:p w14:paraId="4257FB3B" w14:textId="77777777" w:rsidR="00CA2393" w:rsidRPr="004B2A97" w:rsidRDefault="00CA2393" w:rsidP="00A378EA">
            <w:pPr>
              <w:keepNext/>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151" w:type="pct"/>
            <w:noWrap/>
            <w:hideMark/>
          </w:tcPr>
          <w:p w14:paraId="444DD855" w14:textId="77777777" w:rsidR="00CA2393" w:rsidRPr="004B2A97" w:rsidRDefault="00CA2393" w:rsidP="00130F86">
            <w:pPr>
              <w:keepNext/>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1</w:t>
            </w:r>
          </w:p>
        </w:tc>
        <w:tc>
          <w:tcPr>
            <w:tcW w:w="1436" w:type="pct"/>
            <w:noWrap/>
            <w:hideMark/>
          </w:tcPr>
          <w:p w14:paraId="7970FCCF" w14:textId="77777777" w:rsidR="00CA2393" w:rsidRPr="00CC51BD" w:rsidRDefault="00CA2393" w:rsidP="00130F86">
            <w:pPr>
              <w:keepNext/>
              <w:spacing w:line="200" w:lineRule="atLeast"/>
              <w:jc w:val="center"/>
              <w:rPr>
                <w:rFonts w:eastAsia="Times New Roman" w:cstheme="minorHAnsi"/>
                <w:color w:val="6B2976" w:themeColor="text1"/>
                <w:szCs w:val="16"/>
                <w:lang w:eastAsia="en-AU"/>
              </w:rPr>
            </w:pPr>
            <w:r w:rsidRPr="00CC51BD">
              <w:rPr>
                <w:rFonts w:eastAsia="Times New Roman" w:cstheme="minorHAnsi"/>
                <w:color w:val="6B2976" w:themeColor="text1"/>
                <w:szCs w:val="16"/>
                <w:lang w:eastAsia="en-AU"/>
              </w:rPr>
              <w:t>3.0%</w:t>
            </w:r>
          </w:p>
        </w:tc>
      </w:tr>
      <w:tr w:rsidR="00CA2393" w:rsidRPr="004B2A97" w14:paraId="64FFF8CD" w14:textId="77777777" w:rsidTr="00B26383">
        <w:tc>
          <w:tcPr>
            <w:tcW w:w="2413" w:type="pct"/>
            <w:noWrap/>
          </w:tcPr>
          <w:p w14:paraId="4702178D" w14:textId="77777777" w:rsidR="00CA2393" w:rsidRPr="004B2A97" w:rsidRDefault="00CA2393" w:rsidP="00A378EA">
            <w:pPr>
              <w:keepNext/>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151" w:type="pct"/>
            <w:noWrap/>
          </w:tcPr>
          <w:p w14:paraId="364E44AE" w14:textId="77777777" w:rsidR="00CA2393" w:rsidRPr="004B2A97" w:rsidRDefault="00CA2393" w:rsidP="00130F86">
            <w:pPr>
              <w:keepNext/>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1436" w:type="pct"/>
            <w:noWrap/>
          </w:tcPr>
          <w:p w14:paraId="73AD937C" w14:textId="77777777" w:rsidR="00CA2393" w:rsidRPr="00CC51BD" w:rsidRDefault="00CA2393" w:rsidP="00130F86">
            <w:pPr>
              <w:keepNext/>
              <w:spacing w:line="200" w:lineRule="atLeast"/>
              <w:jc w:val="center"/>
              <w:rPr>
                <w:rFonts w:eastAsia="Times New Roman" w:cstheme="minorHAnsi"/>
                <w:color w:val="6B2976" w:themeColor="text1"/>
                <w:szCs w:val="16"/>
                <w:lang w:eastAsia="en-AU"/>
              </w:rPr>
            </w:pPr>
            <w:r w:rsidRPr="00CC51BD">
              <w:rPr>
                <w:rFonts w:eastAsia="Times New Roman" w:cstheme="minorHAnsi"/>
                <w:color w:val="6B2976" w:themeColor="text1"/>
                <w:szCs w:val="16"/>
                <w:lang w:eastAsia="en-AU"/>
              </w:rPr>
              <w:t>3.0%</w:t>
            </w:r>
          </w:p>
        </w:tc>
      </w:tr>
      <w:tr w:rsidR="00CA2393" w:rsidRPr="004B2A97" w14:paraId="0E349C2E" w14:textId="77777777" w:rsidTr="00B26383">
        <w:trPr>
          <w:cnfStyle w:val="000000100000" w:firstRow="0" w:lastRow="0" w:firstColumn="0" w:lastColumn="0" w:oddVBand="0" w:evenVBand="0" w:oddHBand="1" w:evenHBand="0" w:firstRowFirstColumn="0" w:firstRowLastColumn="0" w:lastRowFirstColumn="0" w:lastRowLastColumn="0"/>
        </w:trPr>
        <w:tc>
          <w:tcPr>
            <w:tcW w:w="2413" w:type="pct"/>
            <w:noWrap/>
          </w:tcPr>
          <w:p w14:paraId="4AF8BAF2" w14:textId="77777777" w:rsidR="00CA2393" w:rsidRPr="004B2A97" w:rsidRDefault="00CA2393" w:rsidP="00A378EA">
            <w:pPr>
              <w:keepNext/>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Apartment</w:t>
            </w:r>
          </w:p>
        </w:tc>
        <w:tc>
          <w:tcPr>
            <w:tcW w:w="1151" w:type="pct"/>
            <w:noWrap/>
          </w:tcPr>
          <w:p w14:paraId="4328B406" w14:textId="77777777" w:rsidR="00CA2393" w:rsidRPr="004B2A97" w:rsidRDefault="00CA2393" w:rsidP="00130F86">
            <w:pPr>
              <w:keepNext/>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1436" w:type="pct"/>
            <w:noWrap/>
          </w:tcPr>
          <w:p w14:paraId="0B8F296B" w14:textId="77777777" w:rsidR="00CA2393" w:rsidRPr="00CC51BD" w:rsidRDefault="00CA2393" w:rsidP="00130F86">
            <w:pPr>
              <w:keepNext/>
              <w:spacing w:line="200" w:lineRule="atLeast"/>
              <w:jc w:val="center"/>
              <w:rPr>
                <w:rFonts w:eastAsia="Times New Roman" w:cstheme="minorHAnsi"/>
                <w:color w:val="6B2976" w:themeColor="text1"/>
                <w:szCs w:val="16"/>
                <w:lang w:eastAsia="en-AU"/>
              </w:rPr>
            </w:pPr>
            <w:r w:rsidRPr="00CC51BD">
              <w:rPr>
                <w:rFonts w:eastAsia="Times New Roman" w:cstheme="minorHAnsi"/>
                <w:color w:val="6B2976" w:themeColor="text1"/>
                <w:szCs w:val="16"/>
                <w:lang w:eastAsia="en-AU"/>
              </w:rPr>
              <w:t>3.0%</w:t>
            </w:r>
          </w:p>
        </w:tc>
      </w:tr>
      <w:tr w:rsidR="00CA2393" w:rsidRPr="004B2A97" w14:paraId="4C7CCAE6" w14:textId="77777777" w:rsidTr="00B26383">
        <w:tc>
          <w:tcPr>
            <w:tcW w:w="2413" w:type="pct"/>
            <w:noWrap/>
          </w:tcPr>
          <w:p w14:paraId="13584DEE" w14:textId="77777777" w:rsidR="00CA2393" w:rsidRPr="004B2A97" w:rsidRDefault="00CA2393" w:rsidP="00A378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151" w:type="pct"/>
            <w:noWrap/>
          </w:tcPr>
          <w:p w14:paraId="3DB2664C" w14:textId="77777777" w:rsidR="00CA2393" w:rsidRPr="004B2A97" w:rsidRDefault="00CA2393"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1</w:t>
            </w:r>
          </w:p>
        </w:tc>
        <w:tc>
          <w:tcPr>
            <w:tcW w:w="1436" w:type="pct"/>
            <w:noWrap/>
          </w:tcPr>
          <w:p w14:paraId="000B4C5A" w14:textId="77777777" w:rsidR="00CA2393" w:rsidRPr="00CC51BD" w:rsidRDefault="00CA2393" w:rsidP="00130F86">
            <w:pPr>
              <w:spacing w:line="200" w:lineRule="atLeast"/>
              <w:jc w:val="center"/>
              <w:rPr>
                <w:rFonts w:eastAsia="Times New Roman" w:cstheme="minorHAnsi"/>
                <w:color w:val="6B2976" w:themeColor="text1"/>
                <w:szCs w:val="16"/>
                <w:lang w:eastAsia="en-AU"/>
              </w:rPr>
            </w:pPr>
            <w:r w:rsidRPr="00CC51BD">
              <w:rPr>
                <w:rFonts w:eastAsia="Times New Roman" w:cstheme="minorHAnsi"/>
                <w:color w:val="6B2976" w:themeColor="text1"/>
                <w:szCs w:val="16"/>
                <w:lang w:eastAsia="en-AU"/>
              </w:rPr>
              <w:t>3.0%</w:t>
            </w:r>
          </w:p>
        </w:tc>
      </w:tr>
      <w:tr w:rsidR="00CA2393" w:rsidRPr="004B2A97" w14:paraId="793DAD72" w14:textId="77777777" w:rsidTr="00B26383">
        <w:trPr>
          <w:cnfStyle w:val="000000100000" w:firstRow="0" w:lastRow="0" w:firstColumn="0" w:lastColumn="0" w:oddVBand="0" w:evenVBand="0" w:oddHBand="1" w:evenHBand="0" w:firstRowFirstColumn="0" w:firstRowLastColumn="0" w:lastRowFirstColumn="0" w:lastRowLastColumn="0"/>
        </w:trPr>
        <w:tc>
          <w:tcPr>
            <w:tcW w:w="2413" w:type="pct"/>
            <w:noWrap/>
          </w:tcPr>
          <w:p w14:paraId="6A80A7DB" w14:textId="77777777" w:rsidR="00CA2393" w:rsidRPr="004B2A97" w:rsidRDefault="00CA2393" w:rsidP="00A378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151" w:type="pct"/>
            <w:noWrap/>
          </w:tcPr>
          <w:p w14:paraId="64B45CEA" w14:textId="77777777" w:rsidR="00CA2393" w:rsidRPr="004B2A97" w:rsidRDefault="00CA2393"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1436" w:type="pct"/>
            <w:noWrap/>
          </w:tcPr>
          <w:p w14:paraId="765D6D79" w14:textId="77777777" w:rsidR="00CA2393" w:rsidRPr="00CC51BD" w:rsidRDefault="00CA2393" w:rsidP="00130F86">
            <w:pPr>
              <w:spacing w:line="200" w:lineRule="atLeast"/>
              <w:jc w:val="center"/>
              <w:rPr>
                <w:rFonts w:eastAsia="Times New Roman" w:cstheme="minorHAnsi"/>
                <w:color w:val="6B2976" w:themeColor="text1"/>
                <w:szCs w:val="16"/>
                <w:lang w:eastAsia="en-AU"/>
              </w:rPr>
            </w:pPr>
            <w:r w:rsidRPr="00CC51BD">
              <w:rPr>
                <w:rFonts w:eastAsia="Times New Roman" w:cstheme="minorHAnsi"/>
                <w:color w:val="6B2976" w:themeColor="text1"/>
                <w:szCs w:val="16"/>
                <w:lang w:eastAsia="en-AU"/>
              </w:rPr>
              <w:t>5.0%</w:t>
            </w:r>
          </w:p>
        </w:tc>
      </w:tr>
      <w:tr w:rsidR="00CA2393" w:rsidRPr="004B2A97" w14:paraId="74F40F88" w14:textId="77777777" w:rsidTr="00B26383">
        <w:tc>
          <w:tcPr>
            <w:tcW w:w="2413" w:type="pct"/>
            <w:noWrap/>
          </w:tcPr>
          <w:p w14:paraId="4E33DD3C" w14:textId="77777777" w:rsidR="00CA2393" w:rsidRPr="004B2A97" w:rsidRDefault="00CA2393" w:rsidP="00A378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Villa / Duplex / Townhouse</w:t>
            </w:r>
          </w:p>
        </w:tc>
        <w:tc>
          <w:tcPr>
            <w:tcW w:w="1151" w:type="pct"/>
            <w:noWrap/>
          </w:tcPr>
          <w:p w14:paraId="36BB1326" w14:textId="77777777" w:rsidR="00CA2393" w:rsidRPr="004B2A97" w:rsidRDefault="00CA2393"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1436" w:type="pct"/>
            <w:noWrap/>
          </w:tcPr>
          <w:p w14:paraId="41DA762A" w14:textId="77777777" w:rsidR="00CA2393" w:rsidRPr="00CC51BD" w:rsidRDefault="00CA2393" w:rsidP="00130F86">
            <w:pPr>
              <w:spacing w:line="200" w:lineRule="atLeast"/>
              <w:jc w:val="center"/>
              <w:rPr>
                <w:rFonts w:eastAsia="Times New Roman" w:cstheme="minorHAnsi"/>
                <w:color w:val="6B2976" w:themeColor="text1"/>
                <w:szCs w:val="16"/>
                <w:lang w:eastAsia="en-AU"/>
              </w:rPr>
            </w:pPr>
            <w:r w:rsidRPr="00CC51BD">
              <w:rPr>
                <w:rFonts w:eastAsia="Times New Roman" w:cstheme="minorHAnsi"/>
                <w:color w:val="6B2976" w:themeColor="text1"/>
                <w:szCs w:val="16"/>
                <w:lang w:eastAsia="en-AU"/>
              </w:rPr>
              <w:t>7.5%</w:t>
            </w:r>
          </w:p>
        </w:tc>
      </w:tr>
      <w:tr w:rsidR="00CA2393" w:rsidRPr="004B2A97" w14:paraId="5CB58C5C" w14:textId="77777777" w:rsidTr="00B26383">
        <w:trPr>
          <w:cnfStyle w:val="000000100000" w:firstRow="0" w:lastRow="0" w:firstColumn="0" w:lastColumn="0" w:oddVBand="0" w:evenVBand="0" w:oddHBand="1" w:evenHBand="0" w:firstRowFirstColumn="0" w:firstRowLastColumn="0" w:lastRowFirstColumn="0" w:lastRowLastColumn="0"/>
        </w:trPr>
        <w:tc>
          <w:tcPr>
            <w:tcW w:w="2413" w:type="pct"/>
            <w:noWrap/>
          </w:tcPr>
          <w:p w14:paraId="5204D249" w14:textId="77777777" w:rsidR="00CA2393" w:rsidRPr="004B2A97" w:rsidRDefault="00CA2393" w:rsidP="00A378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1151" w:type="pct"/>
            <w:noWrap/>
          </w:tcPr>
          <w:p w14:paraId="1E041A5B" w14:textId="77777777" w:rsidR="00CA2393" w:rsidRPr="004B2A97" w:rsidRDefault="00CA2393"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2</w:t>
            </w:r>
          </w:p>
        </w:tc>
        <w:tc>
          <w:tcPr>
            <w:tcW w:w="1436" w:type="pct"/>
            <w:noWrap/>
          </w:tcPr>
          <w:p w14:paraId="1E73D4C0" w14:textId="77777777" w:rsidR="00CA2393" w:rsidRPr="00CC51BD" w:rsidRDefault="00CA2393" w:rsidP="00130F86">
            <w:pPr>
              <w:spacing w:line="200" w:lineRule="atLeast"/>
              <w:jc w:val="center"/>
              <w:rPr>
                <w:rFonts w:eastAsia="Times New Roman" w:cstheme="minorHAnsi"/>
                <w:color w:val="6B2976" w:themeColor="text1"/>
                <w:szCs w:val="16"/>
                <w:lang w:eastAsia="en-AU"/>
              </w:rPr>
            </w:pPr>
            <w:r w:rsidRPr="00CC51BD">
              <w:rPr>
                <w:rFonts w:eastAsia="Times New Roman" w:cstheme="minorHAnsi"/>
                <w:color w:val="6B2976" w:themeColor="text1"/>
                <w:szCs w:val="16"/>
                <w:lang w:eastAsia="en-AU"/>
              </w:rPr>
              <w:t>5.0%</w:t>
            </w:r>
          </w:p>
        </w:tc>
      </w:tr>
      <w:tr w:rsidR="00CA2393" w:rsidRPr="004B2A97" w14:paraId="450BD196" w14:textId="77777777" w:rsidTr="00B26383">
        <w:tc>
          <w:tcPr>
            <w:tcW w:w="2413" w:type="pct"/>
            <w:noWrap/>
          </w:tcPr>
          <w:p w14:paraId="3BD6919E" w14:textId="77777777" w:rsidR="00CA2393" w:rsidRPr="004B2A97" w:rsidRDefault="00CA2393" w:rsidP="00A378EA">
            <w:pPr>
              <w:spacing w:line="200" w:lineRule="atLeast"/>
              <w:rPr>
                <w:rFonts w:eastAsia="Times New Roman" w:cstheme="minorHAnsi"/>
                <w:color w:val="000000"/>
                <w:szCs w:val="16"/>
                <w:lang w:eastAsia="en-AU"/>
              </w:rPr>
            </w:pPr>
            <w:r w:rsidRPr="004B2A97">
              <w:rPr>
                <w:rFonts w:eastAsia="Times New Roman" w:cstheme="minorHAnsi"/>
                <w:color w:val="000000"/>
                <w:szCs w:val="16"/>
                <w:lang w:eastAsia="en-AU"/>
              </w:rPr>
              <w:t>House</w:t>
            </w:r>
          </w:p>
        </w:tc>
        <w:tc>
          <w:tcPr>
            <w:tcW w:w="1151" w:type="pct"/>
            <w:noWrap/>
          </w:tcPr>
          <w:p w14:paraId="319D3F54" w14:textId="77777777" w:rsidR="00CA2393" w:rsidRPr="004B2A97" w:rsidRDefault="00CA2393"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3</w:t>
            </w:r>
          </w:p>
        </w:tc>
        <w:tc>
          <w:tcPr>
            <w:tcW w:w="1436" w:type="pct"/>
            <w:noWrap/>
          </w:tcPr>
          <w:p w14:paraId="789346B0" w14:textId="77777777" w:rsidR="00CA2393" w:rsidRPr="00CC51BD" w:rsidRDefault="00CA2393" w:rsidP="00130F86">
            <w:pPr>
              <w:spacing w:line="200" w:lineRule="atLeast"/>
              <w:jc w:val="center"/>
              <w:rPr>
                <w:rFonts w:eastAsia="Times New Roman" w:cstheme="minorHAnsi"/>
                <w:color w:val="6B2976" w:themeColor="text1"/>
                <w:szCs w:val="16"/>
                <w:lang w:eastAsia="en-AU"/>
              </w:rPr>
            </w:pPr>
            <w:r w:rsidRPr="00CC51BD">
              <w:rPr>
                <w:rFonts w:eastAsia="Times New Roman" w:cstheme="minorHAnsi"/>
                <w:color w:val="6B2976" w:themeColor="text1"/>
                <w:szCs w:val="16"/>
                <w:lang w:eastAsia="en-AU"/>
              </w:rPr>
              <w:t>7.5%</w:t>
            </w:r>
          </w:p>
        </w:tc>
      </w:tr>
      <w:tr w:rsidR="00CA2393" w:rsidRPr="004B2A97" w14:paraId="299B1944" w14:textId="77777777" w:rsidTr="00B26383">
        <w:trPr>
          <w:cnfStyle w:val="000000100000" w:firstRow="0" w:lastRow="0" w:firstColumn="0" w:lastColumn="0" w:oddVBand="0" w:evenVBand="0" w:oddHBand="1" w:evenHBand="0" w:firstRowFirstColumn="0" w:firstRowLastColumn="0" w:lastRowFirstColumn="0" w:lastRowLastColumn="0"/>
        </w:trPr>
        <w:tc>
          <w:tcPr>
            <w:tcW w:w="2413" w:type="pct"/>
            <w:noWrap/>
          </w:tcPr>
          <w:p w14:paraId="717446E0" w14:textId="513E692B" w:rsidR="00CA2393" w:rsidRPr="004B2A97" w:rsidRDefault="00601689" w:rsidP="00A378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1151" w:type="pct"/>
            <w:noWrap/>
          </w:tcPr>
          <w:p w14:paraId="14CFE1FC" w14:textId="77777777" w:rsidR="00CA2393" w:rsidRPr="004B2A97" w:rsidRDefault="00CA2393"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4</w:t>
            </w:r>
          </w:p>
        </w:tc>
        <w:tc>
          <w:tcPr>
            <w:tcW w:w="1436" w:type="pct"/>
            <w:noWrap/>
          </w:tcPr>
          <w:p w14:paraId="061D3586" w14:textId="77777777" w:rsidR="00CA2393" w:rsidRPr="00CC51BD" w:rsidRDefault="00CA2393" w:rsidP="00130F86">
            <w:pPr>
              <w:spacing w:line="200" w:lineRule="atLeast"/>
              <w:jc w:val="center"/>
              <w:rPr>
                <w:rFonts w:eastAsia="Times New Roman" w:cstheme="minorHAnsi"/>
                <w:color w:val="6B2976" w:themeColor="text1"/>
                <w:szCs w:val="16"/>
                <w:lang w:eastAsia="en-AU"/>
              </w:rPr>
            </w:pPr>
            <w:r w:rsidRPr="00CC51BD">
              <w:rPr>
                <w:rFonts w:eastAsia="Times New Roman" w:cstheme="minorHAnsi"/>
                <w:color w:val="6B2976" w:themeColor="text1"/>
                <w:szCs w:val="16"/>
                <w:lang w:eastAsia="en-AU"/>
              </w:rPr>
              <w:t>8.5%</w:t>
            </w:r>
          </w:p>
        </w:tc>
      </w:tr>
      <w:tr w:rsidR="00CA2393" w:rsidRPr="004B2A97" w14:paraId="02AAC0B1" w14:textId="77777777" w:rsidTr="00B26383">
        <w:tc>
          <w:tcPr>
            <w:tcW w:w="2413" w:type="pct"/>
            <w:noWrap/>
          </w:tcPr>
          <w:p w14:paraId="3E251966" w14:textId="024F75FA" w:rsidR="00CA2393" w:rsidRPr="004B2A97" w:rsidRDefault="00601689" w:rsidP="00A378EA">
            <w:pPr>
              <w:spacing w:line="200" w:lineRule="atLeast"/>
              <w:rPr>
                <w:rFonts w:eastAsia="Times New Roman" w:cstheme="minorHAnsi"/>
                <w:color w:val="000000"/>
                <w:szCs w:val="16"/>
                <w:lang w:eastAsia="en-AU"/>
              </w:rPr>
            </w:pPr>
            <w:r>
              <w:rPr>
                <w:rFonts w:eastAsia="Times New Roman" w:cstheme="minorHAnsi"/>
                <w:color w:val="000000"/>
                <w:szCs w:val="16"/>
                <w:lang w:eastAsia="en-AU"/>
              </w:rPr>
              <w:t>Group Home</w:t>
            </w:r>
          </w:p>
        </w:tc>
        <w:tc>
          <w:tcPr>
            <w:tcW w:w="1151" w:type="pct"/>
            <w:noWrap/>
          </w:tcPr>
          <w:p w14:paraId="304C33C6" w14:textId="77777777" w:rsidR="00CA2393" w:rsidRPr="004B2A97" w:rsidRDefault="00CA2393" w:rsidP="00130F86">
            <w:pPr>
              <w:spacing w:line="200" w:lineRule="atLeast"/>
              <w:jc w:val="center"/>
              <w:rPr>
                <w:rFonts w:eastAsia="Times New Roman" w:cstheme="minorHAnsi"/>
                <w:color w:val="000000"/>
                <w:szCs w:val="16"/>
                <w:lang w:eastAsia="en-AU"/>
              </w:rPr>
            </w:pPr>
            <w:r w:rsidRPr="004B2A97">
              <w:rPr>
                <w:rFonts w:eastAsia="Times New Roman" w:cstheme="minorHAnsi"/>
                <w:color w:val="000000"/>
                <w:szCs w:val="16"/>
                <w:lang w:eastAsia="en-AU"/>
              </w:rPr>
              <w:t>5</w:t>
            </w:r>
          </w:p>
        </w:tc>
        <w:tc>
          <w:tcPr>
            <w:tcW w:w="1436" w:type="pct"/>
            <w:noWrap/>
          </w:tcPr>
          <w:p w14:paraId="766B04F9" w14:textId="77777777" w:rsidR="00CA2393" w:rsidRPr="00CC51BD" w:rsidRDefault="00CA2393" w:rsidP="00130F86">
            <w:pPr>
              <w:spacing w:line="200" w:lineRule="atLeast"/>
              <w:jc w:val="center"/>
              <w:rPr>
                <w:rFonts w:eastAsia="Times New Roman" w:cstheme="minorHAnsi"/>
                <w:color w:val="6B2976" w:themeColor="text1"/>
                <w:szCs w:val="16"/>
                <w:lang w:eastAsia="en-AU"/>
              </w:rPr>
            </w:pPr>
            <w:r w:rsidRPr="00CC51BD">
              <w:rPr>
                <w:rFonts w:eastAsia="Times New Roman" w:cstheme="minorHAnsi"/>
                <w:color w:val="6B2976" w:themeColor="text1"/>
                <w:szCs w:val="16"/>
                <w:lang w:eastAsia="en-AU"/>
              </w:rPr>
              <w:t>10.0%</w:t>
            </w:r>
          </w:p>
        </w:tc>
      </w:tr>
    </w:tbl>
    <w:p w14:paraId="6BAF0011" w14:textId="77777777" w:rsidR="00CC51BD" w:rsidRDefault="00CC51BD" w:rsidP="00A378EA">
      <w:r>
        <w:t xml:space="preserve">As an exception to the general rule, the amount of the </w:t>
      </w:r>
      <w:proofErr w:type="spellStart"/>
      <w:r w:rsidRPr="00F668F8">
        <w:rPr>
          <w:b/>
          <w:bCs/>
        </w:rPr>
        <w:t>SDA.Payment</w:t>
      </w:r>
      <w:proofErr w:type="spellEnd"/>
      <w:r>
        <w:t xml:space="preserve"> for apartments with onsite overnight assistance is determined by the following formula:</w:t>
      </w:r>
    </w:p>
    <w:p w14:paraId="33A28E1B" w14:textId="77777777" w:rsidR="00CC51BD" w:rsidRPr="0075371B" w:rsidRDefault="00CC51BD" w:rsidP="00A378EA">
      <w:pPr>
        <w:spacing w:before="300" w:after="300"/>
        <w:rPr>
          <w:rFonts w:ascii="Cambria Math" w:hAnsi="Cambria Math"/>
          <w:i/>
        </w:rPr>
      </w:pPr>
      <m:oMathPara>
        <m:oMath>
          <m:r>
            <w:rPr>
              <w:rFonts w:ascii="Cambria Math" w:hAnsi="Cambria Math"/>
            </w:rPr>
            <m:t>SDA.Payment.WithoutOOA*</m:t>
          </m:r>
          <m:d>
            <m:dPr>
              <m:begChr m:val="["/>
              <m:endChr m:val="]"/>
              <m:ctrlPr>
                <w:rPr>
                  <w:rFonts w:ascii="Cambria Math" w:hAnsi="Cambria Math"/>
                  <w:i/>
                </w:rPr>
              </m:ctrlPr>
            </m:dPr>
            <m:e>
              <m:r>
                <w:rPr>
                  <w:rFonts w:ascii="Cambria Math" w:hAnsi="Cambria Math"/>
                </w:rPr>
                <m:t xml:space="preserve">1+ </m:t>
              </m:r>
              <m:f>
                <m:fPr>
                  <m:ctrlPr>
                    <w:rPr>
                      <w:rFonts w:ascii="Cambria Math" w:hAnsi="Cambria Math"/>
                      <w:i/>
                    </w:rPr>
                  </m:ctrlPr>
                </m:fPr>
                <m:num>
                  <m:r>
                    <w:rPr>
                      <w:rFonts w:ascii="Cambria Math" w:hAnsi="Cambria Math"/>
                    </w:rPr>
                    <m:t>1</m:t>
                  </m:r>
                </m:num>
                <m:den>
                  <m:r>
                    <w:rPr>
                      <w:rFonts w:ascii="Cambria Math" w:hAnsi="Cambria Math"/>
                    </w:rPr>
                    <m:t>Number.Apartments</m:t>
                  </m:r>
                </m:den>
              </m:f>
            </m:e>
          </m:d>
        </m:oMath>
      </m:oMathPara>
    </w:p>
    <w:p w14:paraId="20456E77" w14:textId="77777777" w:rsidR="00CC51BD" w:rsidRPr="00CC51BD" w:rsidRDefault="00CC51BD" w:rsidP="00A378EA">
      <w:r w:rsidRPr="00CC51BD">
        <w:t>Where:</w:t>
      </w:r>
    </w:p>
    <w:p w14:paraId="22AB939D" w14:textId="178F08B1" w:rsidR="00CC51BD" w:rsidRPr="00CC51BD" w:rsidRDefault="00CC51BD" w:rsidP="00A378EA">
      <w:pPr>
        <w:pStyle w:val="ListParagraph"/>
        <w:numPr>
          <w:ilvl w:val="0"/>
          <w:numId w:val="4"/>
        </w:numPr>
      </w:pPr>
      <w:proofErr w:type="spellStart"/>
      <w:proofErr w:type="gramStart"/>
      <w:r w:rsidRPr="00CC51BD">
        <w:rPr>
          <w:b/>
        </w:rPr>
        <w:t>SDA.Payment.WithoutOOA</w:t>
      </w:r>
      <w:proofErr w:type="spellEnd"/>
      <w:proofErr w:type="gramEnd"/>
      <w:r w:rsidRPr="00CC51BD">
        <w:t xml:space="preserve"> is the </w:t>
      </w:r>
      <w:proofErr w:type="spellStart"/>
      <w:r w:rsidRPr="00CC51BD">
        <w:rPr>
          <w:b/>
          <w:bCs/>
        </w:rPr>
        <w:t>SDA.Payment</w:t>
      </w:r>
      <w:proofErr w:type="spellEnd"/>
      <w:r w:rsidRPr="00CC51BD">
        <w:t xml:space="preserve"> that would apply if the </w:t>
      </w:r>
      <w:r w:rsidR="005F132E">
        <w:t>d</w:t>
      </w:r>
      <w:r w:rsidRPr="00CC51BD">
        <w:t>welling did not have onsite overnight assistance.</w:t>
      </w:r>
    </w:p>
    <w:p w14:paraId="2B4AB358" w14:textId="5E99587C" w:rsidR="00CC51BD" w:rsidRPr="00CC51BD" w:rsidRDefault="00CC51BD" w:rsidP="00A378EA">
      <w:pPr>
        <w:pStyle w:val="ListParagraph"/>
        <w:numPr>
          <w:ilvl w:val="0"/>
          <w:numId w:val="4"/>
        </w:numPr>
      </w:pPr>
      <w:proofErr w:type="spellStart"/>
      <w:r w:rsidRPr="00CC51BD">
        <w:rPr>
          <w:b/>
        </w:rPr>
        <w:lastRenderedPageBreak/>
        <w:t>Number.Apartments</w:t>
      </w:r>
      <w:proofErr w:type="spellEnd"/>
      <w:r w:rsidRPr="00CC51BD">
        <w:rPr>
          <w:b/>
        </w:rPr>
        <w:t xml:space="preserve"> </w:t>
      </w:r>
      <w:r w:rsidRPr="00CC51BD">
        <w:t xml:space="preserve">is the number of apartments which share the onsite overnight assistance. </w:t>
      </w:r>
      <w:proofErr w:type="spellStart"/>
      <w:r w:rsidRPr="00CC51BD">
        <w:t>Number.Apartments</w:t>
      </w:r>
      <w:proofErr w:type="spellEnd"/>
      <w:r w:rsidRPr="00CC51BD">
        <w:t xml:space="preserve"> is </w:t>
      </w:r>
      <w:r w:rsidR="00685A2C">
        <w:t xml:space="preserve">currently </w:t>
      </w:r>
      <w:r w:rsidRPr="00CC51BD">
        <w:t xml:space="preserve">assumed to be six (6) in all cases </w:t>
      </w:r>
      <w:r w:rsidR="00685A2C">
        <w:softHyphen/>
        <w:t>–</w:t>
      </w:r>
      <w:r w:rsidRPr="00CC51BD">
        <w:t xml:space="preserve"> same as for </w:t>
      </w:r>
      <w:r w:rsidR="00060F47">
        <w:t>N</w:t>
      </w:r>
      <w:r w:rsidRPr="00CC51BD">
        <w:t xml:space="preserve">ew </w:t>
      </w:r>
      <w:r w:rsidR="00060F47">
        <w:t>B</w:t>
      </w:r>
      <w:r w:rsidRPr="00CC51BD">
        <w:t>uilds.</w:t>
      </w:r>
    </w:p>
    <w:p w14:paraId="124BC284" w14:textId="77777777" w:rsidR="0087236F" w:rsidRDefault="0087236F" w:rsidP="00A378EA">
      <w:pPr>
        <w:sectPr w:rsidR="0087236F" w:rsidSect="00872AF9">
          <w:pgSz w:w="11907" w:h="16839" w:code="9"/>
          <w:pgMar w:top="1440" w:right="1440" w:bottom="1440" w:left="1440" w:header="709" w:footer="709" w:gutter="0"/>
          <w:cols w:space="708"/>
          <w:titlePg/>
          <w:docGrid w:linePitch="360"/>
        </w:sectPr>
      </w:pPr>
    </w:p>
    <w:p w14:paraId="0B4C6A20" w14:textId="5F51CEDE" w:rsidR="003C2273" w:rsidRDefault="009E2E29" w:rsidP="004471A1">
      <w:pPr>
        <w:pStyle w:val="Heading1"/>
      </w:pPr>
      <w:bookmarkStart w:id="45" w:name="_Toc116293082"/>
      <w:bookmarkEnd w:id="23"/>
      <w:r>
        <w:lastRenderedPageBreak/>
        <w:t xml:space="preserve">Consultation </w:t>
      </w:r>
      <w:r w:rsidR="003C2273">
        <w:t>Questions</w:t>
      </w:r>
      <w:bookmarkEnd w:id="45"/>
    </w:p>
    <w:p w14:paraId="1BB30AA0" w14:textId="2DCB0EDB" w:rsidR="003C2273" w:rsidRDefault="003C2273" w:rsidP="00FA12C8">
      <w:pPr>
        <w:pStyle w:val="Heading2"/>
      </w:pPr>
      <w:bookmarkStart w:id="46" w:name="_Toc116293083"/>
      <w:r>
        <w:t>Acquisition Costs</w:t>
      </w:r>
      <w:bookmarkEnd w:id="46"/>
    </w:p>
    <w:p w14:paraId="6688C662" w14:textId="42EE0114" w:rsidR="003C2273" w:rsidRDefault="003C2273" w:rsidP="00244A13">
      <w:pPr>
        <w:pStyle w:val="Heading3"/>
      </w:pPr>
      <w:r>
        <w:t>Build Costs</w:t>
      </w:r>
    </w:p>
    <w:p w14:paraId="52AEBF80" w14:textId="3D7AE63A" w:rsidR="00F37812" w:rsidRDefault="00F37812">
      <w:pPr>
        <w:pStyle w:val="GuideQuestion0"/>
        <w:numPr>
          <w:ilvl w:val="0"/>
          <w:numId w:val="18"/>
        </w:numPr>
      </w:pPr>
      <w:r>
        <w:t xml:space="preserve">What does it cost to construct </w:t>
      </w:r>
      <w:r w:rsidR="00C81F59">
        <w:t xml:space="preserve">an </w:t>
      </w:r>
      <w:r>
        <w:t xml:space="preserve">SDA </w:t>
      </w:r>
      <w:r w:rsidR="005F132E">
        <w:t>d</w:t>
      </w:r>
      <w:r>
        <w:t xml:space="preserve">welling (excluding the cost of land)? </w:t>
      </w:r>
      <w:r w:rsidR="00C2475C">
        <w:t>If possible, p</w:t>
      </w:r>
      <w:r>
        <w:t xml:space="preserve">lease provide detailed estimates including </w:t>
      </w:r>
      <w:r w:rsidR="00D30D33">
        <w:t xml:space="preserve">transaction dates, </w:t>
      </w:r>
      <w:r>
        <w:t xml:space="preserve">site specific costs and information on the location of the </w:t>
      </w:r>
      <w:r w:rsidR="005F132E">
        <w:t>d</w:t>
      </w:r>
      <w:r>
        <w:t>welling and the Building Type</w:t>
      </w:r>
      <w:r w:rsidR="00C81F59">
        <w:t xml:space="preserve">, </w:t>
      </w:r>
      <w:r>
        <w:t>Design Category</w:t>
      </w:r>
      <w:r w:rsidR="00C81F59">
        <w:t xml:space="preserve">, and number of Bedrooms of the </w:t>
      </w:r>
      <w:r w:rsidR="005F132E">
        <w:t>d</w:t>
      </w:r>
      <w:r w:rsidR="00C81F59">
        <w:t>welling.</w:t>
      </w:r>
    </w:p>
    <w:p w14:paraId="55495C26" w14:textId="63530EA4" w:rsidR="003C2273" w:rsidRDefault="00C81F59">
      <w:pPr>
        <w:pStyle w:val="GuideQuestion0"/>
        <w:numPr>
          <w:ilvl w:val="0"/>
          <w:numId w:val="18"/>
        </w:numPr>
      </w:pPr>
      <w:r>
        <w:t>Is</w:t>
      </w:r>
      <w:r w:rsidR="003C2273">
        <w:t xml:space="preserve"> the current methodology by which the NDIA accounts for the differences in construction costs between geographic locations </w:t>
      </w:r>
      <w:r>
        <w:t xml:space="preserve">appropriate? If not, how can the methodology be improved? Is it </w:t>
      </w:r>
      <w:r w:rsidR="003C2273">
        <w:t xml:space="preserve">appropriate to use the same relative construction cost multiplier for all Building Types and Design Categories </w:t>
      </w:r>
      <w:proofErr w:type="gramStart"/>
      <w:r w:rsidR="003C2273">
        <w:t>in a given</w:t>
      </w:r>
      <w:proofErr w:type="gramEnd"/>
      <w:r w:rsidR="003C2273">
        <w:t xml:space="preserve"> region</w:t>
      </w:r>
      <w:r>
        <w:t>? Please provide detailed evidence.</w:t>
      </w:r>
    </w:p>
    <w:p w14:paraId="04658897" w14:textId="41975FA0" w:rsidR="0031522F" w:rsidRDefault="0031522F">
      <w:pPr>
        <w:pStyle w:val="GuideQuestion0"/>
        <w:numPr>
          <w:ilvl w:val="0"/>
          <w:numId w:val="18"/>
        </w:numPr>
      </w:pPr>
      <w:r>
        <w:t xml:space="preserve">To what extent does the </w:t>
      </w:r>
      <w:r w:rsidRPr="0031522F">
        <w:t xml:space="preserve">Building Code of Australia classification </w:t>
      </w:r>
      <w:r>
        <w:t xml:space="preserve">of an SDA </w:t>
      </w:r>
      <w:r w:rsidR="005F132E">
        <w:t>d</w:t>
      </w:r>
      <w:r>
        <w:t xml:space="preserve">welling affect its construction costs? Should these differences be </w:t>
      </w:r>
      <w:proofErr w:type="gramStart"/>
      <w:r>
        <w:t>taken into account</w:t>
      </w:r>
      <w:proofErr w:type="gramEnd"/>
      <w:r>
        <w:t xml:space="preserve"> in determining the </w:t>
      </w:r>
      <w:r w:rsidR="003519E0">
        <w:t xml:space="preserve">pricing arrangements for SDA </w:t>
      </w:r>
      <w:r w:rsidR="005F132E">
        <w:t>d</w:t>
      </w:r>
      <w:r w:rsidR="003519E0">
        <w:t>wellings.</w:t>
      </w:r>
      <w:r>
        <w:t xml:space="preserve"> </w:t>
      </w:r>
    </w:p>
    <w:p w14:paraId="282042D0" w14:textId="402EC44A" w:rsidR="003C2273" w:rsidRDefault="003C2273" w:rsidP="00244A13">
      <w:pPr>
        <w:pStyle w:val="Heading3"/>
      </w:pPr>
      <w:r>
        <w:t>Land Costs</w:t>
      </w:r>
    </w:p>
    <w:p w14:paraId="15AE0F2A" w14:textId="01E62FB5" w:rsidR="004F4A58" w:rsidRDefault="004F4A58">
      <w:pPr>
        <w:pStyle w:val="GuideQuestion0"/>
        <w:numPr>
          <w:ilvl w:val="0"/>
          <w:numId w:val="18"/>
        </w:numPr>
      </w:pPr>
      <w:r w:rsidRPr="004F4A58">
        <w:t xml:space="preserve">What land size and frontage are practically required to build SDA, in particular given SDA requirements around circulation spaces, minimum distances and other spatial requirements, or associated building implications, such as categorisation as a class 3 building requiring larger setbacks? </w:t>
      </w:r>
      <w:r>
        <w:t>Please provide detailed evidence.</w:t>
      </w:r>
    </w:p>
    <w:p w14:paraId="051800B2" w14:textId="1EA0B0DF" w:rsidR="003C2273" w:rsidRDefault="00C81F59">
      <w:pPr>
        <w:pStyle w:val="GuideQuestion0"/>
        <w:numPr>
          <w:ilvl w:val="0"/>
          <w:numId w:val="18"/>
        </w:numPr>
      </w:pPr>
      <w:r>
        <w:t xml:space="preserve">What does it cost to purchase </w:t>
      </w:r>
      <w:r w:rsidR="003C2273">
        <w:t>undeveloped and vacant land in each of the</w:t>
      </w:r>
      <w:r w:rsidR="00E11FF5">
        <w:t xml:space="preserve"> 87 </w:t>
      </w:r>
      <w:r w:rsidR="003C2273">
        <w:t>SA4 regions, where the land is valued based on its highest and best permitted use</w:t>
      </w:r>
      <w:r>
        <w:t>? Please provide detailed evidence.</w:t>
      </w:r>
    </w:p>
    <w:p w14:paraId="04DF50B5" w14:textId="2CA83B2C" w:rsidR="003C2273" w:rsidRDefault="00E3501B">
      <w:pPr>
        <w:pStyle w:val="GuideQuestion0"/>
        <w:numPr>
          <w:ilvl w:val="0"/>
          <w:numId w:val="18"/>
        </w:numPr>
      </w:pPr>
      <w:r>
        <w:t>What is the expected</w:t>
      </w:r>
      <w:r w:rsidR="003C2273">
        <w:t xml:space="preserve"> future rate of growth in the cost per square metr</w:t>
      </w:r>
      <w:r w:rsidR="002B1FD7">
        <w:t>e</w:t>
      </w:r>
      <w:r w:rsidR="003C2273">
        <w:t xml:space="preserve"> of undeveloped and vacant land</w:t>
      </w:r>
      <w:r>
        <w:t xml:space="preserve">? </w:t>
      </w:r>
      <w:r w:rsidR="003C2273">
        <w:t xml:space="preserve"> </w:t>
      </w:r>
      <w:r>
        <w:t>To what</w:t>
      </w:r>
      <w:r w:rsidR="003C2273">
        <w:t xml:space="preserve"> extent </w:t>
      </w:r>
      <w:r>
        <w:t>are different</w:t>
      </w:r>
      <w:r w:rsidR="003C2273">
        <w:t xml:space="preserve"> future growth rates likely to apply to different SA4 regions</w:t>
      </w:r>
      <w:r>
        <w:t>? Please provide detailed evidence.</w:t>
      </w:r>
    </w:p>
    <w:p w14:paraId="1CC0F9B5" w14:textId="3984120C" w:rsidR="009C1806" w:rsidRDefault="009C1806" w:rsidP="009C1806">
      <w:pPr>
        <w:pStyle w:val="GuideQuestion0"/>
        <w:numPr>
          <w:ilvl w:val="0"/>
          <w:numId w:val="18"/>
        </w:numPr>
      </w:pPr>
      <w:r>
        <w:t>Is undeveloped/vacant land generally available in all locations, and if not in which locations is undeveloped/vacant land not generally available?</w:t>
      </w:r>
      <w:r w:rsidRPr="009C1806">
        <w:t xml:space="preserve"> </w:t>
      </w:r>
      <w:r>
        <w:t>Please provide detailed evidence.</w:t>
      </w:r>
    </w:p>
    <w:p w14:paraId="70739250" w14:textId="33ADCA36" w:rsidR="009C1806" w:rsidRDefault="009C1806" w:rsidP="009C1806">
      <w:pPr>
        <w:pStyle w:val="GuideQuestion0"/>
        <w:numPr>
          <w:ilvl w:val="0"/>
          <w:numId w:val="18"/>
        </w:numPr>
      </w:pPr>
      <w:r>
        <w:t xml:space="preserve">What additional costs are incurred when land that is not undeveloped and vacant is purchased </w:t>
      </w:r>
      <w:proofErr w:type="gramStart"/>
      <w:r>
        <w:t>in order to</w:t>
      </w:r>
      <w:proofErr w:type="gramEnd"/>
      <w:r>
        <w:t xml:space="preserve"> build an SDA dwelling? How do these costs vary by SA4 region?</w:t>
      </w:r>
      <w:r w:rsidRPr="009C1806">
        <w:t xml:space="preserve"> </w:t>
      </w:r>
      <w:r>
        <w:t>Please provide detailed evidence.</w:t>
      </w:r>
    </w:p>
    <w:p w14:paraId="7587C0EC" w14:textId="64FFE092" w:rsidR="003C2273" w:rsidRDefault="003C2273" w:rsidP="00244A13">
      <w:pPr>
        <w:pStyle w:val="Heading3"/>
      </w:pPr>
      <w:r>
        <w:t>Sprinklers</w:t>
      </w:r>
    </w:p>
    <w:p w14:paraId="70028A02" w14:textId="58B10E91" w:rsidR="00E3501B" w:rsidRDefault="00E3501B">
      <w:pPr>
        <w:pStyle w:val="GuideQuestion0"/>
        <w:numPr>
          <w:ilvl w:val="0"/>
          <w:numId w:val="18"/>
        </w:numPr>
      </w:pPr>
      <w:r>
        <w:t>Is</w:t>
      </w:r>
      <w:r w:rsidR="003C2273">
        <w:t xml:space="preserve"> the current methodology by which the NDIA accounts for sprinklers in estimating the construction cost of a New Build</w:t>
      </w:r>
      <w:r>
        <w:t xml:space="preserve"> appropriate? Please provide evidence.</w:t>
      </w:r>
    </w:p>
    <w:p w14:paraId="46924567" w14:textId="1EB31009" w:rsidR="00E3501B" w:rsidRDefault="00E3501B">
      <w:pPr>
        <w:pStyle w:val="GuideQuestion0"/>
        <w:numPr>
          <w:ilvl w:val="0"/>
          <w:numId w:val="18"/>
        </w:numPr>
      </w:pPr>
      <w:r>
        <w:lastRenderedPageBreak/>
        <w:t>Is it</w:t>
      </w:r>
      <w:r w:rsidR="003C2273">
        <w:t xml:space="preserve"> appropriate to use the same adjustment for </w:t>
      </w:r>
      <w:r>
        <w:t xml:space="preserve">sprinklers for </w:t>
      </w:r>
      <w:r w:rsidR="003C2273">
        <w:t>all Building Types, Design Categories and Regions</w:t>
      </w:r>
      <w:r>
        <w:t>?</w:t>
      </w:r>
      <w:r w:rsidRPr="00E3501B">
        <w:t xml:space="preserve"> </w:t>
      </w:r>
      <w:r>
        <w:t>Please provide evidence.</w:t>
      </w:r>
    </w:p>
    <w:p w14:paraId="456467AA" w14:textId="1B88C484" w:rsidR="003C2273" w:rsidRDefault="00E3501B">
      <w:pPr>
        <w:pStyle w:val="GuideQuestion0"/>
        <w:numPr>
          <w:ilvl w:val="0"/>
          <w:numId w:val="18"/>
        </w:numPr>
      </w:pPr>
      <w:r>
        <w:t>Do</w:t>
      </w:r>
      <w:r w:rsidR="003C2273">
        <w:t xml:space="preserve"> the </w:t>
      </w:r>
      <w:r>
        <w:t xml:space="preserve">current sprinkler </w:t>
      </w:r>
      <w:r w:rsidR="003C2273">
        <w:t>pricing arrangements provide an appropriate incentive for the installation of sprinklers given the mobility needs of some participant</w:t>
      </w:r>
      <w:r>
        <w:t xml:space="preserve">s? Would it be </w:t>
      </w:r>
      <w:r w:rsidR="003C2273">
        <w:t>more appropriate to require the installation of sprinklers in all New Builds</w:t>
      </w:r>
      <w:r>
        <w:t>?</w:t>
      </w:r>
      <w:r w:rsidRPr="00E3501B">
        <w:t xml:space="preserve"> </w:t>
      </w:r>
      <w:r>
        <w:t>Please provide evidence.</w:t>
      </w:r>
    </w:p>
    <w:p w14:paraId="68E7CEBF" w14:textId="1016E7CF" w:rsidR="0024355D" w:rsidRDefault="0024355D" w:rsidP="0024355D">
      <w:pPr>
        <w:pStyle w:val="Heading3"/>
      </w:pPr>
      <w:r>
        <w:t>Other Acquisition Costs</w:t>
      </w:r>
    </w:p>
    <w:p w14:paraId="6DE85E74" w14:textId="769E2264" w:rsidR="0024355D" w:rsidRDefault="0024355D">
      <w:pPr>
        <w:pStyle w:val="GuideQuestion0"/>
        <w:numPr>
          <w:ilvl w:val="0"/>
          <w:numId w:val="18"/>
        </w:numPr>
      </w:pPr>
      <w:r>
        <w:t>Are the</w:t>
      </w:r>
      <w:r w:rsidR="00060F47">
        <w:t>re</w:t>
      </w:r>
      <w:r>
        <w:t xml:space="preserve"> any other costs associated with the acquisition of SDA </w:t>
      </w:r>
      <w:r w:rsidR="005F132E">
        <w:t>d</w:t>
      </w:r>
      <w:r>
        <w:t xml:space="preserve">wellings that the NDIA should </w:t>
      </w:r>
      <w:proofErr w:type="gramStart"/>
      <w:r>
        <w:t>take into account</w:t>
      </w:r>
      <w:proofErr w:type="gramEnd"/>
      <w:r>
        <w:t xml:space="preserve"> in estimating the construction cost of a New Build</w:t>
      </w:r>
      <w:r w:rsidR="005F1CE4">
        <w:t>, including cost differences between greenfield and brownfield developments</w:t>
      </w:r>
      <w:r>
        <w:t>? Please provide evidence.</w:t>
      </w:r>
    </w:p>
    <w:p w14:paraId="22951736" w14:textId="740B056A" w:rsidR="003C2273" w:rsidRDefault="003C2273" w:rsidP="00DF2DFC">
      <w:pPr>
        <w:pStyle w:val="Heading2"/>
      </w:pPr>
      <w:bookmarkStart w:id="47" w:name="_Toc116293084"/>
      <w:r>
        <w:t>Exit Costs</w:t>
      </w:r>
      <w:r w:rsidR="000F3CC1">
        <w:t xml:space="preserve"> (Residual Value)</w:t>
      </w:r>
      <w:bookmarkEnd w:id="47"/>
    </w:p>
    <w:p w14:paraId="6ECBFFCA" w14:textId="66B87C78" w:rsidR="00F43F11" w:rsidRDefault="00F43F11" w:rsidP="00F43F11">
      <w:pPr>
        <w:pStyle w:val="GuideQuestion0"/>
        <w:numPr>
          <w:ilvl w:val="0"/>
          <w:numId w:val="18"/>
        </w:numPr>
      </w:pPr>
      <w:r>
        <w:t xml:space="preserve">Are there any alternative use options </w:t>
      </w:r>
      <w:r w:rsidR="00643EE2">
        <w:t>for the prop</w:t>
      </w:r>
      <w:r w:rsidR="00165DE2">
        <w:t>erty on exit</w:t>
      </w:r>
      <w:r>
        <w:t xml:space="preserve">? </w:t>
      </w:r>
    </w:p>
    <w:p w14:paraId="37E9B289" w14:textId="17D52CFE" w:rsidR="003C2273" w:rsidRDefault="0024355D">
      <w:pPr>
        <w:pStyle w:val="GuideQuestion0"/>
        <w:numPr>
          <w:ilvl w:val="0"/>
          <w:numId w:val="18"/>
        </w:numPr>
      </w:pPr>
      <w:r>
        <w:t>What</w:t>
      </w:r>
      <w:r w:rsidR="003C2273">
        <w:t xml:space="preserve"> loss in value can be expected to occur on the conversion of </w:t>
      </w:r>
      <w:r w:rsidR="005F1CE4">
        <w:t xml:space="preserve">an </w:t>
      </w:r>
      <w:r w:rsidR="003C2273">
        <w:t xml:space="preserve">SDA property to </w:t>
      </w:r>
      <w:r w:rsidR="005F1CE4">
        <w:t xml:space="preserve">a </w:t>
      </w:r>
      <w:r w:rsidR="003C2273">
        <w:t xml:space="preserve">general property </w:t>
      </w:r>
      <w:r w:rsidR="00053C74">
        <w:t xml:space="preserve">or other alternative use options </w:t>
      </w:r>
      <w:r w:rsidR="003C2273">
        <w:t>at the end of an investment</w:t>
      </w:r>
      <w:r>
        <w:t xml:space="preserve">? Does this vary by </w:t>
      </w:r>
      <w:r w:rsidR="003C2273">
        <w:t>Building Type and Size, Design Category and Region</w:t>
      </w:r>
      <w:r>
        <w:t>? Please provide evidence.</w:t>
      </w:r>
    </w:p>
    <w:p w14:paraId="1B72FA14" w14:textId="055C3FF7" w:rsidR="003C2273" w:rsidRDefault="0024355D">
      <w:pPr>
        <w:pStyle w:val="GuideQuestion0"/>
        <w:numPr>
          <w:ilvl w:val="0"/>
          <w:numId w:val="18"/>
        </w:numPr>
      </w:pPr>
      <w:r>
        <w:t>What</w:t>
      </w:r>
      <w:r w:rsidR="003C2273">
        <w:t xml:space="preserve"> fees are incurred on the sale of SDA properties</w:t>
      </w:r>
      <w:r>
        <w:t xml:space="preserve">? </w:t>
      </w:r>
      <w:r w:rsidR="003C2273">
        <w:t xml:space="preserve"> </w:t>
      </w:r>
      <w:r>
        <w:t xml:space="preserve">Do these fees vary </w:t>
      </w:r>
      <w:r w:rsidR="003C2273">
        <w:t>by Building Type and Size, Design Category and Region</w:t>
      </w:r>
      <w:r>
        <w:t>? Please provide evidence.</w:t>
      </w:r>
    </w:p>
    <w:p w14:paraId="5F8F6216" w14:textId="50360125" w:rsidR="003C2273" w:rsidRDefault="003C2273" w:rsidP="00DF2DFC">
      <w:pPr>
        <w:pStyle w:val="Heading2"/>
      </w:pPr>
      <w:bookmarkStart w:id="48" w:name="_Toc116293085"/>
      <w:r>
        <w:t>Ownership</w:t>
      </w:r>
      <w:r w:rsidR="000F3CC1">
        <w:t xml:space="preserve"> Costs</w:t>
      </w:r>
      <w:bookmarkEnd w:id="48"/>
    </w:p>
    <w:p w14:paraId="24F08F9C" w14:textId="5BDE31C0" w:rsidR="003C2273" w:rsidRDefault="004A67D0">
      <w:pPr>
        <w:pStyle w:val="GuideQuestion0"/>
        <w:numPr>
          <w:ilvl w:val="0"/>
          <w:numId w:val="18"/>
        </w:numPr>
      </w:pPr>
      <w:r>
        <w:t>What</w:t>
      </w:r>
      <w:r w:rsidR="003C2273">
        <w:t xml:space="preserve"> vacancy </w:t>
      </w:r>
      <w:r>
        <w:t>rates can</w:t>
      </w:r>
      <w:r w:rsidR="003C2273">
        <w:t xml:space="preserve"> SDA providers expect to encounter</w:t>
      </w:r>
      <w:r>
        <w:t xml:space="preserve">? </w:t>
      </w:r>
      <w:r w:rsidR="005F1CE4">
        <w:t>D</w:t>
      </w:r>
      <w:r>
        <w:t xml:space="preserve">o vacancy rates </w:t>
      </w:r>
      <w:r w:rsidR="003C2273">
        <w:t>vary by Building Type and Size, Design Category and Region</w:t>
      </w:r>
      <w:r>
        <w:t>? Please provide evidence.</w:t>
      </w:r>
    </w:p>
    <w:p w14:paraId="4D18F517" w14:textId="4F034EB8" w:rsidR="002B0609" w:rsidRDefault="002B0609" w:rsidP="002B0609">
      <w:pPr>
        <w:pStyle w:val="GuideQuestion0"/>
        <w:numPr>
          <w:ilvl w:val="0"/>
          <w:numId w:val="18"/>
        </w:numPr>
      </w:pPr>
      <w:r>
        <w:t>What costs of ownership, including maintenance, property management</w:t>
      </w:r>
      <w:r w:rsidR="00741EDA">
        <w:t>,</w:t>
      </w:r>
      <w:r>
        <w:t xml:space="preserve"> vacancy management, accounting and tax costs, valuations, reporting and corporate compliance costs, other corporate overheads, regulatory compliance costs (NDIS compliance, FIRB compliance etc.), and investment management costs, are incurred by SDA providers? Do these costs vary significantly by Design Category, Building Type and Size, and Region? Please provide evidence.</w:t>
      </w:r>
    </w:p>
    <w:p w14:paraId="567E4203" w14:textId="2E77EFDE" w:rsidR="00C32D84" w:rsidRPr="00C32D84" w:rsidRDefault="00C32D84" w:rsidP="00C32D84">
      <w:pPr>
        <w:pStyle w:val="GuideQuestion0"/>
        <w:numPr>
          <w:ilvl w:val="0"/>
          <w:numId w:val="18"/>
        </w:numPr>
      </w:pPr>
      <w:r w:rsidRPr="00C32D84">
        <w:t xml:space="preserve">How long does it take to plan, </w:t>
      </w:r>
      <w:proofErr w:type="gramStart"/>
      <w:r w:rsidRPr="00C32D84">
        <w:t>build</w:t>
      </w:r>
      <w:proofErr w:type="gramEnd"/>
      <w:r w:rsidRPr="00C32D84">
        <w:t xml:space="preserve"> and enrol SDA</w:t>
      </w:r>
      <w:r>
        <w:t xml:space="preserve">, including delays due to </w:t>
      </w:r>
      <w:r w:rsidRPr="00C32D84">
        <w:t>variations to planning consents, designs, community and consultant engagement, strata by-laws etc.</w:t>
      </w:r>
      <w:r>
        <w:t>? What</w:t>
      </w:r>
      <w:r w:rsidRPr="00C32D84">
        <w:t xml:space="preserve"> costs </w:t>
      </w:r>
      <w:r>
        <w:t xml:space="preserve">are </w:t>
      </w:r>
      <w:r w:rsidRPr="00C32D84">
        <w:t>associated with these activities</w:t>
      </w:r>
      <w:r>
        <w:t>? Do these costs vary significantly by Design Category, Building Type and Size, and Region? Please provide evidence.</w:t>
      </w:r>
    </w:p>
    <w:p w14:paraId="25D54D4B" w14:textId="0987DEA3" w:rsidR="002B0609" w:rsidRDefault="002B0609" w:rsidP="002B0609">
      <w:pPr>
        <w:pStyle w:val="GuideQuestion0"/>
        <w:numPr>
          <w:ilvl w:val="0"/>
          <w:numId w:val="18"/>
        </w:numPr>
      </w:pPr>
      <w:r>
        <w:t>How long does it take to accrue SDA Payments from enrolment to initial lease-up, including in assisting with participant approvals, participant engagement and move-in?</w:t>
      </w:r>
      <w:r w:rsidR="004F4A58" w:rsidRPr="004F4A58">
        <w:t xml:space="preserve"> </w:t>
      </w:r>
      <w:r w:rsidR="00C32D84">
        <w:t>What</w:t>
      </w:r>
      <w:r w:rsidR="00C32D84" w:rsidRPr="00C32D84">
        <w:t xml:space="preserve"> costs </w:t>
      </w:r>
      <w:r w:rsidR="00C32D84">
        <w:t xml:space="preserve">are </w:t>
      </w:r>
      <w:r w:rsidR="00C32D84" w:rsidRPr="00C32D84">
        <w:t xml:space="preserve">associated with these </w:t>
      </w:r>
      <w:r w:rsidR="00C32D84">
        <w:t xml:space="preserve">delays? </w:t>
      </w:r>
      <w:r w:rsidR="004F4A58">
        <w:t>Do these timing delays vary significantly by Design Category, Building Type and Size, and Region? Please provide evidence.</w:t>
      </w:r>
    </w:p>
    <w:p w14:paraId="6AD6A9E0" w14:textId="0DBF0B1E" w:rsidR="002B0609" w:rsidRDefault="002B0609" w:rsidP="002B0609">
      <w:pPr>
        <w:pStyle w:val="GuideQuestion0"/>
        <w:numPr>
          <w:ilvl w:val="0"/>
          <w:numId w:val="18"/>
        </w:numPr>
      </w:pPr>
      <w:r>
        <w:t>Are there other timing delays that impact cash inflows in operating SDAs?</w:t>
      </w:r>
      <w:r w:rsidR="004F4A58" w:rsidRPr="004F4A58">
        <w:t xml:space="preserve"> </w:t>
      </w:r>
      <w:r w:rsidR="00C32D84">
        <w:t>What</w:t>
      </w:r>
      <w:r w:rsidR="00C32D84" w:rsidRPr="00C32D84">
        <w:t xml:space="preserve"> costs </w:t>
      </w:r>
      <w:r w:rsidR="00C32D84">
        <w:t xml:space="preserve">are </w:t>
      </w:r>
      <w:r w:rsidR="00C32D84" w:rsidRPr="00C32D84">
        <w:t xml:space="preserve">associated with these </w:t>
      </w:r>
      <w:r w:rsidR="00C32D84">
        <w:t xml:space="preserve">delays? </w:t>
      </w:r>
      <w:r w:rsidR="004F4A58">
        <w:t>Do these timing delays vary significantly by Design Category, Building Type and Size, and Region? Please provide evidence.</w:t>
      </w:r>
    </w:p>
    <w:p w14:paraId="07852985" w14:textId="607A057F" w:rsidR="000F3CC1" w:rsidRPr="00477799" w:rsidRDefault="000F3CC1" w:rsidP="00DF2DFC">
      <w:pPr>
        <w:pStyle w:val="Heading2"/>
      </w:pPr>
      <w:bookmarkStart w:id="49" w:name="_Toc116293086"/>
      <w:r>
        <w:lastRenderedPageBreak/>
        <w:t xml:space="preserve">Tax </w:t>
      </w:r>
      <w:r w:rsidRPr="00477799">
        <w:t>Costs</w:t>
      </w:r>
      <w:bookmarkEnd w:id="49"/>
    </w:p>
    <w:p w14:paraId="4431B3BA" w14:textId="1B9FC112" w:rsidR="009E2E29" w:rsidRDefault="00477799">
      <w:pPr>
        <w:pStyle w:val="GuideQuestion0"/>
        <w:numPr>
          <w:ilvl w:val="0"/>
          <w:numId w:val="18"/>
        </w:numPr>
      </w:pPr>
      <w:r w:rsidRPr="00477799">
        <w:t>Is the tax treatment of SDA investments</w:t>
      </w:r>
      <w:r w:rsidR="00DF2DFC">
        <w:t xml:space="preserve">, including Goods and Services Tax, Stamp </w:t>
      </w:r>
      <w:proofErr w:type="gramStart"/>
      <w:r w:rsidR="00DF2DFC">
        <w:t>Duty</w:t>
      </w:r>
      <w:proofErr w:type="gramEnd"/>
      <w:r w:rsidR="00DF2DFC">
        <w:t xml:space="preserve"> and Land Tax)</w:t>
      </w:r>
      <w:r w:rsidRPr="00477799">
        <w:t xml:space="preserve"> appropriately accounted for in the current methodology for setting SDA Prices? If not, how can </w:t>
      </w:r>
      <w:r>
        <w:t xml:space="preserve">the methodology </w:t>
      </w:r>
      <w:r w:rsidRPr="00477799">
        <w:t>be improved? Please provide evidence.</w:t>
      </w:r>
    </w:p>
    <w:p w14:paraId="376CC82A" w14:textId="77777777" w:rsidR="000F3CC1" w:rsidRDefault="000F3CC1" w:rsidP="00DF2DFC">
      <w:pPr>
        <w:pStyle w:val="Heading2"/>
      </w:pPr>
      <w:bookmarkStart w:id="50" w:name="_Toc116293087"/>
      <w:r w:rsidRPr="00477799">
        <w:t>Financing Costs</w:t>
      </w:r>
      <w:bookmarkEnd w:id="50"/>
    </w:p>
    <w:p w14:paraId="6347CDD8" w14:textId="1FAEDE3F" w:rsidR="000F3CC1" w:rsidRDefault="00D1494F">
      <w:pPr>
        <w:pStyle w:val="GuideQuestion0"/>
        <w:numPr>
          <w:ilvl w:val="0"/>
          <w:numId w:val="18"/>
        </w:numPr>
      </w:pPr>
      <w:r>
        <w:t xml:space="preserve">What should </w:t>
      </w:r>
      <w:r w:rsidR="000F3CC1">
        <w:t xml:space="preserve">the key parameters of </w:t>
      </w:r>
      <w:r w:rsidR="004A67D0">
        <w:t>the NDIA’s</w:t>
      </w:r>
      <w:r w:rsidR="000F3CC1">
        <w:t xml:space="preserve"> Capital Assets Pricing Model for SDA investments</w:t>
      </w:r>
      <w:r>
        <w:t xml:space="preserve"> be</w:t>
      </w:r>
      <w:r w:rsidR="000F3CC1">
        <w:t>, including:</w:t>
      </w:r>
      <w:r w:rsidR="000F3CC1">
        <w:tab/>
      </w:r>
    </w:p>
    <w:p w14:paraId="54B0C876" w14:textId="77777777" w:rsidR="000F3CC1" w:rsidRDefault="000F3CC1">
      <w:pPr>
        <w:pStyle w:val="GuideQuestion0"/>
        <w:numPr>
          <w:ilvl w:val="1"/>
          <w:numId w:val="18"/>
        </w:numPr>
      </w:pPr>
      <w:r>
        <w:t xml:space="preserve">The Equity Beta for SDA </w:t>
      </w:r>
      <w:proofErr w:type="gramStart"/>
      <w:r>
        <w:t>investments;</w:t>
      </w:r>
      <w:proofErr w:type="gramEnd"/>
    </w:p>
    <w:p w14:paraId="1D072D69" w14:textId="1B179941" w:rsidR="000F3CC1" w:rsidRDefault="000F3CC1">
      <w:pPr>
        <w:pStyle w:val="GuideQuestion0"/>
        <w:numPr>
          <w:ilvl w:val="1"/>
          <w:numId w:val="18"/>
        </w:numPr>
      </w:pPr>
      <w:r>
        <w:t>The Gearing Ratio for SDA investments; and</w:t>
      </w:r>
    </w:p>
    <w:p w14:paraId="3765E71E" w14:textId="03B5B702" w:rsidR="000F3CC1" w:rsidRDefault="000F3CC1">
      <w:pPr>
        <w:pStyle w:val="GuideQuestion0"/>
        <w:numPr>
          <w:ilvl w:val="1"/>
          <w:numId w:val="18"/>
        </w:numPr>
      </w:pPr>
      <w:r>
        <w:t>The extent to which the typical equity investor in SDA can use the franking credits attached to its dividends because of the payment of company tax.</w:t>
      </w:r>
      <w:r w:rsidR="00D1494F">
        <w:t xml:space="preserve"> </w:t>
      </w:r>
    </w:p>
    <w:p w14:paraId="24D4BAB1" w14:textId="41DB3D67" w:rsidR="00DF2DFC" w:rsidRPr="00477799" w:rsidRDefault="00DF2DFC" w:rsidP="00DF2DFC">
      <w:pPr>
        <w:pStyle w:val="GuideQuestion0"/>
        <w:numPr>
          <w:ilvl w:val="0"/>
          <w:numId w:val="18"/>
        </w:numPr>
      </w:pPr>
      <w:r>
        <w:t>Does</w:t>
      </w:r>
      <w:r w:rsidRPr="00DF2DFC">
        <w:t xml:space="preserve"> the </w:t>
      </w:r>
      <w:r>
        <w:t>NDIA’s Capital Assets Pricing Model appropriately account for the</w:t>
      </w:r>
      <w:r w:rsidR="004F4A58">
        <w:t xml:space="preserve"> </w:t>
      </w:r>
      <w:r w:rsidRPr="00DF2DFC">
        <w:t xml:space="preserve">costs </w:t>
      </w:r>
      <w:r>
        <w:t xml:space="preserve">incurred </w:t>
      </w:r>
      <w:r w:rsidR="00407728">
        <w:t>in</w:t>
      </w:r>
      <w:r w:rsidRPr="00DF2DFC">
        <w:t xml:space="preserve"> draw</w:t>
      </w:r>
      <w:r w:rsidR="00407728">
        <w:t>ing</w:t>
      </w:r>
      <w:r w:rsidRPr="00DF2DFC">
        <w:t xml:space="preserve"> investment from a broad range of sources, including institutional investors</w:t>
      </w:r>
      <w:r>
        <w:t xml:space="preserve">? </w:t>
      </w:r>
      <w:r w:rsidRPr="00477799">
        <w:t xml:space="preserve">If not, how can </w:t>
      </w:r>
      <w:r>
        <w:t xml:space="preserve">the methodology </w:t>
      </w:r>
      <w:r w:rsidRPr="00477799">
        <w:t>be improved? Please provide evidence.</w:t>
      </w:r>
    </w:p>
    <w:p w14:paraId="5B6038CC" w14:textId="78A9DC43" w:rsidR="000F3CC1" w:rsidRDefault="00D1494F">
      <w:pPr>
        <w:pStyle w:val="GuideQuestion0"/>
        <w:numPr>
          <w:ilvl w:val="0"/>
          <w:numId w:val="18"/>
        </w:numPr>
      </w:pPr>
      <w:r>
        <w:t>What</w:t>
      </w:r>
      <w:r w:rsidR="000F3CC1">
        <w:t xml:space="preserve"> typical gross rental yields can be expected from SDA type properties in the Australian econom</w:t>
      </w:r>
      <w:r w:rsidR="004A67D0">
        <w:t>y? To what</w:t>
      </w:r>
      <w:r w:rsidR="000F3CC1">
        <w:t xml:space="preserve"> extent </w:t>
      </w:r>
      <w:r w:rsidR="004A67D0">
        <w:t xml:space="preserve">do </w:t>
      </w:r>
      <w:r w:rsidR="000F3CC1">
        <w:t>gross rental yields significantly vary by Design Category, Building Type and Size, and Region</w:t>
      </w:r>
      <w:r>
        <w:t>?</w:t>
      </w:r>
      <w:r w:rsidRPr="00D1494F">
        <w:t xml:space="preserve"> </w:t>
      </w:r>
      <w:r>
        <w:t>Please provide evidence.</w:t>
      </w:r>
    </w:p>
    <w:p w14:paraId="1F78220B" w14:textId="35D97427" w:rsidR="00DF2DFC" w:rsidRDefault="00DF2DFC" w:rsidP="00DF2DFC">
      <w:pPr>
        <w:pStyle w:val="Heading2"/>
      </w:pPr>
      <w:bookmarkStart w:id="51" w:name="_Toc116293088"/>
      <w:r>
        <w:t xml:space="preserve">Indexation of </w:t>
      </w:r>
      <w:r w:rsidR="002B0609">
        <w:t>Base Prices</w:t>
      </w:r>
      <w:bookmarkEnd w:id="51"/>
    </w:p>
    <w:p w14:paraId="7249CA8A" w14:textId="17E41D09" w:rsidR="002B0609" w:rsidRDefault="002B0609" w:rsidP="002B0609">
      <w:pPr>
        <w:pStyle w:val="GuideQuestion0"/>
        <w:numPr>
          <w:ilvl w:val="0"/>
          <w:numId w:val="18"/>
        </w:numPr>
      </w:pPr>
      <w:r>
        <w:t xml:space="preserve">Is the current methodology by which the NDIA indexes SDA base prices each year between 5-yearly price reviews appropriate? </w:t>
      </w:r>
      <w:r w:rsidRPr="00477799">
        <w:t xml:space="preserve">If not, how can </w:t>
      </w:r>
      <w:r>
        <w:t xml:space="preserve">the methodology </w:t>
      </w:r>
      <w:r w:rsidRPr="00477799">
        <w:t>be improved? Please provide evidence.</w:t>
      </w:r>
    </w:p>
    <w:p w14:paraId="253AB1C5" w14:textId="6BE8AA8D" w:rsidR="002B0609" w:rsidRPr="002B0609" w:rsidRDefault="002B0609" w:rsidP="002B0609">
      <w:pPr>
        <w:pStyle w:val="GuideQuestion0"/>
        <w:numPr>
          <w:ilvl w:val="0"/>
          <w:numId w:val="18"/>
        </w:numPr>
      </w:pPr>
      <w:r>
        <w:t>Are the</w:t>
      </w:r>
      <w:r w:rsidR="007D27AF">
        <w:t>re</w:t>
      </w:r>
      <w:r>
        <w:t xml:space="preserve"> any other issues with the indexation of SDA base prices? Please provide details and evidence.</w:t>
      </w:r>
    </w:p>
    <w:p w14:paraId="2A26DA83" w14:textId="12353D2A" w:rsidR="000F3CC1" w:rsidRDefault="000F3CC1" w:rsidP="00DF2DFC">
      <w:pPr>
        <w:pStyle w:val="Heading2"/>
      </w:pPr>
      <w:bookmarkStart w:id="52" w:name="_Toc116293089"/>
      <w:r>
        <w:t>Other Issues</w:t>
      </w:r>
      <w:bookmarkEnd w:id="52"/>
    </w:p>
    <w:p w14:paraId="05B38133" w14:textId="4BDDD592" w:rsidR="007D27AF" w:rsidRDefault="005F1CE4">
      <w:pPr>
        <w:pStyle w:val="GuideQuestion0"/>
        <w:numPr>
          <w:ilvl w:val="0"/>
          <w:numId w:val="18"/>
        </w:numPr>
      </w:pPr>
      <w:r w:rsidRPr="005F1CE4">
        <w:t xml:space="preserve">What pricing arrangements should apply to dwellings that are designed to meet a mixture of design categories? For example, a </w:t>
      </w:r>
      <w:r w:rsidR="00407728">
        <w:t>3-</w:t>
      </w:r>
      <w:r w:rsidRPr="005F1CE4">
        <w:t xml:space="preserve">bedroom house where one bedroom meets the requirements for the High Physical Support design category and two bedrooms meet the requirements of the Improved Liveability design category. Note, the shared areas would need to meet the </w:t>
      </w:r>
      <w:r w:rsidR="007D27AF">
        <w:t>requirements of both</w:t>
      </w:r>
      <w:r w:rsidRPr="005F1CE4">
        <w:t xml:space="preserve"> design categories.</w:t>
      </w:r>
    </w:p>
    <w:p w14:paraId="42D09317" w14:textId="33B93209" w:rsidR="005F1CE4" w:rsidRDefault="007D27AF">
      <w:pPr>
        <w:pStyle w:val="GuideQuestion0"/>
        <w:numPr>
          <w:ilvl w:val="0"/>
          <w:numId w:val="18"/>
        </w:numPr>
      </w:pPr>
      <w:r>
        <w:t xml:space="preserve">With regard to New Build (refurbished) dwellings, do the costs set out in Appendix F of the </w:t>
      </w:r>
      <w:hyperlink r:id="rId41" w:history="1">
        <w:r w:rsidR="00EE1371" w:rsidRPr="00DE28CF">
          <w:rPr>
            <w:rStyle w:val="Hyperlink"/>
            <w:i/>
            <w:iCs/>
            <w:szCs w:val="22"/>
          </w:rPr>
          <w:t>NDIS Pricing Arrangements for Specialist Disability Accommodation 2023-23</w:t>
        </w:r>
      </w:hyperlink>
      <w:r w:rsidR="00EE1371">
        <w:rPr>
          <w:rStyle w:val="Hyperlink"/>
          <w:i/>
          <w:iCs/>
        </w:rPr>
        <w:t xml:space="preserve"> </w:t>
      </w:r>
      <w:r>
        <w:t xml:space="preserve">reflect the appropriate amounts needed to be spent to refurbish dwellings to a New Build quality? Do they sufficiently </w:t>
      </w:r>
      <w:proofErr w:type="gramStart"/>
      <w:r>
        <w:t>take into account</w:t>
      </w:r>
      <w:proofErr w:type="gramEnd"/>
      <w:r>
        <w:t xml:space="preserve"> differences in locations? Please provide details and evidence.</w:t>
      </w:r>
    </w:p>
    <w:p w14:paraId="301D16F9" w14:textId="77777777" w:rsidR="00D30D33" w:rsidRDefault="00D1494F" w:rsidP="00D30D33">
      <w:pPr>
        <w:pStyle w:val="GuideQuestion0"/>
        <w:numPr>
          <w:ilvl w:val="0"/>
          <w:numId w:val="18"/>
        </w:numPr>
      </w:pPr>
      <w:r>
        <w:t>Are there</w:t>
      </w:r>
      <w:r w:rsidR="003C2273">
        <w:t xml:space="preserve"> any other factors that have the potential to impact on the ability of the Scheme to attract the required level of investment</w:t>
      </w:r>
      <w:r w:rsidR="00D30D33">
        <w:t xml:space="preserve">, including from institutional investors, </w:t>
      </w:r>
      <w:r w:rsidR="003C2273">
        <w:t>over the next twenty years across the range of SDA to meet the reasonable and necessary support needs of participants</w:t>
      </w:r>
      <w:r>
        <w:t>? Please provide evidence.</w:t>
      </w:r>
    </w:p>
    <w:p w14:paraId="663CAE7F" w14:textId="1585265A" w:rsidR="00D30D33" w:rsidRDefault="00D30D33" w:rsidP="00D30D33">
      <w:pPr>
        <w:pStyle w:val="GuideQuestion0"/>
        <w:ind w:left="567"/>
        <w:sectPr w:rsidR="00D30D33" w:rsidSect="00872AF9">
          <w:pgSz w:w="11907" w:h="16839" w:code="9"/>
          <w:pgMar w:top="1440" w:right="1440" w:bottom="1440" w:left="1440" w:header="709" w:footer="709" w:gutter="0"/>
          <w:cols w:space="708"/>
          <w:titlePg/>
          <w:docGrid w:linePitch="360"/>
        </w:sectPr>
      </w:pPr>
    </w:p>
    <w:p w14:paraId="5035DFE4" w14:textId="34D5A27A" w:rsidR="00A010BA" w:rsidRPr="00DA1292" w:rsidRDefault="00A010BA" w:rsidP="00A010BA">
      <w:pPr>
        <w:pStyle w:val="Heading1"/>
      </w:pPr>
      <w:bookmarkStart w:id="53" w:name="_Toc116293090"/>
      <w:r>
        <w:lastRenderedPageBreak/>
        <w:t xml:space="preserve">Appendix </w:t>
      </w:r>
      <w:r w:rsidR="00294429">
        <w:t>A</w:t>
      </w:r>
      <w:r>
        <w:t xml:space="preserve"> – </w:t>
      </w:r>
      <w:r w:rsidRPr="00986817">
        <w:t>L</w:t>
      </w:r>
      <w:r>
        <w:t xml:space="preserve">imited </w:t>
      </w:r>
      <w:r w:rsidRPr="00E46182">
        <w:t>Cost</w:t>
      </w:r>
      <w:r>
        <w:t xml:space="preserve"> Assumptions Review</w:t>
      </w:r>
      <w:bookmarkEnd w:id="53"/>
    </w:p>
    <w:p w14:paraId="3DDB1528" w14:textId="77777777" w:rsidR="00A010BA" w:rsidRDefault="00A010BA" w:rsidP="00A010BA">
      <w:r>
        <w:t xml:space="preserve">In 2019, the NDIA undertook a limited review </w:t>
      </w:r>
      <w:r w:rsidRPr="004F4D61">
        <w:t>focused on SDA location factors and construction cost assumptions for the various building types and design categories.</w:t>
      </w:r>
    </w:p>
    <w:p w14:paraId="18C76584" w14:textId="0154A01C" w:rsidR="00A010BA" w:rsidRDefault="00A010BA" w:rsidP="00A010BA">
      <w:r>
        <w:t xml:space="preserve">The Review recommended increases to some location factors in Sydney and Melbourne metropolitan areas (see </w:t>
      </w:r>
      <w:r w:rsidRPr="006458D7">
        <w:fldChar w:fldCharType="begin"/>
      </w:r>
      <w:r w:rsidRPr="006458D7">
        <w:instrText xml:space="preserve"> REF _Ref16544418 \h </w:instrText>
      </w:r>
      <w:r w:rsidR="00FD00B6">
        <w:rPr>
          <w:b/>
        </w:rPr>
        <w:instrText xml:space="preserve"> \* MERGEFORMAT </w:instrText>
      </w:r>
      <w:r w:rsidRPr="006458D7">
        <w:fldChar w:fldCharType="separate"/>
      </w:r>
      <w:r w:rsidR="00765987" w:rsidRPr="00F64913">
        <w:t xml:space="preserve">Table </w:t>
      </w:r>
      <w:r w:rsidR="00765987">
        <w:rPr>
          <w:noProof/>
        </w:rPr>
        <w:t>16</w:t>
      </w:r>
      <w:r w:rsidRPr="006458D7">
        <w:fldChar w:fldCharType="end"/>
      </w:r>
      <w:r w:rsidRPr="006458D7">
        <w:t>)</w:t>
      </w:r>
      <w:r>
        <w:t xml:space="preserve"> and adjustment to some construction cost assumptions for Fully Accessible and Robust design categories (see </w:t>
      </w:r>
      <w:r w:rsidRPr="006458D7">
        <w:fldChar w:fldCharType="begin"/>
      </w:r>
      <w:r w:rsidRPr="006458D7">
        <w:instrText xml:space="preserve"> REF _Ref107398664 \h </w:instrText>
      </w:r>
      <w:r w:rsidR="00FD00B6">
        <w:rPr>
          <w:b/>
        </w:rPr>
        <w:instrText xml:space="preserve"> \* MERGEFORMAT </w:instrText>
      </w:r>
      <w:r w:rsidRPr="006458D7">
        <w:fldChar w:fldCharType="separate"/>
      </w:r>
      <w:r w:rsidR="00765987" w:rsidRPr="00F64913">
        <w:t xml:space="preserve">Table </w:t>
      </w:r>
      <w:r w:rsidR="00765987">
        <w:rPr>
          <w:noProof/>
        </w:rPr>
        <w:t>17</w:t>
      </w:r>
      <w:r w:rsidRPr="006458D7">
        <w:fldChar w:fldCharType="end"/>
      </w:r>
      <w:r>
        <w:t xml:space="preserve">). These changes were recommended </w:t>
      </w:r>
      <w:proofErr w:type="gramStart"/>
      <w:r>
        <w:t>in order to</w:t>
      </w:r>
      <w:proofErr w:type="gramEnd"/>
      <w:r>
        <w:t xml:space="preserve"> support investment across the range of SDA types and locations where the NDIA believe</w:t>
      </w:r>
      <w:r w:rsidR="009070C0">
        <w:t>d</w:t>
      </w:r>
      <w:r>
        <w:t xml:space="preserve"> that supply should be stimulated.</w:t>
      </w:r>
    </w:p>
    <w:p w14:paraId="348E4575" w14:textId="77777777" w:rsidR="00A010BA" w:rsidRDefault="00A010BA" w:rsidP="00A010BA">
      <w:r>
        <w:t>The Review also recommended some key monitoring activities be formalised as part of the NDIA’s SDA market steward role, including the incorporation of new data sets into analysis and the establishment of supply monitoring cycles for SDA design categories and locations.</w:t>
      </w:r>
    </w:p>
    <w:p w14:paraId="510B5E70" w14:textId="2C99F63E" w:rsidR="00A010BA" w:rsidRPr="00685937" w:rsidRDefault="00A010BA" w:rsidP="00A010BA">
      <w:pPr>
        <w:pStyle w:val="Caption"/>
      </w:pPr>
      <w:bookmarkStart w:id="54" w:name="_Ref16544418"/>
      <w:bookmarkStart w:id="55" w:name="_Ref16546078"/>
      <w:r w:rsidRPr="00F64913">
        <w:t xml:space="preserve">Table </w:t>
      </w:r>
      <w:r w:rsidRPr="00F64913">
        <w:fldChar w:fldCharType="begin"/>
      </w:r>
      <w:r w:rsidRPr="00F64913">
        <w:rPr>
          <w:noProof/>
        </w:rPr>
        <w:instrText xml:space="preserve"> SEQ Table \* ARABIC </w:instrText>
      </w:r>
      <w:r w:rsidRPr="00F64913">
        <w:fldChar w:fldCharType="separate"/>
      </w:r>
      <w:r w:rsidR="00765987">
        <w:rPr>
          <w:noProof/>
        </w:rPr>
        <w:t>16</w:t>
      </w:r>
      <w:r w:rsidRPr="00F64913">
        <w:fldChar w:fldCharType="end"/>
      </w:r>
      <w:bookmarkEnd w:id="54"/>
      <w:r w:rsidRPr="00F64913">
        <w:t xml:space="preserve">: </w:t>
      </w:r>
      <w:r>
        <w:t>Increases in Prices due to Adjustments to Location Factors</w:t>
      </w:r>
      <w:bookmarkEnd w:id="55"/>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323"/>
        <w:gridCol w:w="712"/>
        <w:gridCol w:w="712"/>
        <w:gridCol w:w="712"/>
        <w:gridCol w:w="712"/>
        <w:gridCol w:w="1423"/>
        <w:gridCol w:w="1423"/>
      </w:tblGrid>
      <w:tr w:rsidR="00A010BA" w:rsidRPr="00357512" w14:paraId="24077294" w14:textId="77777777" w:rsidTr="00F829BA">
        <w:trPr>
          <w:cnfStyle w:val="100000000000" w:firstRow="1" w:lastRow="0" w:firstColumn="0" w:lastColumn="0" w:oddVBand="0" w:evenVBand="0" w:oddHBand="0" w:evenHBand="0" w:firstRowFirstColumn="0" w:firstRowLastColumn="0" w:lastRowFirstColumn="0" w:lastRowLastColumn="0"/>
          <w:tblHeader/>
        </w:trPr>
        <w:tc>
          <w:tcPr>
            <w:tcW w:w="1750" w:type="pct"/>
            <w:noWrap/>
          </w:tcPr>
          <w:p w14:paraId="3C32CCB9" w14:textId="77777777" w:rsidR="00A010BA" w:rsidRPr="007D3884" w:rsidRDefault="00A010BA" w:rsidP="00F829BA">
            <w:pPr>
              <w:spacing w:line="200" w:lineRule="atLeast"/>
              <w:ind w:left="108"/>
              <w:jc w:val="right"/>
              <w:rPr>
                <w:rFonts w:cstheme="minorHAnsi"/>
                <w:szCs w:val="16"/>
              </w:rPr>
            </w:pPr>
          </w:p>
        </w:tc>
        <w:tc>
          <w:tcPr>
            <w:tcW w:w="375" w:type="pct"/>
            <w:gridSpan w:val="4"/>
            <w:noWrap/>
            <w:vAlign w:val="center"/>
          </w:tcPr>
          <w:p w14:paraId="03E4AD7A" w14:textId="77777777" w:rsidR="00A010BA" w:rsidRPr="007D3884" w:rsidRDefault="00A010BA" w:rsidP="00F829BA">
            <w:pPr>
              <w:spacing w:line="200" w:lineRule="atLeast"/>
              <w:jc w:val="center"/>
              <w:rPr>
                <w:rFonts w:cstheme="minorHAnsi"/>
                <w:szCs w:val="16"/>
              </w:rPr>
            </w:pPr>
            <w:r>
              <w:rPr>
                <w:rFonts w:cstheme="minorHAnsi"/>
                <w:szCs w:val="16"/>
              </w:rPr>
              <w:t>Apartment</w:t>
            </w:r>
          </w:p>
        </w:tc>
        <w:tc>
          <w:tcPr>
            <w:tcW w:w="750" w:type="pct"/>
            <w:noWrap/>
            <w:vAlign w:val="center"/>
          </w:tcPr>
          <w:p w14:paraId="76DFD3BE" w14:textId="77777777" w:rsidR="00A010BA" w:rsidRPr="00A50293" w:rsidRDefault="00A010BA" w:rsidP="00F829BA">
            <w:pPr>
              <w:spacing w:line="200" w:lineRule="atLeast"/>
              <w:jc w:val="center"/>
              <w:rPr>
                <w:rFonts w:cstheme="minorHAnsi"/>
                <w:szCs w:val="16"/>
              </w:rPr>
            </w:pPr>
            <w:r w:rsidRPr="007D3884">
              <w:rPr>
                <w:rFonts w:cstheme="minorHAnsi"/>
                <w:szCs w:val="16"/>
              </w:rPr>
              <w:t>Villa / Duplex / Townhouse</w:t>
            </w:r>
          </w:p>
        </w:tc>
        <w:tc>
          <w:tcPr>
            <w:tcW w:w="750" w:type="pct"/>
            <w:vAlign w:val="center"/>
          </w:tcPr>
          <w:p w14:paraId="03CB2999" w14:textId="35ED531D" w:rsidR="00A010BA" w:rsidRPr="00A50293" w:rsidRDefault="00A010BA" w:rsidP="00F829BA">
            <w:pPr>
              <w:spacing w:line="200" w:lineRule="atLeast"/>
              <w:jc w:val="center"/>
              <w:rPr>
                <w:rFonts w:cstheme="minorHAnsi"/>
                <w:szCs w:val="16"/>
              </w:rPr>
            </w:pPr>
            <w:r>
              <w:rPr>
                <w:rFonts w:cstheme="minorHAnsi"/>
                <w:szCs w:val="16"/>
              </w:rPr>
              <w:t xml:space="preserve">House / </w:t>
            </w:r>
            <w:r w:rsidR="00601689">
              <w:rPr>
                <w:rFonts w:cstheme="minorHAnsi"/>
                <w:szCs w:val="16"/>
              </w:rPr>
              <w:t>Group Home</w:t>
            </w:r>
          </w:p>
        </w:tc>
      </w:tr>
      <w:tr w:rsidR="00A010BA" w:rsidRPr="00357512" w14:paraId="1DC0586D" w14:textId="77777777" w:rsidTr="00F829BA">
        <w:trPr>
          <w:cnfStyle w:val="100000000000" w:firstRow="1" w:lastRow="0" w:firstColumn="0" w:lastColumn="0" w:oddVBand="0" w:evenVBand="0" w:oddHBand="0" w:evenHBand="0" w:firstRowFirstColumn="0" w:firstRowLastColumn="0" w:lastRowFirstColumn="0" w:lastRowLastColumn="0"/>
          <w:tblHeader/>
        </w:trPr>
        <w:tc>
          <w:tcPr>
            <w:tcW w:w="1750" w:type="pct"/>
            <w:noWrap/>
            <w:vAlign w:val="center"/>
          </w:tcPr>
          <w:p w14:paraId="4CC360BF" w14:textId="77777777" w:rsidR="00A010BA" w:rsidRPr="007D3884" w:rsidRDefault="00A010BA" w:rsidP="00F829BA">
            <w:pPr>
              <w:spacing w:line="200" w:lineRule="atLeast"/>
              <w:ind w:left="108"/>
              <w:jc w:val="right"/>
              <w:rPr>
                <w:rFonts w:cstheme="minorHAnsi"/>
                <w:szCs w:val="16"/>
              </w:rPr>
            </w:pPr>
            <w:r w:rsidRPr="007D3884">
              <w:rPr>
                <w:rFonts w:cstheme="minorHAnsi"/>
                <w:szCs w:val="16"/>
              </w:rPr>
              <w:t>Bedrooms</w:t>
            </w:r>
          </w:p>
        </w:tc>
        <w:tc>
          <w:tcPr>
            <w:tcW w:w="375" w:type="pct"/>
            <w:noWrap/>
            <w:vAlign w:val="center"/>
          </w:tcPr>
          <w:p w14:paraId="7E635613" w14:textId="77777777" w:rsidR="00A010BA" w:rsidRPr="007D3884" w:rsidRDefault="00A010BA" w:rsidP="00F829BA">
            <w:pPr>
              <w:spacing w:line="200" w:lineRule="atLeast"/>
              <w:jc w:val="center"/>
              <w:rPr>
                <w:rFonts w:cstheme="minorHAnsi"/>
                <w:szCs w:val="16"/>
              </w:rPr>
            </w:pPr>
            <w:r w:rsidRPr="007D3884">
              <w:rPr>
                <w:rFonts w:cstheme="minorHAnsi"/>
                <w:szCs w:val="16"/>
              </w:rPr>
              <w:t>1</w:t>
            </w:r>
          </w:p>
        </w:tc>
        <w:tc>
          <w:tcPr>
            <w:tcW w:w="375" w:type="pct"/>
            <w:noWrap/>
            <w:vAlign w:val="center"/>
          </w:tcPr>
          <w:p w14:paraId="43EA1D2D" w14:textId="77777777" w:rsidR="00A010BA" w:rsidRPr="007D3884" w:rsidRDefault="00A010BA" w:rsidP="00F829BA">
            <w:pPr>
              <w:spacing w:line="200" w:lineRule="atLeast"/>
              <w:jc w:val="center"/>
              <w:rPr>
                <w:rFonts w:cstheme="minorHAnsi"/>
                <w:szCs w:val="16"/>
              </w:rPr>
            </w:pPr>
            <w:r w:rsidRPr="007D3884">
              <w:rPr>
                <w:rFonts w:cstheme="minorHAnsi"/>
                <w:szCs w:val="16"/>
              </w:rPr>
              <w:t>2</w:t>
            </w:r>
          </w:p>
        </w:tc>
        <w:tc>
          <w:tcPr>
            <w:tcW w:w="375" w:type="pct"/>
            <w:vAlign w:val="center"/>
          </w:tcPr>
          <w:p w14:paraId="076E0E02" w14:textId="77777777" w:rsidR="00A010BA" w:rsidRPr="007D3884" w:rsidRDefault="00A010BA" w:rsidP="00F829BA">
            <w:pPr>
              <w:spacing w:line="200" w:lineRule="atLeast"/>
              <w:jc w:val="center"/>
              <w:rPr>
                <w:rFonts w:cstheme="minorHAnsi"/>
                <w:szCs w:val="16"/>
              </w:rPr>
            </w:pPr>
            <w:r w:rsidRPr="007D3884">
              <w:rPr>
                <w:rFonts w:cstheme="minorHAnsi"/>
                <w:szCs w:val="16"/>
              </w:rPr>
              <w:t>2</w:t>
            </w:r>
          </w:p>
        </w:tc>
        <w:tc>
          <w:tcPr>
            <w:tcW w:w="375" w:type="pct"/>
            <w:vAlign w:val="center"/>
          </w:tcPr>
          <w:p w14:paraId="241C2138" w14:textId="77777777" w:rsidR="00A010BA" w:rsidRPr="007D3884" w:rsidRDefault="00A010BA" w:rsidP="00F829BA">
            <w:pPr>
              <w:spacing w:line="200" w:lineRule="atLeast"/>
              <w:jc w:val="center"/>
              <w:rPr>
                <w:rFonts w:cstheme="minorHAnsi"/>
                <w:szCs w:val="16"/>
              </w:rPr>
            </w:pPr>
            <w:r w:rsidRPr="007D3884">
              <w:rPr>
                <w:rFonts w:cstheme="minorHAnsi"/>
                <w:szCs w:val="16"/>
              </w:rPr>
              <w:t>3</w:t>
            </w:r>
          </w:p>
        </w:tc>
        <w:tc>
          <w:tcPr>
            <w:tcW w:w="750" w:type="pct"/>
            <w:noWrap/>
            <w:vAlign w:val="center"/>
          </w:tcPr>
          <w:p w14:paraId="6633278D" w14:textId="77777777" w:rsidR="00A010BA" w:rsidRPr="007D3884" w:rsidRDefault="00A010BA" w:rsidP="00F829BA">
            <w:pPr>
              <w:spacing w:line="200" w:lineRule="atLeast"/>
              <w:jc w:val="center"/>
              <w:rPr>
                <w:rFonts w:cstheme="minorHAnsi"/>
                <w:szCs w:val="16"/>
              </w:rPr>
            </w:pPr>
          </w:p>
        </w:tc>
        <w:tc>
          <w:tcPr>
            <w:tcW w:w="750" w:type="pct"/>
            <w:noWrap/>
            <w:vAlign w:val="center"/>
          </w:tcPr>
          <w:p w14:paraId="53812DA1" w14:textId="77777777" w:rsidR="00A010BA" w:rsidRPr="007D3884" w:rsidRDefault="00A010BA" w:rsidP="00F829BA">
            <w:pPr>
              <w:spacing w:line="200" w:lineRule="atLeast"/>
              <w:jc w:val="center"/>
              <w:rPr>
                <w:rFonts w:cstheme="minorHAnsi"/>
                <w:szCs w:val="16"/>
              </w:rPr>
            </w:pPr>
          </w:p>
        </w:tc>
      </w:tr>
      <w:tr w:rsidR="00A010BA" w:rsidRPr="00357512" w14:paraId="5307D1B5" w14:textId="77777777" w:rsidTr="00F829BA">
        <w:trPr>
          <w:cnfStyle w:val="100000000000" w:firstRow="1" w:lastRow="0" w:firstColumn="0" w:lastColumn="0" w:oddVBand="0" w:evenVBand="0" w:oddHBand="0" w:evenHBand="0" w:firstRowFirstColumn="0" w:firstRowLastColumn="0" w:lastRowFirstColumn="0" w:lastRowLastColumn="0"/>
          <w:tblHeader/>
        </w:trPr>
        <w:tc>
          <w:tcPr>
            <w:tcW w:w="1750" w:type="pct"/>
            <w:noWrap/>
            <w:vAlign w:val="center"/>
          </w:tcPr>
          <w:p w14:paraId="770D0664" w14:textId="77777777" w:rsidR="00A010BA" w:rsidRPr="007D3884" w:rsidRDefault="00A010BA" w:rsidP="00F829BA">
            <w:pPr>
              <w:spacing w:line="200" w:lineRule="atLeast"/>
              <w:ind w:left="108"/>
              <w:jc w:val="right"/>
              <w:rPr>
                <w:rFonts w:cstheme="minorHAnsi"/>
                <w:szCs w:val="16"/>
              </w:rPr>
            </w:pPr>
            <w:r w:rsidRPr="007D3884">
              <w:rPr>
                <w:rFonts w:cstheme="minorHAnsi"/>
                <w:szCs w:val="16"/>
              </w:rPr>
              <w:t>Residents</w:t>
            </w:r>
          </w:p>
        </w:tc>
        <w:tc>
          <w:tcPr>
            <w:tcW w:w="375" w:type="pct"/>
            <w:noWrap/>
            <w:vAlign w:val="center"/>
          </w:tcPr>
          <w:p w14:paraId="49BB1E64" w14:textId="77777777" w:rsidR="00A010BA" w:rsidRPr="007D3884" w:rsidRDefault="00A010BA" w:rsidP="00F829BA">
            <w:pPr>
              <w:spacing w:line="200" w:lineRule="atLeast"/>
              <w:jc w:val="center"/>
              <w:rPr>
                <w:rFonts w:cstheme="minorHAnsi"/>
                <w:szCs w:val="16"/>
              </w:rPr>
            </w:pPr>
            <w:r w:rsidRPr="007D3884">
              <w:rPr>
                <w:rFonts w:cstheme="minorHAnsi"/>
                <w:szCs w:val="16"/>
              </w:rPr>
              <w:t>1</w:t>
            </w:r>
          </w:p>
        </w:tc>
        <w:tc>
          <w:tcPr>
            <w:tcW w:w="375" w:type="pct"/>
            <w:noWrap/>
            <w:vAlign w:val="center"/>
          </w:tcPr>
          <w:p w14:paraId="2A89CA1B" w14:textId="77777777" w:rsidR="00A010BA" w:rsidRPr="007D3884" w:rsidRDefault="00A010BA" w:rsidP="00F829BA">
            <w:pPr>
              <w:spacing w:line="200" w:lineRule="atLeast"/>
              <w:jc w:val="center"/>
              <w:rPr>
                <w:rFonts w:cstheme="minorHAnsi"/>
                <w:szCs w:val="16"/>
              </w:rPr>
            </w:pPr>
            <w:r w:rsidRPr="007D3884">
              <w:rPr>
                <w:rFonts w:cstheme="minorHAnsi"/>
                <w:szCs w:val="16"/>
              </w:rPr>
              <w:t>1</w:t>
            </w:r>
          </w:p>
        </w:tc>
        <w:tc>
          <w:tcPr>
            <w:tcW w:w="375" w:type="pct"/>
            <w:vAlign w:val="center"/>
          </w:tcPr>
          <w:p w14:paraId="031B373E" w14:textId="77777777" w:rsidR="00A010BA" w:rsidRPr="007D3884" w:rsidRDefault="00A010BA" w:rsidP="00F829BA">
            <w:pPr>
              <w:spacing w:line="200" w:lineRule="atLeast"/>
              <w:jc w:val="center"/>
              <w:rPr>
                <w:rFonts w:cstheme="minorHAnsi"/>
                <w:szCs w:val="16"/>
              </w:rPr>
            </w:pPr>
            <w:r w:rsidRPr="007D3884">
              <w:rPr>
                <w:rFonts w:cstheme="minorHAnsi"/>
                <w:szCs w:val="16"/>
              </w:rPr>
              <w:t>2</w:t>
            </w:r>
          </w:p>
        </w:tc>
        <w:tc>
          <w:tcPr>
            <w:tcW w:w="375" w:type="pct"/>
            <w:vAlign w:val="center"/>
          </w:tcPr>
          <w:p w14:paraId="4622F94D" w14:textId="77777777" w:rsidR="00A010BA" w:rsidRPr="007D3884" w:rsidRDefault="00A010BA" w:rsidP="00F829BA">
            <w:pPr>
              <w:spacing w:line="200" w:lineRule="atLeast"/>
              <w:jc w:val="center"/>
              <w:rPr>
                <w:rFonts w:cstheme="minorHAnsi"/>
                <w:szCs w:val="16"/>
              </w:rPr>
            </w:pPr>
            <w:r w:rsidRPr="007D3884">
              <w:rPr>
                <w:rFonts w:cstheme="minorHAnsi"/>
                <w:szCs w:val="16"/>
              </w:rPr>
              <w:t>2</w:t>
            </w:r>
          </w:p>
        </w:tc>
        <w:tc>
          <w:tcPr>
            <w:tcW w:w="750" w:type="pct"/>
            <w:noWrap/>
            <w:vAlign w:val="center"/>
          </w:tcPr>
          <w:p w14:paraId="46C2C628" w14:textId="77777777" w:rsidR="00A010BA" w:rsidRPr="007D3884" w:rsidRDefault="00A010BA" w:rsidP="00F829BA">
            <w:pPr>
              <w:spacing w:line="200" w:lineRule="atLeast"/>
              <w:jc w:val="center"/>
              <w:rPr>
                <w:rFonts w:cstheme="minorHAnsi"/>
                <w:szCs w:val="16"/>
              </w:rPr>
            </w:pPr>
          </w:p>
        </w:tc>
        <w:tc>
          <w:tcPr>
            <w:tcW w:w="750" w:type="pct"/>
            <w:vAlign w:val="center"/>
          </w:tcPr>
          <w:p w14:paraId="3938CC71" w14:textId="77777777" w:rsidR="00A010BA" w:rsidRPr="007D3884" w:rsidRDefault="00A010BA" w:rsidP="00F829BA">
            <w:pPr>
              <w:spacing w:line="200" w:lineRule="atLeast"/>
              <w:jc w:val="center"/>
              <w:rPr>
                <w:rFonts w:cstheme="minorHAnsi"/>
                <w:szCs w:val="16"/>
              </w:rPr>
            </w:pPr>
          </w:p>
        </w:tc>
      </w:tr>
      <w:tr w:rsidR="00A010BA" w:rsidRPr="00357512" w14:paraId="69E68E7A" w14:textId="77777777" w:rsidTr="00F829BA">
        <w:trPr>
          <w:cnfStyle w:val="000000100000" w:firstRow="0" w:lastRow="0" w:firstColumn="0" w:lastColumn="0" w:oddVBand="0" w:evenVBand="0" w:oddHBand="1" w:evenHBand="0" w:firstRowFirstColumn="0" w:firstRowLastColumn="0" w:lastRowFirstColumn="0" w:lastRowLastColumn="0"/>
        </w:trPr>
        <w:tc>
          <w:tcPr>
            <w:tcW w:w="1750" w:type="pct"/>
            <w:noWrap/>
            <w:vAlign w:val="center"/>
            <w:hideMark/>
          </w:tcPr>
          <w:p w14:paraId="6E04F19B" w14:textId="07560DB5" w:rsidR="00A010BA" w:rsidRPr="007D3884" w:rsidRDefault="00A010BA" w:rsidP="00F829BA">
            <w:pPr>
              <w:spacing w:line="200" w:lineRule="atLeast"/>
              <w:rPr>
                <w:rFonts w:cstheme="minorHAnsi"/>
                <w:color w:val="000000"/>
                <w:szCs w:val="16"/>
                <w:lang w:eastAsia="en-AU"/>
              </w:rPr>
            </w:pPr>
            <w:r w:rsidRPr="007D3884">
              <w:rPr>
                <w:rFonts w:cstheme="minorHAnsi"/>
                <w:color w:val="000000"/>
                <w:szCs w:val="16"/>
              </w:rPr>
              <w:t>Sydney - City and Inner South</w:t>
            </w:r>
          </w:p>
        </w:tc>
        <w:tc>
          <w:tcPr>
            <w:tcW w:w="375" w:type="pct"/>
            <w:noWrap/>
            <w:vAlign w:val="center"/>
            <w:hideMark/>
          </w:tcPr>
          <w:p w14:paraId="4EB5B3E1"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5.3%</w:t>
            </w:r>
          </w:p>
        </w:tc>
        <w:tc>
          <w:tcPr>
            <w:tcW w:w="375" w:type="pct"/>
            <w:noWrap/>
            <w:vAlign w:val="center"/>
            <w:hideMark/>
          </w:tcPr>
          <w:p w14:paraId="2BC2A039"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5.4%</w:t>
            </w:r>
          </w:p>
        </w:tc>
        <w:tc>
          <w:tcPr>
            <w:tcW w:w="375" w:type="pct"/>
            <w:vAlign w:val="center"/>
            <w:hideMark/>
          </w:tcPr>
          <w:p w14:paraId="64896A3F"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5.4%</w:t>
            </w:r>
          </w:p>
        </w:tc>
        <w:tc>
          <w:tcPr>
            <w:tcW w:w="375" w:type="pct"/>
            <w:vAlign w:val="center"/>
            <w:hideMark/>
          </w:tcPr>
          <w:p w14:paraId="06BDCDEE"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5.5%</w:t>
            </w:r>
          </w:p>
        </w:tc>
        <w:tc>
          <w:tcPr>
            <w:tcW w:w="750" w:type="pct"/>
            <w:noWrap/>
            <w:vAlign w:val="center"/>
            <w:hideMark/>
          </w:tcPr>
          <w:p w14:paraId="3A91CB2C" w14:textId="77777777" w:rsidR="00A010BA" w:rsidRPr="007D3884" w:rsidRDefault="00A010BA" w:rsidP="00F829BA">
            <w:pPr>
              <w:spacing w:line="200" w:lineRule="atLeast"/>
              <w:jc w:val="center"/>
              <w:rPr>
                <w:rFonts w:cstheme="minorHAnsi"/>
                <w:color w:val="000000"/>
                <w:szCs w:val="16"/>
              </w:rPr>
            </w:pPr>
          </w:p>
        </w:tc>
        <w:tc>
          <w:tcPr>
            <w:tcW w:w="750" w:type="pct"/>
            <w:vAlign w:val="center"/>
          </w:tcPr>
          <w:p w14:paraId="062C3B2B" w14:textId="77777777" w:rsidR="00A010BA" w:rsidRPr="007D3884" w:rsidRDefault="00A010BA" w:rsidP="00F829BA">
            <w:pPr>
              <w:spacing w:line="200" w:lineRule="atLeast"/>
              <w:jc w:val="center"/>
              <w:rPr>
                <w:rFonts w:cstheme="minorHAnsi"/>
                <w:color w:val="000000"/>
                <w:szCs w:val="16"/>
              </w:rPr>
            </w:pPr>
          </w:p>
        </w:tc>
      </w:tr>
      <w:tr w:rsidR="00A010BA" w:rsidRPr="00357512" w14:paraId="757CAD4F" w14:textId="77777777" w:rsidTr="00F829BA">
        <w:tc>
          <w:tcPr>
            <w:tcW w:w="1750" w:type="pct"/>
            <w:noWrap/>
            <w:vAlign w:val="center"/>
            <w:hideMark/>
          </w:tcPr>
          <w:p w14:paraId="4CF4BE74" w14:textId="0B589440" w:rsidR="00A010BA" w:rsidRPr="007D3884" w:rsidRDefault="00A010BA" w:rsidP="00F829BA">
            <w:pPr>
              <w:spacing w:line="200" w:lineRule="atLeast"/>
              <w:rPr>
                <w:rFonts w:cstheme="minorHAnsi"/>
                <w:color w:val="000000"/>
                <w:szCs w:val="16"/>
                <w:lang w:eastAsia="en-AU"/>
              </w:rPr>
            </w:pPr>
            <w:r w:rsidRPr="007D3884">
              <w:rPr>
                <w:rFonts w:cstheme="minorHAnsi"/>
                <w:color w:val="000000"/>
                <w:szCs w:val="16"/>
              </w:rPr>
              <w:t>Sydney - Eastern Suburbs</w:t>
            </w:r>
          </w:p>
        </w:tc>
        <w:tc>
          <w:tcPr>
            <w:tcW w:w="375" w:type="pct"/>
            <w:noWrap/>
            <w:vAlign w:val="center"/>
          </w:tcPr>
          <w:p w14:paraId="643B43B3"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5.4%</w:t>
            </w:r>
          </w:p>
        </w:tc>
        <w:tc>
          <w:tcPr>
            <w:tcW w:w="375" w:type="pct"/>
            <w:noWrap/>
            <w:vAlign w:val="center"/>
          </w:tcPr>
          <w:p w14:paraId="50A128E1"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5.5%</w:t>
            </w:r>
          </w:p>
        </w:tc>
        <w:tc>
          <w:tcPr>
            <w:tcW w:w="375" w:type="pct"/>
            <w:vAlign w:val="center"/>
          </w:tcPr>
          <w:p w14:paraId="51AA2D6F"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5.5%</w:t>
            </w:r>
          </w:p>
        </w:tc>
        <w:tc>
          <w:tcPr>
            <w:tcW w:w="375" w:type="pct"/>
            <w:vAlign w:val="center"/>
          </w:tcPr>
          <w:p w14:paraId="089DD22B"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5.5%</w:t>
            </w:r>
          </w:p>
        </w:tc>
        <w:tc>
          <w:tcPr>
            <w:tcW w:w="750" w:type="pct"/>
            <w:noWrap/>
            <w:vAlign w:val="center"/>
          </w:tcPr>
          <w:p w14:paraId="2994831B" w14:textId="77777777" w:rsidR="00A010BA" w:rsidRPr="007D3884" w:rsidRDefault="00A010BA" w:rsidP="00F829BA">
            <w:pPr>
              <w:spacing w:line="200" w:lineRule="atLeast"/>
              <w:jc w:val="center"/>
              <w:rPr>
                <w:rFonts w:cstheme="minorHAnsi"/>
                <w:color w:val="000000"/>
                <w:szCs w:val="16"/>
              </w:rPr>
            </w:pPr>
          </w:p>
        </w:tc>
        <w:tc>
          <w:tcPr>
            <w:tcW w:w="750" w:type="pct"/>
            <w:vAlign w:val="center"/>
          </w:tcPr>
          <w:p w14:paraId="41766139" w14:textId="77777777" w:rsidR="00A010BA" w:rsidRPr="007D3884" w:rsidRDefault="00A010BA" w:rsidP="00F829BA">
            <w:pPr>
              <w:spacing w:line="200" w:lineRule="atLeast"/>
              <w:jc w:val="center"/>
              <w:rPr>
                <w:rFonts w:cstheme="minorHAnsi"/>
                <w:color w:val="000000"/>
                <w:szCs w:val="16"/>
              </w:rPr>
            </w:pPr>
          </w:p>
        </w:tc>
      </w:tr>
      <w:tr w:rsidR="00A010BA" w:rsidRPr="00357512" w14:paraId="10B8BA7F" w14:textId="77777777" w:rsidTr="00F829BA">
        <w:trPr>
          <w:cnfStyle w:val="000000100000" w:firstRow="0" w:lastRow="0" w:firstColumn="0" w:lastColumn="0" w:oddVBand="0" w:evenVBand="0" w:oddHBand="1" w:evenHBand="0" w:firstRowFirstColumn="0" w:firstRowLastColumn="0" w:lastRowFirstColumn="0" w:lastRowLastColumn="0"/>
        </w:trPr>
        <w:tc>
          <w:tcPr>
            <w:tcW w:w="1750" w:type="pct"/>
            <w:noWrap/>
            <w:vAlign w:val="center"/>
            <w:hideMark/>
          </w:tcPr>
          <w:p w14:paraId="4B11953A" w14:textId="603C1744" w:rsidR="00A010BA" w:rsidRPr="007D3884" w:rsidRDefault="00A010BA" w:rsidP="00F829BA">
            <w:pPr>
              <w:spacing w:line="200" w:lineRule="atLeast"/>
              <w:rPr>
                <w:rFonts w:cstheme="minorHAnsi"/>
                <w:color w:val="000000"/>
                <w:szCs w:val="16"/>
                <w:lang w:eastAsia="en-AU"/>
              </w:rPr>
            </w:pPr>
            <w:r w:rsidRPr="007D3884">
              <w:rPr>
                <w:rFonts w:cstheme="minorHAnsi"/>
                <w:color w:val="000000"/>
                <w:szCs w:val="16"/>
              </w:rPr>
              <w:t>Sydney - Inner West</w:t>
            </w:r>
          </w:p>
        </w:tc>
        <w:tc>
          <w:tcPr>
            <w:tcW w:w="375" w:type="pct"/>
            <w:noWrap/>
            <w:vAlign w:val="center"/>
          </w:tcPr>
          <w:p w14:paraId="7C96B0B4"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10.3%</w:t>
            </w:r>
          </w:p>
        </w:tc>
        <w:tc>
          <w:tcPr>
            <w:tcW w:w="375" w:type="pct"/>
            <w:noWrap/>
            <w:vAlign w:val="center"/>
          </w:tcPr>
          <w:p w14:paraId="3C05D30A"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10.3%</w:t>
            </w:r>
          </w:p>
        </w:tc>
        <w:tc>
          <w:tcPr>
            <w:tcW w:w="375" w:type="pct"/>
            <w:vAlign w:val="center"/>
          </w:tcPr>
          <w:p w14:paraId="467E04F8"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10.4%</w:t>
            </w:r>
          </w:p>
        </w:tc>
        <w:tc>
          <w:tcPr>
            <w:tcW w:w="375" w:type="pct"/>
            <w:vAlign w:val="center"/>
          </w:tcPr>
          <w:p w14:paraId="6B916BDE" w14:textId="77777777" w:rsidR="00A010BA" w:rsidRPr="007D3884" w:rsidRDefault="00A010BA" w:rsidP="00F829BA">
            <w:pPr>
              <w:spacing w:line="200" w:lineRule="atLeast"/>
              <w:jc w:val="center"/>
              <w:rPr>
                <w:rFonts w:cstheme="minorHAnsi"/>
                <w:color w:val="000000"/>
                <w:szCs w:val="16"/>
              </w:rPr>
            </w:pPr>
            <w:r w:rsidRPr="007D3884">
              <w:rPr>
                <w:rFonts w:cstheme="minorHAnsi"/>
                <w:color w:val="000000"/>
                <w:szCs w:val="16"/>
              </w:rPr>
              <w:t>10.5%</w:t>
            </w:r>
          </w:p>
        </w:tc>
        <w:tc>
          <w:tcPr>
            <w:tcW w:w="750" w:type="pct"/>
            <w:noWrap/>
            <w:vAlign w:val="center"/>
          </w:tcPr>
          <w:p w14:paraId="44E41251" w14:textId="77777777" w:rsidR="00A010BA" w:rsidRPr="007D3884" w:rsidRDefault="00A010BA" w:rsidP="00F829BA">
            <w:pPr>
              <w:spacing w:line="200" w:lineRule="atLeast"/>
              <w:jc w:val="center"/>
              <w:rPr>
                <w:rFonts w:cstheme="minorHAnsi"/>
                <w:color w:val="000000"/>
                <w:szCs w:val="16"/>
              </w:rPr>
            </w:pPr>
          </w:p>
        </w:tc>
        <w:tc>
          <w:tcPr>
            <w:tcW w:w="750" w:type="pct"/>
            <w:vAlign w:val="center"/>
          </w:tcPr>
          <w:p w14:paraId="7C9F9233" w14:textId="77777777" w:rsidR="00A010BA" w:rsidRPr="007D3884" w:rsidRDefault="00A010BA" w:rsidP="00F829BA">
            <w:pPr>
              <w:spacing w:line="200" w:lineRule="atLeast"/>
              <w:jc w:val="center"/>
              <w:rPr>
                <w:rFonts w:cstheme="minorHAnsi"/>
                <w:color w:val="000000"/>
                <w:szCs w:val="16"/>
              </w:rPr>
            </w:pPr>
          </w:p>
        </w:tc>
      </w:tr>
      <w:tr w:rsidR="00A010BA" w:rsidRPr="00357512" w14:paraId="213B35A9" w14:textId="77777777" w:rsidTr="00F829BA">
        <w:tc>
          <w:tcPr>
            <w:tcW w:w="1750" w:type="pct"/>
            <w:noWrap/>
            <w:vAlign w:val="center"/>
            <w:hideMark/>
          </w:tcPr>
          <w:p w14:paraId="19D7594E" w14:textId="6FB92518" w:rsidR="00A010BA" w:rsidRPr="007D3884" w:rsidRDefault="00A010BA" w:rsidP="00F829BA">
            <w:pPr>
              <w:spacing w:line="200" w:lineRule="atLeast"/>
              <w:rPr>
                <w:rFonts w:cstheme="minorHAnsi"/>
                <w:color w:val="000000"/>
                <w:szCs w:val="16"/>
                <w:lang w:eastAsia="en-AU"/>
              </w:rPr>
            </w:pPr>
            <w:r w:rsidRPr="007D3884">
              <w:rPr>
                <w:rFonts w:cstheme="minorHAnsi"/>
                <w:color w:val="000000"/>
                <w:szCs w:val="16"/>
              </w:rPr>
              <w:t>Melbourne - Inner East</w:t>
            </w:r>
          </w:p>
        </w:tc>
        <w:tc>
          <w:tcPr>
            <w:tcW w:w="375" w:type="pct"/>
            <w:noWrap/>
            <w:vAlign w:val="center"/>
          </w:tcPr>
          <w:p w14:paraId="7589BD87" w14:textId="77777777" w:rsidR="00A010BA" w:rsidRPr="007D3884" w:rsidRDefault="00A010BA" w:rsidP="00F829BA">
            <w:pPr>
              <w:spacing w:line="200" w:lineRule="atLeast"/>
              <w:jc w:val="center"/>
              <w:rPr>
                <w:rFonts w:eastAsia="Times New Roman" w:cstheme="minorHAnsi"/>
                <w:color w:val="000000"/>
                <w:szCs w:val="16"/>
                <w:lang w:eastAsia="en-AU"/>
              </w:rPr>
            </w:pPr>
            <w:r w:rsidRPr="007D3884">
              <w:rPr>
                <w:rFonts w:eastAsia="Times New Roman" w:cstheme="minorHAnsi"/>
                <w:color w:val="000000"/>
                <w:szCs w:val="16"/>
                <w:lang w:eastAsia="en-AU"/>
              </w:rPr>
              <w:t>4.0%</w:t>
            </w:r>
          </w:p>
        </w:tc>
        <w:tc>
          <w:tcPr>
            <w:tcW w:w="375" w:type="pct"/>
            <w:noWrap/>
            <w:vAlign w:val="center"/>
          </w:tcPr>
          <w:p w14:paraId="4038ED16" w14:textId="77777777" w:rsidR="00A010BA" w:rsidRPr="007D3884" w:rsidRDefault="00A010BA" w:rsidP="00F829BA">
            <w:pPr>
              <w:spacing w:line="200" w:lineRule="atLeast"/>
              <w:jc w:val="center"/>
              <w:rPr>
                <w:rFonts w:eastAsia="Times New Roman" w:cstheme="minorHAnsi"/>
                <w:color w:val="000000"/>
                <w:szCs w:val="16"/>
                <w:lang w:eastAsia="en-AU"/>
              </w:rPr>
            </w:pPr>
            <w:r w:rsidRPr="007D3884">
              <w:rPr>
                <w:rFonts w:eastAsia="Times New Roman" w:cstheme="minorHAnsi"/>
                <w:color w:val="000000"/>
                <w:szCs w:val="16"/>
                <w:lang w:eastAsia="en-AU"/>
              </w:rPr>
              <w:t>4.0%</w:t>
            </w:r>
          </w:p>
        </w:tc>
        <w:tc>
          <w:tcPr>
            <w:tcW w:w="375" w:type="pct"/>
            <w:vAlign w:val="center"/>
          </w:tcPr>
          <w:p w14:paraId="62EC475F" w14:textId="77777777" w:rsidR="00A010BA" w:rsidRPr="007D3884" w:rsidRDefault="00A010BA" w:rsidP="00F829BA">
            <w:pPr>
              <w:spacing w:line="200" w:lineRule="atLeast"/>
              <w:jc w:val="center"/>
              <w:rPr>
                <w:rFonts w:eastAsia="Times New Roman" w:cstheme="minorHAnsi"/>
                <w:color w:val="000000"/>
                <w:szCs w:val="16"/>
                <w:lang w:eastAsia="en-AU"/>
              </w:rPr>
            </w:pPr>
            <w:r w:rsidRPr="007D3884">
              <w:rPr>
                <w:rFonts w:eastAsia="Times New Roman" w:cstheme="minorHAnsi"/>
                <w:color w:val="000000"/>
                <w:szCs w:val="16"/>
                <w:lang w:eastAsia="en-AU"/>
              </w:rPr>
              <w:t>4.0%</w:t>
            </w:r>
          </w:p>
        </w:tc>
        <w:tc>
          <w:tcPr>
            <w:tcW w:w="375" w:type="pct"/>
            <w:vAlign w:val="center"/>
          </w:tcPr>
          <w:p w14:paraId="1D7AF44F" w14:textId="77777777" w:rsidR="00A010BA" w:rsidRPr="007D3884" w:rsidRDefault="00A010BA" w:rsidP="00F829BA">
            <w:pPr>
              <w:spacing w:line="200" w:lineRule="atLeast"/>
              <w:jc w:val="center"/>
              <w:rPr>
                <w:rFonts w:eastAsia="Times New Roman" w:cstheme="minorHAnsi"/>
                <w:color w:val="000000"/>
                <w:szCs w:val="16"/>
                <w:lang w:eastAsia="en-AU"/>
              </w:rPr>
            </w:pPr>
            <w:r w:rsidRPr="007D3884">
              <w:rPr>
                <w:rFonts w:eastAsia="Times New Roman" w:cstheme="minorHAnsi"/>
                <w:color w:val="000000"/>
                <w:szCs w:val="16"/>
                <w:lang w:eastAsia="en-AU"/>
              </w:rPr>
              <w:t>4.1%</w:t>
            </w:r>
          </w:p>
        </w:tc>
        <w:tc>
          <w:tcPr>
            <w:tcW w:w="750" w:type="pct"/>
            <w:noWrap/>
            <w:vAlign w:val="center"/>
          </w:tcPr>
          <w:p w14:paraId="10FB4AA7" w14:textId="77777777" w:rsidR="00A010BA" w:rsidRPr="007D3884" w:rsidRDefault="00A010BA" w:rsidP="00F829BA">
            <w:pPr>
              <w:spacing w:line="200" w:lineRule="atLeast"/>
              <w:jc w:val="center"/>
              <w:rPr>
                <w:rFonts w:eastAsia="Times New Roman" w:cstheme="minorHAnsi"/>
                <w:color w:val="000000"/>
                <w:szCs w:val="16"/>
                <w:lang w:eastAsia="en-AU"/>
              </w:rPr>
            </w:pPr>
          </w:p>
        </w:tc>
        <w:tc>
          <w:tcPr>
            <w:tcW w:w="750" w:type="pct"/>
            <w:vAlign w:val="center"/>
          </w:tcPr>
          <w:p w14:paraId="136B94E1" w14:textId="77777777" w:rsidR="00A010BA" w:rsidRPr="007D3884" w:rsidRDefault="00A010BA" w:rsidP="00F829BA">
            <w:pPr>
              <w:spacing w:line="200" w:lineRule="atLeast"/>
              <w:jc w:val="center"/>
              <w:rPr>
                <w:rFonts w:eastAsia="Times New Roman" w:cstheme="minorHAnsi"/>
                <w:color w:val="000000"/>
                <w:szCs w:val="16"/>
                <w:lang w:eastAsia="en-AU"/>
              </w:rPr>
            </w:pPr>
          </w:p>
        </w:tc>
      </w:tr>
      <w:tr w:rsidR="00A010BA" w:rsidRPr="00357512" w14:paraId="3201FEAF" w14:textId="77777777" w:rsidTr="00F829BA">
        <w:trPr>
          <w:cnfStyle w:val="000000100000" w:firstRow="0" w:lastRow="0" w:firstColumn="0" w:lastColumn="0" w:oddVBand="0" w:evenVBand="0" w:oddHBand="1" w:evenHBand="0" w:firstRowFirstColumn="0" w:firstRowLastColumn="0" w:lastRowFirstColumn="0" w:lastRowLastColumn="0"/>
        </w:trPr>
        <w:tc>
          <w:tcPr>
            <w:tcW w:w="1750" w:type="pct"/>
            <w:noWrap/>
            <w:vAlign w:val="center"/>
            <w:hideMark/>
          </w:tcPr>
          <w:p w14:paraId="77865787" w14:textId="2CD0F52B" w:rsidR="00A010BA" w:rsidRPr="007D3884" w:rsidRDefault="00A010BA" w:rsidP="00F829BA">
            <w:pPr>
              <w:spacing w:line="200" w:lineRule="atLeast"/>
              <w:rPr>
                <w:rFonts w:eastAsia="Times New Roman" w:cstheme="minorHAnsi"/>
                <w:color w:val="000000"/>
                <w:szCs w:val="16"/>
                <w:lang w:eastAsia="en-AU"/>
              </w:rPr>
            </w:pPr>
            <w:r w:rsidRPr="007D3884">
              <w:rPr>
                <w:rFonts w:eastAsia="Times New Roman" w:cstheme="minorHAnsi"/>
                <w:color w:val="000000"/>
                <w:szCs w:val="16"/>
                <w:lang w:eastAsia="en-AU"/>
              </w:rPr>
              <w:t>Melbourne - Outer East</w:t>
            </w:r>
          </w:p>
        </w:tc>
        <w:tc>
          <w:tcPr>
            <w:tcW w:w="375" w:type="pct"/>
            <w:noWrap/>
            <w:vAlign w:val="center"/>
          </w:tcPr>
          <w:p w14:paraId="77D8CCA7" w14:textId="77777777" w:rsidR="00A010BA" w:rsidRPr="007D3884" w:rsidRDefault="00A010BA" w:rsidP="00F829BA">
            <w:pPr>
              <w:spacing w:line="200" w:lineRule="atLeast"/>
              <w:jc w:val="center"/>
              <w:rPr>
                <w:rFonts w:cstheme="minorHAnsi"/>
                <w:szCs w:val="16"/>
              </w:rPr>
            </w:pPr>
            <w:r w:rsidRPr="007D3884">
              <w:rPr>
                <w:rFonts w:cstheme="minorHAnsi"/>
                <w:szCs w:val="16"/>
              </w:rPr>
              <w:t>5.2%</w:t>
            </w:r>
          </w:p>
        </w:tc>
        <w:tc>
          <w:tcPr>
            <w:tcW w:w="375" w:type="pct"/>
            <w:noWrap/>
            <w:vAlign w:val="center"/>
          </w:tcPr>
          <w:p w14:paraId="53301130" w14:textId="77777777" w:rsidR="00A010BA" w:rsidRPr="007D3884" w:rsidRDefault="00A010BA" w:rsidP="00F829BA">
            <w:pPr>
              <w:spacing w:line="200" w:lineRule="atLeast"/>
              <w:jc w:val="center"/>
              <w:rPr>
                <w:rFonts w:cstheme="minorHAnsi"/>
                <w:szCs w:val="16"/>
              </w:rPr>
            </w:pPr>
            <w:r w:rsidRPr="007D3884">
              <w:rPr>
                <w:rFonts w:cstheme="minorHAnsi"/>
                <w:szCs w:val="16"/>
              </w:rPr>
              <w:t>5.2%</w:t>
            </w:r>
          </w:p>
        </w:tc>
        <w:tc>
          <w:tcPr>
            <w:tcW w:w="375" w:type="pct"/>
            <w:vAlign w:val="center"/>
          </w:tcPr>
          <w:p w14:paraId="76103547" w14:textId="77777777" w:rsidR="00A010BA" w:rsidRPr="007D3884" w:rsidRDefault="00A010BA" w:rsidP="00F829BA">
            <w:pPr>
              <w:spacing w:line="200" w:lineRule="atLeast"/>
              <w:jc w:val="center"/>
              <w:rPr>
                <w:rFonts w:cstheme="minorHAnsi"/>
                <w:szCs w:val="16"/>
              </w:rPr>
            </w:pPr>
            <w:r w:rsidRPr="007D3884">
              <w:rPr>
                <w:rFonts w:cstheme="minorHAnsi"/>
                <w:szCs w:val="16"/>
              </w:rPr>
              <w:t>5.2%</w:t>
            </w:r>
          </w:p>
        </w:tc>
        <w:tc>
          <w:tcPr>
            <w:tcW w:w="375" w:type="pct"/>
            <w:vAlign w:val="center"/>
          </w:tcPr>
          <w:p w14:paraId="66D8D2A3" w14:textId="77777777" w:rsidR="00A010BA" w:rsidRPr="007D3884" w:rsidRDefault="00A010BA" w:rsidP="00F829BA">
            <w:pPr>
              <w:spacing w:line="200" w:lineRule="atLeast"/>
              <w:jc w:val="center"/>
              <w:rPr>
                <w:rFonts w:cstheme="minorHAnsi"/>
                <w:szCs w:val="16"/>
              </w:rPr>
            </w:pPr>
            <w:r w:rsidRPr="007D3884">
              <w:rPr>
                <w:rFonts w:cstheme="minorHAnsi"/>
                <w:szCs w:val="16"/>
              </w:rPr>
              <w:t>5.2%</w:t>
            </w:r>
          </w:p>
        </w:tc>
        <w:tc>
          <w:tcPr>
            <w:tcW w:w="750" w:type="pct"/>
            <w:noWrap/>
            <w:vAlign w:val="center"/>
          </w:tcPr>
          <w:p w14:paraId="27159C25" w14:textId="77777777" w:rsidR="00A010BA" w:rsidRPr="007D3884" w:rsidRDefault="00A010BA" w:rsidP="00F829BA">
            <w:pPr>
              <w:spacing w:line="200" w:lineRule="atLeast"/>
              <w:jc w:val="center"/>
              <w:rPr>
                <w:rFonts w:cstheme="minorHAnsi"/>
                <w:szCs w:val="16"/>
              </w:rPr>
            </w:pPr>
          </w:p>
        </w:tc>
        <w:tc>
          <w:tcPr>
            <w:tcW w:w="750" w:type="pct"/>
            <w:vAlign w:val="center"/>
          </w:tcPr>
          <w:p w14:paraId="0314049F" w14:textId="77777777" w:rsidR="00A010BA" w:rsidRPr="007D3884" w:rsidRDefault="00A010BA" w:rsidP="00F829BA">
            <w:pPr>
              <w:spacing w:line="200" w:lineRule="atLeast"/>
              <w:jc w:val="center"/>
              <w:rPr>
                <w:rFonts w:cstheme="minorHAnsi"/>
                <w:szCs w:val="16"/>
              </w:rPr>
            </w:pPr>
          </w:p>
        </w:tc>
      </w:tr>
      <w:tr w:rsidR="00A010BA" w:rsidRPr="00357512" w14:paraId="315461CC" w14:textId="77777777" w:rsidTr="00F829BA">
        <w:tc>
          <w:tcPr>
            <w:tcW w:w="1750" w:type="pct"/>
            <w:noWrap/>
            <w:vAlign w:val="center"/>
            <w:hideMark/>
          </w:tcPr>
          <w:p w14:paraId="11945EE3" w14:textId="675A3861" w:rsidR="00A010BA" w:rsidRPr="007D3884" w:rsidRDefault="00A010BA" w:rsidP="00F829BA">
            <w:pPr>
              <w:spacing w:line="200" w:lineRule="atLeast"/>
              <w:rPr>
                <w:rFonts w:cstheme="minorHAnsi"/>
                <w:color w:val="000000"/>
                <w:szCs w:val="16"/>
                <w:lang w:eastAsia="en-AU"/>
              </w:rPr>
            </w:pPr>
            <w:r w:rsidRPr="007D3884">
              <w:rPr>
                <w:rFonts w:cstheme="minorHAnsi"/>
                <w:color w:val="000000"/>
                <w:szCs w:val="16"/>
              </w:rPr>
              <w:t xml:space="preserve">Melbourne - </w:t>
            </w:r>
            <w:proofErr w:type="gramStart"/>
            <w:r w:rsidRPr="007D3884">
              <w:rPr>
                <w:rFonts w:cstheme="minorHAnsi"/>
                <w:color w:val="000000"/>
                <w:szCs w:val="16"/>
              </w:rPr>
              <w:t>South East</w:t>
            </w:r>
            <w:proofErr w:type="gramEnd"/>
          </w:p>
        </w:tc>
        <w:tc>
          <w:tcPr>
            <w:tcW w:w="375" w:type="pct"/>
            <w:noWrap/>
            <w:vAlign w:val="center"/>
          </w:tcPr>
          <w:p w14:paraId="0408F6BF" w14:textId="77777777" w:rsidR="00A010BA" w:rsidRPr="007D3884" w:rsidRDefault="00A010BA" w:rsidP="00F829BA">
            <w:pPr>
              <w:spacing w:line="200" w:lineRule="atLeast"/>
              <w:jc w:val="center"/>
              <w:rPr>
                <w:rFonts w:cstheme="minorHAnsi"/>
                <w:szCs w:val="16"/>
              </w:rPr>
            </w:pPr>
            <w:r w:rsidRPr="007D3884">
              <w:rPr>
                <w:rFonts w:cstheme="minorHAnsi"/>
                <w:szCs w:val="16"/>
              </w:rPr>
              <w:t>5.0%</w:t>
            </w:r>
          </w:p>
        </w:tc>
        <w:tc>
          <w:tcPr>
            <w:tcW w:w="375" w:type="pct"/>
            <w:noWrap/>
            <w:vAlign w:val="center"/>
          </w:tcPr>
          <w:p w14:paraId="66EEAD6A" w14:textId="77777777" w:rsidR="00A010BA" w:rsidRPr="007D3884" w:rsidRDefault="00A010BA" w:rsidP="00F829BA">
            <w:pPr>
              <w:spacing w:line="200" w:lineRule="atLeast"/>
              <w:jc w:val="center"/>
              <w:rPr>
                <w:rFonts w:cstheme="minorHAnsi"/>
                <w:szCs w:val="16"/>
              </w:rPr>
            </w:pPr>
            <w:r w:rsidRPr="007D3884">
              <w:rPr>
                <w:rFonts w:cstheme="minorHAnsi"/>
                <w:szCs w:val="16"/>
              </w:rPr>
              <w:t>5.0%</w:t>
            </w:r>
          </w:p>
        </w:tc>
        <w:tc>
          <w:tcPr>
            <w:tcW w:w="375" w:type="pct"/>
            <w:vAlign w:val="center"/>
          </w:tcPr>
          <w:p w14:paraId="6D7FA5E7" w14:textId="77777777" w:rsidR="00A010BA" w:rsidRPr="007D3884" w:rsidRDefault="00A010BA" w:rsidP="00F829BA">
            <w:pPr>
              <w:spacing w:line="200" w:lineRule="atLeast"/>
              <w:jc w:val="center"/>
              <w:rPr>
                <w:rFonts w:cstheme="minorHAnsi"/>
                <w:szCs w:val="16"/>
              </w:rPr>
            </w:pPr>
            <w:r w:rsidRPr="007D3884">
              <w:rPr>
                <w:rFonts w:cstheme="minorHAnsi"/>
                <w:szCs w:val="16"/>
              </w:rPr>
              <w:t>4.9%</w:t>
            </w:r>
          </w:p>
        </w:tc>
        <w:tc>
          <w:tcPr>
            <w:tcW w:w="375" w:type="pct"/>
            <w:vAlign w:val="center"/>
          </w:tcPr>
          <w:p w14:paraId="550C8C6C" w14:textId="77777777" w:rsidR="00A010BA" w:rsidRPr="007D3884" w:rsidRDefault="00A010BA" w:rsidP="00F829BA">
            <w:pPr>
              <w:spacing w:line="200" w:lineRule="atLeast"/>
              <w:jc w:val="center"/>
              <w:rPr>
                <w:rFonts w:cstheme="minorHAnsi"/>
                <w:szCs w:val="16"/>
              </w:rPr>
            </w:pPr>
            <w:r w:rsidRPr="007D3884">
              <w:rPr>
                <w:rFonts w:cstheme="minorHAnsi"/>
                <w:szCs w:val="16"/>
              </w:rPr>
              <w:t>5.0%</w:t>
            </w:r>
          </w:p>
        </w:tc>
        <w:tc>
          <w:tcPr>
            <w:tcW w:w="750" w:type="pct"/>
            <w:noWrap/>
            <w:vAlign w:val="center"/>
          </w:tcPr>
          <w:p w14:paraId="5D73EEAA" w14:textId="77777777" w:rsidR="00A010BA" w:rsidRPr="007D3884" w:rsidRDefault="00A010BA" w:rsidP="00F829BA">
            <w:pPr>
              <w:spacing w:line="200" w:lineRule="atLeast"/>
              <w:jc w:val="center"/>
              <w:rPr>
                <w:rFonts w:cstheme="minorHAnsi"/>
                <w:szCs w:val="16"/>
              </w:rPr>
            </w:pPr>
            <w:r w:rsidRPr="007D3884">
              <w:rPr>
                <w:rFonts w:cstheme="minorHAnsi"/>
                <w:szCs w:val="16"/>
              </w:rPr>
              <w:t>5.1%</w:t>
            </w:r>
          </w:p>
        </w:tc>
        <w:tc>
          <w:tcPr>
            <w:tcW w:w="750" w:type="pct"/>
            <w:vAlign w:val="center"/>
          </w:tcPr>
          <w:p w14:paraId="4397CB05" w14:textId="77777777" w:rsidR="00A010BA" w:rsidRPr="007D3884" w:rsidRDefault="00A010BA" w:rsidP="00F829BA">
            <w:pPr>
              <w:spacing w:line="200" w:lineRule="atLeast"/>
              <w:jc w:val="center"/>
              <w:rPr>
                <w:rFonts w:cstheme="minorHAnsi"/>
                <w:szCs w:val="16"/>
              </w:rPr>
            </w:pPr>
            <w:r>
              <w:rPr>
                <w:rFonts w:cstheme="minorHAnsi"/>
                <w:szCs w:val="16"/>
              </w:rPr>
              <w:t>5.1%</w:t>
            </w:r>
          </w:p>
        </w:tc>
      </w:tr>
    </w:tbl>
    <w:p w14:paraId="0D38A6EE" w14:textId="51BA6301" w:rsidR="00A010BA" w:rsidRPr="00685937" w:rsidRDefault="00A010BA" w:rsidP="00A010BA">
      <w:pPr>
        <w:pStyle w:val="Caption"/>
      </w:pPr>
      <w:bookmarkStart w:id="56" w:name="_Ref107398664"/>
      <w:r w:rsidRPr="00F64913">
        <w:t xml:space="preserve">Table </w:t>
      </w:r>
      <w:r w:rsidRPr="00F64913">
        <w:fldChar w:fldCharType="begin"/>
      </w:r>
      <w:r w:rsidRPr="00F64913">
        <w:rPr>
          <w:noProof/>
        </w:rPr>
        <w:instrText xml:space="preserve"> SEQ Table \* ARABIC </w:instrText>
      </w:r>
      <w:r w:rsidRPr="00F64913">
        <w:fldChar w:fldCharType="separate"/>
      </w:r>
      <w:r w:rsidR="00765987">
        <w:rPr>
          <w:noProof/>
        </w:rPr>
        <w:t>17</w:t>
      </w:r>
      <w:r w:rsidRPr="00F64913">
        <w:fldChar w:fldCharType="end"/>
      </w:r>
      <w:bookmarkEnd w:id="56"/>
      <w:r w:rsidRPr="00F64913">
        <w:t xml:space="preserve">: </w:t>
      </w:r>
      <w:r>
        <w:t>Increases in Prices due to Adjustments to Construction Costs</w:t>
      </w:r>
    </w:p>
    <w:tbl>
      <w:tblPr>
        <w:tblStyle w:val="GridTable4"/>
        <w:tblW w:w="5000" w:type="pct"/>
        <w:tblLook w:val="0420" w:firstRow="1" w:lastRow="0" w:firstColumn="0" w:lastColumn="0" w:noHBand="0" w:noVBand="1"/>
      </w:tblPr>
      <w:tblGrid>
        <w:gridCol w:w="1550"/>
        <w:gridCol w:w="1549"/>
        <w:gridCol w:w="1184"/>
        <w:gridCol w:w="1184"/>
        <w:gridCol w:w="1071"/>
        <w:gridCol w:w="1318"/>
        <w:gridCol w:w="1161"/>
      </w:tblGrid>
      <w:tr w:rsidR="00A010BA" w:rsidRPr="00A50293" w14:paraId="1C43C380" w14:textId="77777777" w:rsidTr="00F829BA">
        <w:trPr>
          <w:cnfStyle w:val="100000000000" w:firstRow="1" w:lastRow="0" w:firstColumn="0" w:lastColumn="0" w:oddVBand="0" w:evenVBand="0" w:oddHBand="0" w:evenHBand="0" w:firstRowFirstColumn="0" w:firstRowLastColumn="0" w:lastRowFirstColumn="0" w:lastRowLastColumn="0"/>
          <w:trHeight w:val="285"/>
          <w:tblHeader/>
        </w:trPr>
        <w:tc>
          <w:tcPr>
            <w:tcW w:w="1820" w:type="dxa"/>
            <w:noWrap/>
            <w:vAlign w:val="center"/>
            <w:hideMark/>
          </w:tcPr>
          <w:p w14:paraId="5168A771" w14:textId="77777777" w:rsidR="00A010BA" w:rsidRPr="007D3884" w:rsidRDefault="00A010BA" w:rsidP="00F829BA">
            <w:pPr>
              <w:rPr>
                <w:rFonts w:ascii="Times New Roman" w:eastAsia="Times New Roman" w:hAnsi="Times New Roman" w:cs="Times New Roman"/>
                <w:lang w:eastAsia="en-AU"/>
              </w:rPr>
            </w:pPr>
          </w:p>
        </w:tc>
        <w:tc>
          <w:tcPr>
            <w:tcW w:w="1820" w:type="dxa"/>
            <w:noWrap/>
            <w:hideMark/>
          </w:tcPr>
          <w:p w14:paraId="36EC6F9F" w14:textId="77777777" w:rsidR="00A010BA" w:rsidRPr="00A50293" w:rsidRDefault="00A010BA" w:rsidP="00F829BA">
            <w:pPr>
              <w:rPr>
                <w:rFonts w:eastAsia="Times New Roman" w:cstheme="minorHAnsi"/>
                <w:szCs w:val="16"/>
                <w:lang w:eastAsia="en-AU"/>
              </w:rPr>
            </w:pPr>
          </w:p>
        </w:tc>
        <w:tc>
          <w:tcPr>
            <w:tcW w:w="2760" w:type="dxa"/>
            <w:gridSpan w:val="2"/>
            <w:noWrap/>
            <w:vAlign w:val="center"/>
            <w:hideMark/>
          </w:tcPr>
          <w:p w14:paraId="2782EAE0" w14:textId="6F7B4EFE" w:rsidR="00A010BA" w:rsidRPr="00A50293" w:rsidRDefault="00A010BA" w:rsidP="00F829BA">
            <w:pPr>
              <w:jc w:val="center"/>
              <w:rPr>
                <w:rFonts w:eastAsia="Times New Roman" w:cstheme="minorHAnsi"/>
                <w:b w:val="0"/>
                <w:bCs w:val="0"/>
                <w:szCs w:val="16"/>
                <w:lang w:eastAsia="en-AU"/>
              </w:rPr>
            </w:pPr>
            <w:r w:rsidRPr="00A50293">
              <w:rPr>
                <w:rFonts w:eastAsia="Times New Roman" w:cstheme="minorHAnsi"/>
                <w:szCs w:val="16"/>
                <w:lang w:eastAsia="en-AU"/>
              </w:rPr>
              <w:t xml:space="preserve">Fully </w:t>
            </w:r>
            <w:r w:rsidR="005F132E">
              <w:rPr>
                <w:rFonts w:eastAsia="Times New Roman" w:cstheme="minorHAnsi"/>
                <w:szCs w:val="16"/>
                <w:lang w:eastAsia="en-AU"/>
              </w:rPr>
              <w:t>A</w:t>
            </w:r>
            <w:r w:rsidRPr="00A50293">
              <w:rPr>
                <w:rFonts w:eastAsia="Times New Roman" w:cstheme="minorHAnsi"/>
                <w:szCs w:val="16"/>
                <w:lang w:eastAsia="en-AU"/>
              </w:rPr>
              <w:t>ccessible</w:t>
            </w:r>
          </w:p>
        </w:tc>
        <w:tc>
          <w:tcPr>
            <w:tcW w:w="4140" w:type="dxa"/>
            <w:gridSpan w:val="3"/>
            <w:noWrap/>
            <w:vAlign w:val="center"/>
            <w:hideMark/>
          </w:tcPr>
          <w:p w14:paraId="64794B1F" w14:textId="77777777" w:rsidR="00A010BA" w:rsidRPr="00A50293" w:rsidRDefault="00A010BA" w:rsidP="00F829BA">
            <w:pPr>
              <w:jc w:val="center"/>
              <w:rPr>
                <w:rFonts w:eastAsia="Times New Roman" w:cstheme="minorHAnsi"/>
                <w:b w:val="0"/>
                <w:bCs w:val="0"/>
                <w:szCs w:val="16"/>
                <w:lang w:eastAsia="en-AU"/>
              </w:rPr>
            </w:pPr>
            <w:r w:rsidRPr="00A50293">
              <w:rPr>
                <w:rFonts w:eastAsia="Times New Roman" w:cstheme="minorHAnsi"/>
                <w:szCs w:val="16"/>
                <w:lang w:eastAsia="en-AU"/>
              </w:rPr>
              <w:t>Robust</w:t>
            </w:r>
          </w:p>
        </w:tc>
      </w:tr>
      <w:tr w:rsidR="00A010BA" w:rsidRPr="00A50293" w14:paraId="3C9C2720" w14:textId="77777777" w:rsidTr="00F829BA">
        <w:trPr>
          <w:cnfStyle w:val="100000000000" w:firstRow="1" w:lastRow="0" w:firstColumn="0" w:lastColumn="0" w:oddVBand="0" w:evenVBand="0" w:oddHBand="0" w:evenHBand="0" w:firstRowFirstColumn="0" w:firstRowLastColumn="0" w:lastRowFirstColumn="0" w:lastRowLastColumn="0"/>
          <w:trHeight w:val="293"/>
          <w:tblHeader/>
        </w:trPr>
        <w:tc>
          <w:tcPr>
            <w:tcW w:w="1820" w:type="dxa"/>
            <w:noWrap/>
            <w:vAlign w:val="center"/>
            <w:hideMark/>
          </w:tcPr>
          <w:p w14:paraId="6EAFB3CE" w14:textId="77777777" w:rsidR="00A010BA" w:rsidRPr="007D3884" w:rsidRDefault="00A010BA" w:rsidP="00F829BA">
            <w:pPr>
              <w:rPr>
                <w:rFonts w:ascii="Calibri" w:eastAsia="Times New Roman" w:hAnsi="Calibri" w:cs="Times New Roman"/>
                <w:b w:val="0"/>
                <w:bCs w:val="0"/>
                <w:lang w:eastAsia="en-AU"/>
              </w:rPr>
            </w:pPr>
          </w:p>
        </w:tc>
        <w:tc>
          <w:tcPr>
            <w:tcW w:w="1820" w:type="dxa"/>
            <w:noWrap/>
            <w:hideMark/>
          </w:tcPr>
          <w:p w14:paraId="6591C96A" w14:textId="77777777" w:rsidR="00A010BA" w:rsidRPr="00A50293" w:rsidRDefault="00A010BA" w:rsidP="00F829BA">
            <w:pPr>
              <w:rPr>
                <w:rFonts w:eastAsia="Times New Roman" w:cstheme="minorHAnsi"/>
                <w:szCs w:val="16"/>
                <w:lang w:eastAsia="en-AU"/>
              </w:rPr>
            </w:pPr>
          </w:p>
        </w:tc>
        <w:tc>
          <w:tcPr>
            <w:tcW w:w="1380" w:type="dxa"/>
            <w:noWrap/>
            <w:vAlign w:val="center"/>
            <w:hideMark/>
          </w:tcPr>
          <w:p w14:paraId="24E8D0C9" w14:textId="77777777" w:rsidR="00A010BA" w:rsidRPr="00A50293" w:rsidRDefault="00A010BA" w:rsidP="00F829BA">
            <w:pPr>
              <w:jc w:val="center"/>
              <w:rPr>
                <w:rFonts w:eastAsia="Times New Roman" w:cstheme="minorHAnsi"/>
                <w:b w:val="0"/>
                <w:bCs w:val="0"/>
                <w:szCs w:val="16"/>
                <w:lang w:eastAsia="en-AU"/>
              </w:rPr>
            </w:pPr>
            <w:r w:rsidRPr="00A50293">
              <w:rPr>
                <w:rFonts w:eastAsia="Times New Roman" w:cstheme="minorHAnsi"/>
                <w:szCs w:val="16"/>
                <w:lang w:eastAsia="en-AU"/>
              </w:rPr>
              <w:t>No OOA</w:t>
            </w:r>
          </w:p>
        </w:tc>
        <w:tc>
          <w:tcPr>
            <w:tcW w:w="1380" w:type="dxa"/>
            <w:noWrap/>
            <w:vAlign w:val="center"/>
            <w:hideMark/>
          </w:tcPr>
          <w:p w14:paraId="129E6A5E" w14:textId="77777777" w:rsidR="00A010BA" w:rsidRPr="00A50293" w:rsidRDefault="00A010BA" w:rsidP="00F829BA">
            <w:pPr>
              <w:jc w:val="center"/>
              <w:rPr>
                <w:rFonts w:eastAsia="Times New Roman" w:cstheme="minorHAnsi"/>
                <w:b w:val="0"/>
                <w:bCs w:val="0"/>
                <w:szCs w:val="16"/>
                <w:lang w:eastAsia="en-AU"/>
              </w:rPr>
            </w:pPr>
            <w:r w:rsidRPr="00A50293">
              <w:rPr>
                <w:rFonts w:eastAsia="Times New Roman" w:cstheme="minorHAnsi"/>
                <w:szCs w:val="16"/>
                <w:lang w:eastAsia="en-AU"/>
              </w:rPr>
              <w:t>With OOA</w:t>
            </w:r>
          </w:p>
        </w:tc>
        <w:tc>
          <w:tcPr>
            <w:tcW w:w="1245" w:type="dxa"/>
            <w:noWrap/>
            <w:vAlign w:val="center"/>
            <w:hideMark/>
          </w:tcPr>
          <w:p w14:paraId="6263463A" w14:textId="77777777" w:rsidR="00A010BA" w:rsidRPr="00A50293" w:rsidRDefault="00A010BA" w:rsidP="00F829BA">
            <w:pPr>
              <w:jc w:val="center"/>
              <w:rPr>
                <w:rFonts w:eastAsia="Times New Roman" w:cstheme="minorHAnsi"/>
                <w:b w:val="0"/>
                <w:bCs w:val="0"/>
                <w:szCs w:val="16"/>
                <w:lang w:eastAsia="en-AU"/>
              </w:rPr>
            </w:pPr>
            <w:r w:rsidRPr="00A50293">
              <w:rPr>
                <w:rFonts w:eastAsia="Times New Roman" w:cstheme="minorHAnsi"/>
                <w:szCs w:val="16"/>
                <w:lang w:eastAsia="en-AU"/>
              </w:rPr>
              <w:t>No OOA</w:t>
            </w:r>
          </w:p>
        </w:tc>
        <w:tc>
          <w:tcPr>
            <w:tcW w:w="1542" w:type="dxa"/>
            <w:noWrap/>
            <w:vAlign w:val="center"/>
            <w:hideMark/>
          </w:tcPr>
          <w:p w14:paraId="158A141C" w14:textId="77777777" w:rsidR="00A010BA" w:rsidRPr="00A50293" w:rsidRDefault="00A010BA" w:rsidP="00F829BA">
            <w:pPr>
              <w:jc w:val="center"/>
              <w:rPr>
                <w:rFonts w:eastAsia="Times New Roman" w:cstheme="minorHAnsi"/>
                <w:b w:val="0"/>
                <w:bCs w:val="0"/>
                <w:szCs w:val="16"/>
                <w:lang w:eastAsia="en-AU"/>
              </w:rPr>
            </w:pPr>
            <w:r w:rsidRPr="00A50293">
              <w:rPr>
                <w:rFonts w:eastAsia="Times New Roman" w:cstheme="minorHAnsi"/>
                <w:szCs w:val="16"/>
                <w:lang w:eastAsia="en-AU"/>
              </w:rPr>
              <w:t>With OOA</w:t>
            </w:r>
          </w:p>
        </w:tc>
        <w:tc>
          <w:tcPr>
            <w:tcW w:w="1353" w:type="dxa"/>
            <w:noWrap/>
            <w:vAlign w:val="center"/>
            <w:hideMark/>
          </w:tcPr>
          <w:p w14:paraId="6D32455E" w14:textId="77777777" w:rsidR="00A010BA" w:rsidRPr="00A50293" w:rsidRDefault="00A010BA" w:rsidP="00F829BA">
            <w:pPr>
              <w:jc w:val="center"/>
              <w:rPr>
                <w:rFonts w:eastAsia="Times New Roman" w:cstheme="minorHAnsi"/>
                <w:b w:val="0"/>
                <w:bCs w:val="0"/>
                <w:szCs w:val="16"/>
                <w:lang w:eastAsia="en-AU"/>
              </w:rPr>
            </w:pPr>
            <w:r w:rsidRPr="00A50293">
              <w:rPr>
                <w:rFonts w:eastAsia="Times New Roman" w:cstheme="minorHAnsi"/>
                <w:szCs w:val="16"/>
                <w:lang w:eastAsia="en-AU"/>
              </w:rPr>
              <w:t>+1 Room</w:t>
            </w:r>
          </w:p>
        </w:tc>
      </w:tr>
      <w:tr w:rsidR="00A010BA" w:rsidRPr="00A50293" w14:paraId="38B52705" w14:textId="77777777" w:rsidTr="00F829BA">
        <w:trPr>
          <w:cnfStyle w:val="000000100000" w:firstRow="0" w:lastRow="0" w:firstColumn="0" w:lastColumn="0" w:oddVBand="0" w:evenVBand="0" w:oddHBand="1" w:evenHBand="0" w:firstRowFirstColumn="0" w:firstRowLastColumn="0" w:lastRowFirstColumn="0" w:lastRowLastColumn="0"/>
          <w:trHeight w:val="229"/>
        </w:trPr>
        <w:tc>
          <w:tcPr>
            <w:tcW w:w="3640" w:type="dxa"/>
            <w:gridSpan w:val="2"/>
            <w:noWrap/>
            <w:vAlign w:val="center"/>
            <w:hideMark/>
          </w:tcPr>
          <w:p w14:paraId="4D95D9C1" w14:textId="77777777" w:rsidR="00A010BA" w:rsidRPr="00A50293" w:rsidRDefault="00A010BA" w:rsidP="00F829BA">
            <w:pPr>
              <w:rPr>
                <w:rFonts w:eastAsia="Times New Roman" w:cstheme="minorHAnsi"/>
                <w:color w:val="000000"/>
                <w:szCs w:val="16"/>
                <w:lang w:eastAsia="en-AU"/>
              </w:rPr>
            </w:pPr>
            <w:r w:rsidRPr="00A50293">
              <w:rPr>
                <w:rFonts w:eastAsia="Times New Roman" w:cstheme="minorHAnsi"/>
                <w:color w:val="000000"/>
                <w:szCs w:val="16"/>
                <w:lang w:eastAsia="en-AU"/>
              </w:rPr>
              <w:t xml:space="preserve"> Apartment, 1 bedroom, 1 resident </w:t>
            </w:r>
          </w:p>
        </w:tc>
        <w:tc>
          <w:tcPr>
            <w:tcW w:w="1380" w:type="dxa"/>
            <w:noWrap/>
            <w:vAlign w:val="center"/>
            <w:hideMark/>
          </w:tcPr>
          <w:p w14:paraId="08CFA6DF"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13.9%</w:t>
            </w:r>
          </w:p>
        </w:tc>
        <w:tc>
          <w:tcPr>
            <w:tcW w:w="1380" w:type="dxa"/>
            <w:noWrap/>
            <w:vAlign w:val="center"/>
            <w:hideMark/>
          </w:tcPr>
          <w:p w14:paraId="21415FC0"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13.9%</w:t>
            </w:r>
          </w:p>
        </w:tc>
        <w:tc>
          <w:tcPr>
            <w:tcW w:w="1245" w:type="dxa"/>
            <w:noWrap/>
            <w:vAlign w:val="center"/>
            <w:hideMark/>
          </w:tcPr>
          <w:p w14:paraId="64031F11" w14:textId="77777777" w:rsidR="00A010BA" w:rsidRPr="00A50293" w:rsidRDefault="00A010BA" w:rsidP="00F829BA">
            <w:pPr>
              <w:jc w:val="center"/>
              <w:rPr>
                <w:rFonts w:eastAsia="Times New Roman" w:cstheme="minorHAnsi"/>
                <w:color w:val="000000"/>
                <w:szCs w:val="16"/>
                <w:lang w:eastAsia="en-AU"/>
              </w:rPr>
            </w:pPr>
          </w:p>
        </w:tc>
        <w:tc>
          <w:tcPr>
            <w:tcW w:w="1542" w:type="dxa"/>
            <w:noWrap/>
            <w:vAlign w:val="center"/>
            <w:hideMark/>
          </w:tcPr>
          <w:p w14:paraId="66CBB29B" w14:textId="77777777" w:rsidR="00A010BA" w:rsidRPr="00A50293" w:rsidRDefault="00A010BA" w:rsidP="00F829BA">
            <w:pPr>
              <w:jc w:val="center"/>
              <w:rPr>
                <w:rFonts w:eastAsia="Times New Roman" w:cstheme="minorHAnsi"/>
                <w:color w:val="000000"/>
                <w:szCs w:val="16"/>
                <w:lang w:eastAsia="en-AU"/>
              </w:rPr>
            </w:pPr>
          </w:p>
        </w:tc>
        <w:tc>
          <w:tcPr>
            <w:tcW w:w="1353" w:type="dxa"/>
            <w:noWrap/>
            <w:vAlign w:val="center"/>
            <w:hideMark/>
          </w:tcPr>
          <w:p w14:paraId="2F8FBF93" w14:textId="77777777" w:rsidR="00A010BA" w:rsidRPr="00A50293" w:rsidRDefault="00A010BA" w:rsidP="00F829BA">
            <w:pPr>
              <w:jc w:val="center"/>
              <w:rPr>
                <w:rFonts w:eastAsia="Times New Roman" w:cstheme="minorHAnsi"/>
                <w:color w:val="000000"/>
                <w:szCs w:val="16"/>
                <w:lang w:eastAsia="en-AU"/>
              </w:rPr>
            </w:pPr>
          </w:p>
        </w:tc>
      </w:tr>
      <w:tr w:rsidR="00A010BA" w:rsidRPr="00A50293" w14:paraId="23FC787C" w14:textId="77777777" w:rsidTr="00F829BA">
        <w:trPr>
          <w:trHeight w:val="139"/>
        </w:trPr>
        <w:tc>
          <w:tcPr>
            <w:tcW w:w="3640" w:type="dxa"/>
            <w:gridSpan w:val="2"/>
            <w:noWrap/>
            <w:vAlign w:val="center"/>
            <w:hideMark/>
          </w:tcPr>
          <w:p w14:paraId="18A6C2A3" w14:textId="77777777" w:rsidR="00A010BA" w:rsidRPr="00A50293" w:rsidRDefault="00A010BA" w:rsidP="00F829BA">
            <w:pPr>
              <w:rPr>
                <w:rFonts w:eastAsia="Times New Roman" w:cstheme="minorHAnsi"/>
                <w:color w:val="000000"/>
                <w:szCs w:val="16"/>
                <w:lang w:eastAsia="en-AU"/>
              </w:rPr>
            </w:pPr>
            <w:r w:rsidRPr="00A50293">
              <w:rPr>
                <w:rFonts w:eastAsia="Times New Roman" w:cstheme="minorHAnsi"/>
                <w:color w:val="000000"/>
                <w:szCs w:val="16"/>
                <w:lang w:eastAsia="en-AU"/>
              </w:rPr>
              <w:t xml:space="preserve"> Apartment, 2 bedrooms, 1 resident </w:t>
            </w:r>
          </w:p>
        </w:tc>
        <w:tc>
          <w:tcPr>
            <w:tcW w:w="1380" w:type="dxa"/>
            <w:noWrap/>
            <w:vAlign w:val="center"/>
            <w:hideMark/>
          </w:tcPr>
          <w:p w14:paraId="50859632"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14.3%</w:t>
            </w:r>
          </w:p>
        </w:tc>
        <w:tc>
          <w:tcPr>
            <w:tcW w:w="1380" w:type="dxa"/>
            <w:noWrap/>
            <w:vAlign w:val="center"/>
            <w:hideMark/>
          </w:tcPr>
          <w:p w14:paraId="2FDFD1BC"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14.3%</w:t>
            </w:r>
          </w:p>
        </w:tc>
        <w:tc>
          <w:tcPr>
            <w:tcW w:w="1245" w:type="dxa"/>
            <w:noWrap/>
            <w:vAlign w:val="center"/>
            <w:hideMark/>
          </w:tcPr>
          <w:p w14:paraId="387DDD68" w14:textId="77777777" w:rsidR="00A010BA" w:rsidRPr="00A50293" w:rsidRDefault="00A010BA" w:rsidP="00F829BA">
            <w:pPr>
              <w:jc w:val="center"/>
              <w:rPr>
                <w:rFonts w:eastAsia="Times New Roman" w:cstheme="minorHAnsi"/>
                <w:color w:val="000000"/>
                <w:szCs w:val="16"/>
                <w:lang w:eastAsia="en-AU"/>
              </w:rPr>
            </w:pPr>
          </w:p>
        </w:tc>
        <w:tc>
          <w:tcPr>
            <w:tcW w:w="1542" w:type="dxa"/>
            <w:noWrap/>
            <w:vAlign w:val="center"/>
            <w:hideMark/>
          </w:tcPr>
          <w:p w14:paraId="4FA3BCE4" w14:textId="77777777" w:rsidR="00A010BA" w:rsidRPr="00A50293" w:rsidRDefault="00A010BA" w:rsidP="00F829BA">
            <w:pPr>
              <w:jc w:val="center"/>
              <w:rPr>
                <w:rFonts w:eastAsia="Times New Roman" w:cstheme="minorHAnsi"/>
                <w:color w:val="000000"/>
                <w:szCs w:val="16"/>
                <w:lang w:eastAsia="en-AU"/>
              </w:rPr>
            </w:pPr>
          </w:p>
        </w:tc>
        <w:tc>
          <w:tcPr>
            <w:tcW w:w="1353" w:type="dxa"/>
            <w:noWrap/>
            <w:vAlign w:val="center"/>
            <w:hideMark/>
          </w:tcPr>
          <w:p w14:paraId="57925610" w14:textId="77777777" w:rsidR="00A010BA" w:rsidRPr="00A50293" w:rsidRDefault="00A010BA" w:rsidP="00F829BA">
            <w:pPr>
              <w:jc w:val="center"/>
              <w:rPr>
                <w:rFonts w:eastAsia="Times New Roman" w:cstheme="minorHAnsi"/>
                <w:color w:val="000000"/>
                <w:szCs w:val="16"/>
                <w:lang w:eastAsia="en-AU"/>
              </w:rPr>
            </w:pPr>
          </w:p>
        </w:tc>
      </w:tr>
      <w:tr w:rsidR="00A010BA" w:rsidRPr="00A50293" w14:paraId="0FB64949" w14:textId="77777777" w:rsidTr="00F829BA">
        <w:trPr>
          <w:cnfStyle w:val="000000100000" w:firstRow="0" w:lastRow="0" w:firstColumn="0" w:lastColumn="0" w:oddVBand="0" w:evenVBand="0" w:oddHBand="1" w:evenHBand="0" w:firstRowFirstColumn="0" w:firstRowLastColumn="0" w:lastRowFirstColumn="0" w:lastRowLastColumn="0"/>
          <w:trHeight w:val="71"/>
        </w:trPr>
        <w:tc>
          <w:tcPr>
            <w:tcW w:w="3640" w:type="dxa"/>
            <w:gridSpan w:val="2"/>
            <w:noWrap/>
            <w:vAlign w:val="center"/>
            <w:hideMark/>
          </w:tcPr>
          <w:p w14:paraId="27A6EA44" w14:textId="77777777" w:rsidR="00A010BA" w:rsidRPr="00A50293" w:rsidRDefault="00A010BA" w:rsidP="00F829BA">
            <w:pPr>
              <w:rPr>
                <w:rFonts w:eastAsia="Times New Roman" w:cstheme="minorHAnsi"/>
                <w:color w:val="000000"/>
                <w:szCs w:val="16"/>
                <w:lang w:eastAsia="en-AU"/>
              </w:rPr>
            </w:pPr>
            <w:r w:rsidRPr="00A50293">
              <w:rPr>
                <w:rFonts w:eastAsia="Times New Roman" w:cstheme="minorHAnsi"/>
                <w:color w:val="000000"/>
                <w:szCs w:val="16"/>
                <w:lang w:eastAsia="en-AU"/>
              </w:rPr>
              <w:t xml:space="preserve"> Apartment, 3 bedrooms, 2 residents </w:t>
            </w:r>
          </w:p>
        </w:tc>
        <w:tc>
          <w:tcPr>
            <w:tcW w:w="1380" w:type="dxa"/>
            <w:noWrap/>
            <w:vAlign w:val="center"/>
            <w:hideMark/>
          </w:tcPr>
          <w:p w14:paraId="4975F58A"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16.4%</w:t>
            </w:r>
          </w:p>
        </w:tc>
        <w:tc>
          <w:tcPr>
            <w:tcW w:w="1380" w:type="dxa"/>
            <w:noWrap/>
            <w:vAlign w:val="center"/>
            <w:hideMark/>
          </w:tcPr>
          <w:p w14:paraId="4D5989DF"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16.4%</w:t>
            </w:r>
          </w:p>
        </w:tc>
        <w:tc>
          <w:tcPr>
            <w:tcW w:w="1245" w:type="dxa"/>
            <w:noWrap/>
            <w:vAlign w:val="center"/>
            <w:hideMark/>
          </w:tcPr>
          <w:p w14:paraId="7F0B0893" w14:textId="77777777" w:rsidR="00A010BA" w:rsidRPr="00A50293" w:rsidRDefault="00A010BA" w:rsidP="00F829BA">
            <w:pPr>
              <w:jc w:val="center"/>
              <w:rPr>
                <w:rFonts w:eastAsia="Times New Roman" w:cstheme="minorHAnsi"/>
                <w:color w:val="000000"/>
                <w:szCs w:val="16"/>
                <w:lang w:eastAsia="en-AU"/>
              </w:rPr>
            </w:pPr>
          </w:p>
        </w:tc>
        <w:tc>
          <w:tcPr>
            <w:tcW w:w="1542" w:type="dxa"/>
            <w:noWrap/>
            <w:vAlign w:val="center"/>
            <w:hideMark/>
          </w:tcPr>
          <w:p w14:paraId="6554E410" w14:textId="77777777" w:rsidR="00A010BA" w:rsidRPr="00A50293" w:rsidRDefault="00A010BA" w:rsidP="00F829BA">
            <w:pPr>
              <w:jc w:val="center"/>
              <w:rPr>
                <w:rFonts w:eastAsia="Times New Roman" w:cstheme="minorHAnsi"/>
                <w:color w:val="000000"/>
                <w:szCs w:val="16"/>
                <w:lang w:eastAsia="en-AU"/>
              </w:rPr>
            </w:pPr>
          </w:p>
        </w:tc>
        <w:tc>
          <w:tcPr>
            <w:tcW w:w="1353" w:type="dxa"/>
            <w:noWrap/>
            <w:vAlign w:val="center"/>
            <w:hideMark/>
          </w:tcPr>
          <w:p w14:paraId="04BE32FA" w14:textId="77777777" w:rsidR="00A010BA" w:rsidRPr="00A50293" w:rsidRDefault="00A010BA" w:rsidP="00F829BA">
            <w:pPr>
              <w:jc w:val="center"/>
              <w:rPr>
                <w:rFonts w:eastAsia="Times New Roman" w:cstheme="minorHAnsi"/>
                <w:color w:val="000000"/>
                <w:szCs w:val="16"/>
                <w:lang w:eastAsia="en-AU"/>
              </w:rPr>
            </w:pPr>
          </w:p>
        </w:tc>
      </w:tr>
      <w:tr w:rsidR="00A010BA" w:rsidRPr="00A50293" w14:paraId="1FE83FF2" w14:textId="77777777" w:rsidTr="00F829BA">
        <w:trPr>
          <w:trHeight w:val="146"/>
        </w:trPr>
        <w:tc>
          <w:tcPr>
            <w:tcW w:w="3640" w:type="dxa"/>
            <w:gridSpan w:val="2"/>
            <w:noWrap/>
            <w:vAlign w:val="center"/>
            <w:hideMark/>
          </w:tcPr>
          <w:p w14:paraId="5F262C4A" w14:textId="77777777" w:rsidR="00A010BA" w:rsidRPr="00A50293" w:rsidRDefault="00A010BA" w:rsidP="00F829BA">
            <w:pPr>
              <w:rPr>
                <w:rFonts w:eastAsia="Times New Roman" w:cstheme="minorHAnsi"/>
                <w:color w:val="000000"/>
                <w:szCs w:val="16"/>
                <w:lang w:eastAsia="en-AU"/>
              </w:rPr>
            </w:pPr>
            <w:r w:rsidRPr="00A50293">
              <w:rPr>
                <w:rFonts w:eastAsia="Times New Roman" w:cstheme="minorHAnsi"/>
                <w:color w:val="000000"/>
                <w:szCs w:val="16"/>
                <w:lang w:eastAsia="en-AU"/>
              </w:rPr>
              <w:t xml:space="preserve"> Villa, 1 bedroom, 1 resident </w:t>
            </w:r>
          </w:p>
        </w:tc>
        <w:tc>
          <w:tcPr>
            <w:tcW w:w="1380" w:type="dxa"/>
            <w:noWrap/>
            <w:vAlign w:val="center"/>
            <w:hideMark/>
          </w:tcPr>
          <w:p w14:paraId="567E0A9E"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12.8%</w:t>
            </w:r>
          </w:p>
        </w:tc>
        <w:tc>
          <w:tcPr>
            <w:tcW w:w="1380" w:type="dxa"/>
            <w:noWrap/>
            <w:vAlign w:val="center"/>
            <w:hideMark/>
          </w:tcPr>
          <w:p w14:paraId="3C6A3347"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13.1%</w:t>
            </w:r>
          </w:p>
        </w:tc>
        <w:tc>
          <w:tcPr>
            <w:tcW w:w="1245" w:type="dxa"/>
            <w:noWrap/>
            <w:vAlign w:val="center"/>
            <w:hideMark/>
          </w:tcPr>
          <w:p w14:paraId="513E0980"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11.4%</w:t>
            </w:r>
          </w:p>
        </w:tc>
        <w:tc>
          <w:tcPr>
            <w:tcW w:w="1542" w:type="dxa"/>
            <w:noWrap/>
            <w:vAlign w:val="center"/>
            <w:hideMark/>
          </w:tcPr>
          <w:p w14:paraId="53FF641E"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11.6%</w:t>
            </w:r>
          </w:p>
        </w:tc>
        <w:tc>
          <w:tcPr>
            <w:tcW w:w="1353" w:type="dxa"/>
            <w:noWrap/>
            <w:vAlign w:val="center"/>
            <w:hideMark/>
          </w:tcPr>
          <w:p w14:paraId="07B0ACF7" w14:textId="77777777" w:rsidR="00A010BA" w:rsidRPr="00A50293" w:rsidRDefault="00A010BA" w:rsidP="00F829BA">
            <w:pPr>
              <w:jc w:val="center"/>
              <w:rPr>
                <w:rFonts w:eastAsia="Times New Roman" w:cstheme="minorHAnsi"/>
                <w:color w:val="000000"/>
                <w:szCs w:val="16"/>
                <w:lang w:eastAsia="en-AU"/>
              </w:rPr>
            </w:pPr>
          </w:p>
        </w:tc>
      </w:tr>
      <w:tr w:rsidR="00A010BA" w:rsidRPr="00A50293" w14:paraId="0FB290AF" w14:textId="77777777" w:rsidTr="00F829BA">
        <w:trPr>
          <w:cnfStyle w:val="000000100000" w:firstRow="0" w:lastRow="0" w:firstColumn="0" w:lastColumn="0" w:oddVBand="0" w:evenVBand="0" w:oddHBand="1" w:evenHBand="0" w:firstRowFirstColumn="0" w:firstRowLastColumn="0" w:lastRowFirstColumn="0" w:lastRowLastColumn="0"/>
          <w:trHeight w:val="91"/>
        </w:trPr>
        <w:tc>
          <w:tcPr>
            <w:tcW w:w="3640" w:type="dxa"/>
            <w:gridSpan w:val="2"/>
            <w:noWrap/>
            <w:vAlign w:val="center"/>
            <w:hideMark/>
          </w:tcPr>
          <w:p w14:paraId="2BE9F3F1" w14:textId="77777777" w:rsidR="00A010BA" w:rsidRPr="00A50293" w:rsidRDefault="00A010BA" w:rsidP="00F829BA">
            <w:pPr>
              <w:rPr>
                <w:rFonts w:eastAsia="Times New Roman" w:cstheme="minorHAnsi"/>
                <w:color w:val="000000"/>
                <w:szCs w:val="16"/>
                <w:lang w:eastAsia="en-AU"/>
              </w:rPr>
            </w:pPr>
            <w:r w:rsidRPr="00A50293">
              <w:rPr>
                <w:rFonts w:eastAsia="Times New Roman" w:cstheme="minorHAnsi"/>
                <w:color w:val="000000"/>
                <w:szCs w:val="16"/>
                <w:lang w:eastAsia="en-AU"/>
              </w:rPr>
              <w:t xml:space="preserve"> Duplex/townhouse, 2 residents </w:t>
            </w:r>
          </w:p>
        </w:tc>
        <w:tc>
          <w:tcPr>
            <w:tcW w:w="1380" w:type="dxa"/>
            <w:noWrap/>
            <w:vAlign w:val="center"/>
            <w:hideMark/>
          </w:tcPr>
          <w:p w14:paraId="494033E6"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12.8%</w:t>
            </w:r>
          </w:p>
        </w:tc>
        <w:tc>
          <w:tcPr>
            <w:tcW w:w="1380" w:type="dxa"/>
            <w:noWrap/>
            <w:vAlign w:val="center"/>
            <w:hideMark/>
          </w:tcPr>
          <w:p w14:paraId="3F13E61B"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13.0%</w:t>
            </w:r>
          </w:p>
        </w:tc>
        <w:tc>
          <w:tcPr>
            <w:tcW w:w="1245" w:type="dxa"/>
            <w:noWrap/>
            <w:vAlign w:val="center"/>
            <w:hideMark/>
          </w:tcPr>
          <w:p w14:paraId="796F74B2"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11.4%</w:t>
            </w:r>
          </w:p>
        </w:tc>
        <w:tc>
          <w:tcPr>
            <w:tcW w:w="1542" w:type="dxa"/>
            <w:noWrap/>
            <w:vAlign w:val="center"/>
            <w:hideMark/>
          </w:tcPr>
          <w:p w14:paraId="43DCB72B"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11.6%</w:t>
            </w:r>
          </w:p>
        </w:tc>
        <w:tc>
          <w:tcPr>
            <w:tcW w:w="1353" w:type="dxa"/>
            <w:noWrap/>
            <w:vAlign w:val="center"/>
            <w:hideMark/>
          </w:tcPr>
          <w:p w14:paraId="056BB2AF"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14.0%</w:t>
            </w:r>
          </w:p>
        </w:tc>
      </w:tr>
      <w:tr w:rsidR="00A010BA" w:rsidRPr="00A50293" w14:paraId="6F7F2A02" w14:textId="77777777" w:rsidTr="00F829BA">
        <w:trPr>
          <w:trHeight w:val="137"/>
        </w:trPr>
        <w:tc>
          <w:tcPr>
            <w:tcW w:w="3640" w:type="dxa"/>
            <w:gridSpan w:val="2"/>
            <w:noWrap/>
            <w:vAlign w:val="center"/>
            <w:hideMark/>
          </w:tcPr>
          <w:p w14:paraId="50654A63" w14:textId="77777777" w:rsidR="00A010BA" w:rsidRPr="00A50293" w:rsidRDefault="00A010BA" w:rsidP="00F829BA">
            <w:pPr>
              <w:rPr>
                <w:rFonts w:eastAsia="Times New Roman" w:cstheme="minorHAnsi"/>
                <w:color w:val="000000"/>
                <w:szCs w:val="16"/>
                <w:lang w:eastAsia="en-AU"/>
              </w:rPr>
            </w:pPr>
            <w:r w:rsidRPr="00A50293">
              <w:rPr>
                <w:rFonts w:eastAsia="Times New Roman" w:cstheme="minorHAnsi"/>
                <w:color w:val="000000"/>
                <w:szCs w:val="16"/>
                <w:lang w:eastAsia="en-AU"/>
              </w:rPr>
              <w:t xml:space="preserve"> Duplex/townhouse, 3 residents </w:t>
            </w:r>
          </w:p>
        </w:tc>
        <w:tc>
          <w:tcPr>
            <w:tcW w:w="1380" w:type="dxa"/>
            <w:noWrap/>
            <w:vAlign w:val="center"/>
            <w:hideMark/>
          </w:tcPr>
          <w:p w14:paraId="58E39660"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13.9%</w:t>
            </w:r>
          </w:p>
        </w:tc>
        <w:tc>
          <w:tcPr>
            <w:tcW w:w="1380" w:type="dxa"/>
            <w:noWrap/>
            <w:vAlign w:val="center"/>
            <w:hideMark/>
          </w:tcPr>
          <w:p w14:paraId="2E0CB59F"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14.0%</w:t>
            </w:r>
          </w:p>
        </w:tc>
        <w:tc>
          <w:tcPr>
            <w:tcW w:w="1245" w:type="dxa"/>
            <w:noWrap/>
            <w:vAlign w:val="center"/>
            <w:hideMark/>
          </w:tcPr>
          <w:p w14:paraId="38A058F2"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12.2%</w:t>
            </w:r>
          </w:p>
        </w:tc>
        <w:tc>
          <w:tcPr>
            <w:tcW w:w="1542" w:type="dxa"/>
            <w:noWrap/>
            <w:vAlign w:val="center"/>
            <w:hideMark/>
          </w:tcPr>
          <w:p w14:paraId="7A8120FD"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12.3%</w:t>
            </w:r>
          </w:p>
        </w:tc>
        <w:tc>
          <w:tcPr>
            <w:tcW w:w="1353" w:type="dxa"/>
            <w:noWrap/>
            <w:vAlign w:val="center"/>
            <w:hideMark/>
          </w:tcPr>
          <w:p w14:paraId="46DB8B63"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14.0%</w:t>
            </w:r>
          </w:p>
        </w:tc>
      </w:tr>
      <w:tr w:rsidR="00A010BA" w:rsidRPr="00A50293" w14:paraId="7752B868" w14:textId="77777777" w:rsidTr="00F829BA">
        <w:trPr>
          <w:cnfStyle w:val="000000100000" w:firstRow="0" w:lastRow="0" w:firstColumn="0" w:lastColumn="0" w:oddVBand="0" w:evenVBand="0" w:oddHBand="1" w:evenHBand="0" w:firstRowFirstColumn="0" w:firstRowLastColumn="0" w:lastRowFirstColumn="0" w:lastRowLastColumn="0"/>
          <w:trHeight w:val="97"/>
        </w:trPr>
        <w:tc>
          <w:tcPr>
            <w:tcW w:w="3640" w:type="dxa"/>
            <w:gridSpan w:val="2"/>
            <w:noWrap/>
            <w:vAlign w:val="center"/>
            <w:hideMark/>
          </w:tcPr>
          <w:p w14:paraId="7C7B6EC8" w14:textId="77777777" w:rsidR="00A010BA" w:rsidRPr="00A50293" w:rsidRDefault="00A010BA" w:rsidP="00F829BA">
            <w:pPr>
              <w:rPr>
                <w:rFonts w:eastAsia="Times New Roman" w:cstheme="minorHAnsi"/>
                <w:color w:val="000000"/>
                <w:szCs w:val="16"/>
                <w:lang w:eastAsia="en-AU"/>
              </w:rPr>
            </w:pPr>
            <w:r w:rsidRPr="00A50293">
              <w:rPr>
                <w:rFonts w:eastAsia="Times New Roman" w:cstheme="minorHAnsi"/>
                <w:color w:val="000000"/>
                <w:szCs w:val="16"/>
                <w:lang w:eastAsia="en-AU"/>
              </w:rPr>
              <w:t xml:space="preserve"> House, 2 people </w:t>
            </w:r>
          </w:p>
        </w:tc>
        <w:tc>
          <w:tcPr>
            <w:tcW w:w="1380" w:type="dxa"/>
            <w:noWrap/>
            <w:vAlign w:val="center"/>
            <w:hideMark/>
          </w:tcPr>
          <w:p w14:paraId="2655E9C4"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10.1%</w:t>
            </w:r>
          </w:p>
        </w:tc>
        <w:tc>
          <w:tcPr>
            <w:tcW w:w="1380" w:type="dxa"/>
            <w:noWrap/>
            <w:vAlign w:val="center"/>
            <w:hideMark/>
          </w:tcPr>
          <w:p w14:paraId="48F5C876"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10.4%</w:t>
            </w:r>
          </w:p>
        </w:tc>
        <w:tc>
          <w:tcPr>
            <w:tcW w:w="1245" w:type="dxa"/>
            <w:noWrap/>
            <w:vAlign w:val="center"/>
            <w:hideMark/>
          </w:tcPr>
          <w:p w14:paraId="181842EB"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9.4%</w:t>
            </w:r>
          </w:p>
        </w:tc>
        <w:tc>
          <w:tcPr>
            <w:tcW w:w="1542" w:type="dxa"/>
            <w:noWrap/>
            <w:vAlign w:val="center"/>
            <w:hideMark/>
          </w:tcPr>
          <w:p w14:paraId="75CBE1FF"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9.6%</w:t>
            </w:r>
          </w:p>
        </w:tc>
        <w:tc>
          <w:tcPr>
            <w:tcW w:w="1353" w:type="dxa"/>
            <w:noWrap/>
            <w:vAlign w:val="center"/>
            <w:hideMark/>
          </w:tcPr>
          <w:p w14:paraId="29A9EF6C"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14.0%</w:t>
            </w:r>
          </w:p>
        </w:tc>
      </w:tr>
      <w:tr w:rsidR="00A010BA" w:rsidRPr="00A50293" w14:paraId="49CD1674" w14:textId="77777777" w:rsidTr="00F829BA">
        <w:trPr>
          <w:trHeight w:val="129"/>
        </w:trPr>
        <w:tc>
          <w:tcPr>
            <w:tcW w:w="3640" w:type="dxa"/>
            <w:gridSpan w:val="2"/>
            <w:noWrap/>
            <w:vAlign w:val="center"/>
            <w:hideMark/>
          </w:tcPr>
          <w:p w14:paraId="3B795422" w14:textId="77777777" w:rsidR="00A010BA" w:rsidRPr="00A50293" w:rsidRDefault="00A010BA" w:rsidP="00F829BA">
            <w:pPr>
              <w:rPr>
                <w:rFonts w:eastAsia="Times New Roman" w:cstheme="minorHAnsi"/>
                <w:color w:val="000000"/>
                <w:szCs w:val="16"/>
                <w:lang w:eastAsia="en-AU"/>
              </w:rPr>
            </w:pPr>
            <w:r w:rsidRPr="00A50293">
              <w:rPr>
                <w:rFonts w:eastAsia="Times New Roman" w:cstheme="minorHAnsi"/>
                <w:color w:val="000000"/>
                <w:szCs w:val="16"/>
                <w:lang w:eastAsia="en-AU"/>
              </w:rPr>
              <w:t xml:space="preserve"> House, 3 people </w:t>
            </w:r>
          </w:p>
        </w:tc>
        <w:tc>
          <w:tcPr>
            <w:tcW w:w="1380" w:type="dxa"/>
            <w:noWrap/>
            <w:vAlign w:val="center"/>
            <w:hideMark/>
          </w:tcPr>
          <w:p w14:paraId="389D7AFD"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11.9%</w:t>
            </w:r>
          </w:p>
        </w:tc>
        <w:tc>
          <w:tcPr>
            <w:tcW w:w="1380" w:type="dxa"/>
            <w:noWrap/>
            <w:vAlign w:val="center"/>
            <w:hideMark/>
          </w:tcPr>
          <w:p w14:paraId="0C83FF33"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12.1%</w:t>
            </w:r>
          </w:p>
        </w:tc>
        <w:tc>
          <w:tcPr>
            <w:tcW w:w="1245" w:type="dxa"/>
            <w:noWrap/>
            <w:vAlign w:val="center"/>
            <w:hideMark/>
          </w:tcPr>
          <w:p w14:paraId="3EE1FF59"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10.7%</w:t>
            </w:r>
          </w:p>
        </w:tc>
        <w:tc>
          <w:tcPr>
            <w:tcW w:w="1542" w:type="dxa"/>
            <w:noWrap/>
            <w:vAlign w:val="center"/>
            <w:hideMark/>
          </w:tcPr>
          <w:p w14:paraId="7F0DDF88"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10.9%</w:t>
            </w:r>
          </w:p>
        </w:tc>
        <w:tc>
          <w:tcPr>
            <w:tcW w:w="1353" w:type="dxa"/>
            <w:noWrap/>
            <w:vAlign w:val="center"/>
            <w:hideMark/>
          </w:tcPr>
          <w:p w14:paraId="52455B51"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14.0%</w:t>
            </w:r>
          </w:p>
        </w:tc>
      </w:tr>
      <w:tr w:rsidR="00A010BA" w:rsidRPr="00A50293" w14:paraId="14E4C845" w14:textId="77777777" w:rsidTr="00F829BA">
        <w:trPr>
          <w:cnfStyle w:val="000000100000" w:firstRow="0" w:lastRow="0" w:firstColumn="0" w:lastColumn="0" w:oddVBand="0" w:evenVBand="0" w:oddHBand="1" w:evenHBand="0" w:firstRowFirstColumn="0" w:firstRowLastColumn="0" w:lastRowFirstColumn="0" w:lastRowLastColumn="0"/>
          <w:trHeight w:val="117"/>
        </w:trPr>
        <w:tc>
          <w:tcPr>
            <w:tcW w:w="3640" w:type="dxa"/>
            <w:gridSpan w:val="2"/>
            <w:noWrap/>
            <w:vAlign w:val="center"/>
            <w:hideMark/>
          </w:tcPr>
          <w:p w14:paraId="5BE34CC9" w14:textId="77777777" w:rsidR="00A010BA" w:rsidRPr="00A50293" w:rsidRDefault="00A010BA" w:rsidP="00F829BA">
            <w:pPr>
              <w:rPr>
                <w:rFonts w:eastAsia="Times New Roman" w:cstheme="minorHAnsi"/>
                <w:color w:val="000000"/>
                <w:szCs w:val="16"/>
                <w:lang w:eastAsia="en-AU"/>
              </w:rPr>
            </w:pPr>
            <w:r>
              <w:rPr>
                <w:rFonts w:eastAsia="Times New Roman" w:cstheme="minorHAnsi"/>
                <w:color w:val="000000"/>
                <w:szCs w:val="16"/>
                <w:lang w:eastAsia="en-AU"/>
              </w:rPr>
              <w:t>Group Home</w:t>
            </w:r>
            <w:r w:rsidRPr="00A50293">
              <w:rPr>
                <w:rFonts w:eastAsia="Times New Roman" w:cstheme="minorHAnsi"/>
                <w:color w:val="000000"/>
                <w:szCs w:val="16"/>
                <w:lang w:eastAsia="en-AU"/>
              </w:rPr>
              <w:t xml:space="preserve">, 4 people </w:t>
            </w:r>
          </w:p>
        </w:tc>
        <w:tc>
          <w:tcPr>
            <w:tcW w:w="1380" w:type="dxa"/>
            <w:noWrap/>
            <w:vAlign w:val="center"/>
            <w:hideMark/>
          </w:tcPr>
          <w:p w14:paraId="3A05A365"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13.3%</w:t>
            </w:r>
          </w:p>
        </w:tc>
        <w:tc>
          <w:tcPr>
            <w:tcW w:w="1380" w:type="dxa"/>
            <w:noWrap/>
            <w:vAlign w:val="center"/>
            <w:hideMark/>
          </w:tcPr>
          <w:p w14:paraId="055A3482"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13.4%</w:t>
            </w:r>
          </w:p>
        </w:tc>
        <w:tc>
          <w:tcPr>
            <w:tcW w:w="1245" w:type="dxa"/>
            <w:noWrap/>
            <w:vAlign w:val="center"/>
            <w:hideMark/>
          </w:tcPr>
          <w:p w14:paraId="709D1865"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11.7%</w:t>
            </w:r>
          </w:p>
        </w:tc>
        <w:tc>
          <w:tcPr>
            <w:tcW w:w="1542" w:type="dxa"/>
            <w:noWrap/>
            <w:vAlign w:val="center"/>
            <w:hideMark/>
          </w:tcPr>
          <w:p w14:paraId="55BDCB3C"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11.8%</w:t>
            </w:r>
          </w:p>
        </w:tc>
        <w:tc>
          <w:tcPr>
            <w:tcW w:w="1353" w:type="dxa"/>
            <w:noWrap/>
            <w:vAlign w:val="center"/>
            <w:hideMark/>
          </w:tcPr>
          <w:p w14:paraId="6D2A900A"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14.1%</w:t>
            </w:r>
          </w:p>
        </w:tc>
      </w:tr>
      <w:tr w:rsidR="00A010BA" w:rsidRPr="00A50293" w14:paraId="36D28B09" w14:textId="77777777" w:rsidTr="00F829BA">
        <w:trPr>
          <w:trHeight w:val="135"/>
        </w:trPr>
        <w:tc>
          <w:tcPr>
            <w:tcW w:w="3640" w:type="dxa"/>
            <w:gridSpan w:val="2"/>
            <w:noWrap/>
            <w:vAlign w:val="center"/>
            <w:hideMark/>
          </w:tcPr>
          <w:p w14:paraId="27E3C3A1" w14:textId="77777777" w:rsidR="00A010BA" w:rsidRPr="00A50293" w:rsidRDefault="00A010BA" w:rsidP="00F829BA">
            <w:pPr>
              <w:rPr>
                <w:rFonts w:eastAsia="Times New Roman" w:cstheme="minorHAnsi"/>
                <w:color w:val="000000"/>
                <w:szCs w:val="16"/>
                <w:lang w:eastAsia="en-AU"/>
              </w:rPr>
            </w:pPr>
            <w:r>
              <w:rPr>
                <w:rFonts w:eastAsia="Times New Roman" w:cstheme="minorHAnsi"/>
                <w:color w:val="000000"/>
                <w:szCs w:val="16"/>
                <w:lang w:eastAsia="en-AU"/>
              </w:rPr>
              <w:t>Group Home</w:t>
            </w:r>
            <w:r w:rsidRPr="00A50293">
              <w:rPr>
                <w:rFonts w:eastAsia="Times New Roman" w:cstheme="minorHAnsi"/>
                <w:color w:val="000000"/>
                <w:szCs w:val="16"/>
                <w:lang w:eastAsia="en-AU"/>
              </w:rPr>
              <w:t xml:space="preserve">, 5 residents </w:t>
            </w:r>
          </w:p>
        </w:tc>
        <w:tc>
          <w:tcPr>
            <w:tcW w:w="1380" w:type="dxa"/>
            <w:noWrap/>
            <w:vAlign w:val="center"/>
            <w:hideMark/>
          </w:tcPr>
          <w:p w14:paraId="67D4B2AE"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14.1%</w:t>
            </w:r>
          </w:p>
        </w:tc>
        <w:tc>
          <w:tcPr>
            <w:tcW w:w="1380" w:type="dxa"/>
            <w:noWrap/>
            <w:vAlign w:val="center"/>
            <w:hideMark/>
          </w:tcPr>
          <w:p w14:paraId="65D7AA14"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14.1%</w:t>
            </w:r>
          </w:p>
        </w:tc>
        <w:tc>
          <w:tcPr>
            <w:tcW w:w="1245" w:type="dxa"/>
            <w:noWrap/>
            <w:vAlign w:val="center"/>
            <w:hideMark/>
          </w:tcPr>
          <w:p w14:paraId="1DA4BE8C"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12.3%</w:t>
            </w:r>
          </w:p>
        </w:tc>
        <w:tc>
          <w:tcPr>
            <w:tcW w:w="1542" w:type="dxa"/>
            <w:noWrap/>
            <w:vAlign w:val="center"/>
            <w:hideMark/>
          </w:tcPr>
          <w:p w14:paraId="542ECF4F"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12.4%</w:t>
            </w:r>
          </w:p>
        </w:tc>
        <w:tc>
          <w:tcPr>
            <w:tcW w:w="1353" w:type="dxa"/>
            <w:noWrap/>
            <w:vAlign w:val="center"/>
            <w:hideMark/>
          </w:tcPr>
          <w:p w14:paraId="22D3EA5C" w14:textId="77777777" w:rsidR="00A010BA" w:rsidRPr="00A50293" w:rsidRDefault="00A010BA" w:rsidP="00F829BA">
            <w:pPr>
              <w:jc w:val="center"/>
              <w:rPr>
                <w:rFonts w:eastAsia="Times New Roman" w:cstheme="minorHAnsi"/>
                <w:color w:val="000000"/>
                <w:szCs w:val="16"/>
                <w:lang w:eastAsia="en-AU"/>
              </w:rPr>
            </w:pPr>
            <w:r w:rsidRPr="00A50293">
              <w:rPr>
                <w:rFonts w:eastAsia="Times New Roman" w:cstheme="minorHAnsi"/>
                <w:color w:val="000000"/>
                <w:szCs w:val="16"/>
                <w:lang w:eastAsia="en-AU"/>
              </w:rPr>
              <w:t>14.0%</w:t>
            </w:r>
          </w:p>
        </w:tc>
      </w:tr>
    </w:tbl>
    <w:p w14:paraId="14AB2329" w14:textId="77777777" w:rsidR="004471A1" w:rsidRPr="008D7BBF" w:rsidRDefault="004471A1" w:rsidP="005663E7"/>
    <w:sectPr w:rsidR="004471A1" w:rsidRPr="008D7BBF" w:rsidSect="00872AF9">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6681" w14:textId="77777777" w:rsidR="0029445B" w:rsidRDefault="0029445B" w:rsidP="007219F1">
      <w:pPr>
        <w:spacing w:after="0" w:line="240" w:lineRule="auto"/>
      </w:pPr>
      <w:r>
        <w:separator/>
      </w:r>
    </w:p>
    <w:p w14:paraId="444930F0" w14:textId="77777777" w:rsidR="0029445B" w:rsidRDefault="0029445B"/>
    <w:p w14:paraId="46E74B5E" w14:textId="77777777" w:rsidR="0029445B" w:rsidRDefault="0029445B"/>
    <w:p w14:paraId="3243295E" w14:textId="77777777" w:rsidR="0029445B" w:rsidRDefault="0029445B"/>
    <w:p w14:paraId="5596DB48" w14:textId="77777777" w:rsidR="0029445B" w:rsidRDefault="0029445B"/>
    <w:p w14:paraId="176734B9" w14:textId="77777777" w:rsidR="0029445B" w:rsidRDefault="0029445B"/>
  </w:endnote>
  <w:endnote w:type="continuationSeparator" w:id="0">
    <w:p w14:paraId="56165D93" w14:textId="77777777" w:rsidR="0029445B" w:rsidRDefault="0029445B" w:rsidP="007219F1">
      <w:pPr>
        <w:spacing w:after="0" w:line="240" w:lineRule="auto"/>
      </w:pPr>
      <w:r>
        <w:continuationSeparator/>
      </w:r>
    </w:p>
    <w:p w14:paraId="3310A73F" w14:textId="77777777" w:rsidR="0029445B" w:rsidRDefault="0029445B"/>
    <w:p w14:paraId="20ECE35F" w14:textId="77777777" w:rsidR="0029445B" w:rsidRDefault="0029445B"/>
    <w:p w14:paraId="3ADB71ED" w14:textId="77777777" w:rsidR="0029445B" w:rsidRDefault="0029445B"/>
    <w:p w14:paraId="0FAE76B4" w14:textId="77777777" w:rsidR="0029445B" w:rsidRDefault="0029445B"/>
    <w:p w14:paraId="330C968E" w14:textId="77777777" w:rsidR="0029445B" w:rsidRDefault="0029445B"/>
  </w:endnote>
  <w:endnote w:type="continuationNotice" w:id="1">
    <w:p w14:paraId="51BE021F" w14:textId="77777777" w:rsidR="0029445B" w:rsidRDefault="00294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079D" w14:textId="77777777" w:rsidR="00CF59D3" w:rsidRDefault="00CF5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20100"/>
      <w:docPartObj>
        <w:docPartGallery w:val="Page Numbers (Bottom of Page)"/>
        <w:docPartUnique/>
      </w:docPartObj>
    </w:sdtPr>
    <w:sdtEndPr>
      <w:rPr>
        <w:noProof/>
      </w:rPr>
    </w:sdtEndPr>
    <w:sdtContent>
      <w:p w14:paraId="71A32ED3" w14:textId="18FFCED6" w:rsidR="006F0E04" w:rsidRDefault="006F0E04" w:rsidP="00827017">
        <w:pPr>
          <w:pStyle w:val="Footer"/>
          <w:jc w:val="center"/>
        </w:pPr>
        <w:r>
          <w:fldChar w:fldCharType="begin"/>
        </w:r>
        <w:r>
          <w:instrText xml:space="preserve"> PAGE   \* MERGEFORMAT </w:instrText>
        </w:r>
        <w:r>
          <w:fldChar w:fldCharType="separate"/>
        </w:r>
        <w:r w:rsidR="00053C74">
          <w:rPr>
            <w:noProof/>
          </w:rPr>
          <w:t>36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F1C0" w14:textId="77777777" w:rsidR="006F0E04" w:rsidRDefault="006F0E04" w:rsidP="00827017">
    <w:r w:rsidRPr="00321F81">
      <w:rPr>
        <w:noProof/>
        <w:lang w:eastAsia="en-AU"/>
      </w:rPr>
      <w:drawing>
        <wp:inline distT="0" distB="0" distL="0" distR="0" wp14:anchorId="36CC65E8" wp14:editId="5A6E3A97">
          <wp:extent cx="2275200" cy="540000"/>
          <wp:effectExtent l="0" t="0" r="0" b="0"/>
          <wp:docPr id="205" name="Picture 205"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447536"/>
      <w:docPartObj>
        <w:docPartGallery w:val="Page Numbers (Bottom of Page)"/>
        <w:docPartUnique/>
      </w:docPartObj>
    </w:sdtPr>
    <w:sdtEndPr>
      <w:rPr>
        <w:noProof/>
      </w:rPr>
    </w:sdtEndPr>
    <w:sdtContent>
      <w:p w14:paraId="33EEE0EC" w14:textId="5BB05997" w:rsidR="006F0E04" w:rsidRDefault="006F0E04" w:rsidP="00206483">
        <w:pPr>
          <w:pStyle w:val="Footer"/>
          <w:jc w:val="center"/>
        </w:pPr>
        <w:r>
          <w:fldChar w:fldCharType="begin"/>
        </w:r>
        <w:r>
          <w:instrText xml:space="preserve"> PAGE   \* MERGEFORMAT </w:instrText>
        </w:r>
        <w:r>
          <w:fldChar w:fldCharType="separate"/>
        </w:r>
        <w:r w:rsidR="00053C74">
          <w:rPr>
            <w:noProof/>
          </w:rPr>
          <w:t>35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8C469" w14:textId="77777777" w:rsidR="0029445B" w:rsidRDefault="0029445B">
      <w:r>
        <w:separator/>
      </w:r>
    </w:p>
  </w:footnote>
  <w:footnote w:type="continuationSeparator" w:id="0">
    <w:p w14:paraId="6C5E70AA" w14:textId="77777777" w:rsidR="0029445B" w:rsidRDefault="0029445B" w:rsidP="007219F1">
      <w:pPr>
        <w:spacing w:after="0" w:line="240" w:lineRule="auto"/>
      </w:pPr>
      <w:r>
        <w:continuationSeparator/>
      </w:r>
    </w:p>
    <w:p w14:paraId="7E150BC3" w14:textId="77777777" w:rsidR="0029445B" w:rsidRDefault="0029445B"/>
    <w:p w14:paraId="08712829" w14:textId="77777777" w:rsidR="0029445B" w:rsidRDefault="0029445B"/>
    <w:p w14:paraId="781E6B28" w14:textId="77777777" w:rsidR="0029445B" w:rsidRDefault="0029445B"/>
    <w:p w14:paraId="4201DB90" w14:textId="77777777" w:rsidR="0029445B" w:rsidRDefault="0029445B"/>
    <w:p w14:paraId="5C50EADE" w14:textId="77777777" w:rsidR="0029445B" w:rsidRDefault="0029445B"/>
  </w:footnote>
  <w:footnote w:type="continuationNotice" w:id="1">
    <w:p w14:paraId="244D2E2D" w14:textId="77777777" w:rsidR="0029445B" w:rsidRDefault="0029445B">
      <w:pPr>
        <w:spacing w:after="0" w:line="240" w:lineRule="auto"/>
      </w:pPr>
    </w:p>
  </w:footnote>
  <w:footnote w:id="2">
    <w:p w14:paraId="1A7565F8" w14:textId="6BF59243" w:rsidR="00FD243F" w:rsidRDefault="00FD243F">
      <w:pPr>
        <w:pStyle w:val="FootnoteText"/>
      </w:pPr>
      <w:r>
        <w:rPr>
          <w:rStyle w:val="FootnoteReference"/>
        </w:rPr>
        <w:footnoteRef/>
      </w:r>
      <w:r>
        <w:t xml:space="preserve"> </w:t>
      </w:r>
      <w:r w:rsidR="0017563B">
        <w:tab/>
      </w:r>
      <w:r w:rsidRPr="00A4558A">
        <w:t xml:space="preserve">Note, the current average funding amount reflects the fact that the majority of current dwellings existed prior to the commencement of the </w:t>
      </w:r>
      <w:r w:rsidR="00217257" w:rsidRPr="00A4558A">
        <w:t>NDIS</w:t>
      </w:r>
      <w:r w:rsidRPr="00A4558A">
        <w:t xml:space="preserve">. As these dwellings are replaced by newer dwellings built in line with new design standards </w:t>
      </w:r>
      <w:r w:rsidR="00217257" w:rsidRPr="00A4558A">
        <w:t xml:space="preserve">the average annual cost of SDA is expected to increase considerably. For example, the SDA amount payable in respect of each SDA-eligible participant in a newly built three bedroom </w:t>
      </w:r>
      <w:r w:rsidR="00A4558A" w:rsidRPr="00A4558A">
        <w:t>H</w:t>
      </w:r>
      <w:r w:rsidR="00217257" w:rsidRPr="00A4558A">
        <w:t xml:space="preserve">igh </w:t>
      </w:r>
      <w:r w:rsidR="00A4558A" w:rsidRPr="00A4558A">
        <w:t>P</w:t>
      </w:r>
      <w:r w:rsidR="00217257" w:rsidRPr="00A4558A">
        <w:t xml:space="preserve">hysical </w:t>
      </w:r>
      <w:r w:rsidR="00A4558A" w:rsidRPr="00A4558A">
        <w:t>S</w:t>
      </w:r>
      <w:r w:rsidR="00217257" w:rsidRPr="00A4558A">
        <w:t>upport house is currently $42,208 per annum.</w:t>
      </w:r>
    </w:p>
  </w:footnote>
  <w:footnote w:id="3">
    <w:p w14:paraId="23E65465" w14:textId="25D15D50" w:rsidR="00286CC6" w:rsidRDefault="00286CC6">
      <w:pPr>
        <w:pStyle w:val="FootnoteText"/>
      </w:pPr>
      <w:r>
        <w:rPr>
          <w:rStyle w:val="FootnoteReference"/>
        </w:rPr>
        <w:footnoteRef/>
      </w:r>
      <w:r>
        <w:t xml:space="preserve"> </w:t>
      </w:r>
      <w:r w:rsidR="0017563B">
        <w:tab/>
        <w:t xml:space="preserve">Please refer figures 72 and 84 of the </w:t>
      </w:r>
      <w:hyperlink r:id="rId1" w:history="1">
        <w:r w:rsidR="0017563B">
          <w:rPr>
            <w:rStyle w:val="Hyperlink"/>
          </w:rPr>
          <w:t>NDIS Quarterly Report to disability ministers 30 June 2022</w:t>
        </w:r>
      </w:hyperlink>
      <w:r w:rsidR="0017563B">
        <w:t xml:space="preserve"> for further detail.</w:t>
      </w:r>
    </w:p>
  </w:footnote>
  <w:footnote w:id="4">
    <w:p w14:paraId="33D0893D" w14:textId="65FED331" w:rsidR="006F0E04" w:rsidRDefault="006F0E04">
      <w:pPr>
        <w:pStyle w:val="FootnoteText"/>
      </w:pPr>
      <w:r>
        <w:rPr>
          <w:rStyle w:val="FootnoteReference"/>
        </w:rPr>
        <w:footnoteRef/>
      </w:r>
      <w:r>
        <w:t xml:space="preserve"> </w:t>
      </w:r>
      <w:r>
        <w:tab/>
        <w:t xml:space="preserve">The “base price limit” specified in the </w:t>
      </w:r>
      <w:hyperlink r:id="rId2" w:history="1">
        <w:r w:rsidR="00EE1371" w:rsidRPr="00DE28CF">
          <w:rPr>
            <w:rStyle w:val="Hyperlink"/>
            <w:i/>
            <w:iCs/>
            <w:szCs w:val="22"/>
          </w:rPr>
          <w:t>NDIS Pricing Arrangements for Specialist Disability Accommodation 2023-23</w:t>
        </w:r>
      </w:hyperlink>
      <w:r>
        <w:rPr>
          <w:i/>
          <w:iCs/>
        </w:rPr>
        <w:t xml:space="preserve"> </w:t>
      </w:r>
      <w:r>
        <w:t xml:space="preserve">is the price limit that applies when all occupants of the SDA dwelling are </w:t>
      </w:r>
      <w:r w:rsidR="00BB6E62">
        <w:t>SDA-eligible</w:t>
      </w:r>
      <w:r w:rsidR="001A2815">
        <w:t xml:space="preserve"> </w:t>
      </w:r>
      <w:r>
        <w:t xml:space="preserve">participants, and each occupant has a separate bedroom. Adjustments to the “base price limit” are made in other cases. These adjustments are set out in </w:t>
      </w:r>
      <w:r w:rsidRPr="001A2815">
        <w:rPr>
          <w:b/>
        </w:rPr>
        <w:t>Appendix G</w:t>
      </w:r>
      <w:r>
        <w:t xml:space="preserve"> of the </w:t>
      </w:r>
      <w:r w:rsidRPr="00D14E34">
        <w:rPr>
          <w:i/>
          <w:iCs/>
        </w:rPr>
        <w:t>SDA Pricing Arrangements and Price Limits</w:t>
      </w:r>
      <w:r w:rsidRPr="00D14E34">
        <w:t>.</w:t>
      </w:r>
    </w:p>
  </w:footnote>
  <w:footnote w:id="5">
    <w:p w14:paraId="1F3126BD" w14:textId="3B0B119B" w:rsidR="006F0E04" w:rsidRDefault="006F0E04">
      <w:pPr>
        <w:pStyle w:val="FootnoteText"/>
      </w:pPr>
      <w:r>
        <w:rPr>
          <w:rStyle w:val="FootnoteReference"/>
        </w:rPr>
        <w:footnoteRef/>
      </w:r>
      <w:r>
        <w:t xml:space="preserve"> </w:t>
      </w:r>
      <w:r>
        <w:tab/>
        <w:t xml:space="preserve">The “base price limit” is the price limit that applies when all occupants of the SDA dwelling are participants, and each occupant has a separate bedroom. Adjustments to the “base price limit” are made in other cases. These adjustments are set out in </w:t>
      </w:r>
      <w:r w:rsidRPr="003C73BE">
        <w:t>Appendix G</w:t>
      </w:r>
      <w:r>
        <w:t xml:space="preserve"> of the </w:t>
      </w:r>
      <w:hyperlink r:id="rId3" w:history="1">
        <w:r w:rsidR="00EE1371" w:rsidRPr="00DE28CF">
          <w:rPr>
            <w:rStyle w:val="Hyperlink"/>
            <w:i/>
            <w:iCs/>
            <w:szCs w:val="22"/>
          </w:rPr>
          <w:t>NDIS Pricing Arrangements for Specialist Disability Accommodation 2023-23</w:t>
        </w:r>
      </w:hyperlink>
      <w:r w:rsidR="00EE1371">
        <w:rPr>
          <w:i/>
          <w:iCs/>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AD01" w14:textId="27CEC5C8" w:rsidR="006F0E04" w:rsidRDefault="006F0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E1A1" w14:textId="4286447A" w:rsidR="006F0E04" w:rsidRPr="00B85BD1" w:rsidRDefault="006F0E04" w:rsidP="000E71CA">
    <w:pPr>
      <w:pStyle w:val="Header"/>
      <w:jc w:val="center"/>
    </w:pPr>
    <w:r w:rsidRPr="00B85BD1">
      <w:rPr>
        <w:b/>
        <w:szCs w:val="18"/>
      </w:rPr>
      <w:t>2022-23</w:t>
    </w:r>
    <w:r>
      <w:rPr>
        <w:b/>
        <w:szCs w:val="18"/>
      </w:rPr>
      <w:t xml:space="preserve"> </w:t>
    </w:r>
    <w:r w:rsidRPr="00B85BD1">
      <w:rPr>
        <w:b/>
        <w:szCs w:val="18"/>
      </w:rPr>
      <w:t>Specialist Disability Accommodation Price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EA76" w14:textId="53F1B5F7" w:rsidR="006F0E04" w:rsidRDefault="006F0E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B093" w14:textId="29AF2FDB" w:rsidR="006F0E04" w:rsidRDefault="006F0E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5AC1" w14:textId="40CBB123" w:rsidR="006F0E04" w:rsidRDefault="006F0E04" w:rsidP="00E85133">
    <w:pPr>
      <w:pStyle w:val="Header"/>
      <w:jc w:val="center"/>
    </w:pPr>
    <w:r>
      <w:rPr>
        <w:i/>
        <w:iCs/>
      </w:rPr>
      <w:t>S</w:t>
    </w:r>
    <w:r w:rsidRPr="0018390F">
      <w:rPr>
        <w:i/>
        <w:iCs/>
      </w:rPr>
      <w:t>DA Pricing Review</w:t>
    </w:r>
    <w:r>
      <w:rPr>
        <w:i/>
        <w:iCs/>
      </w:rPr>
      <w:t xml:space="preserve"> 2022-23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07B6" w14:textId="76D8DA96" w:rsidR="006F0E04" w:rsidRPr="00C6107F" w:rsidRDefault="006F0E04" w:rsidP="00C61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E42"/>
    <w:multiLevelType w:val="hybridMultilevel"/>
    <w:tmpl w:val="3A948E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 w15:restartNumberingAfterBreak="0">
    <w:nsid w:val="16BA07BB"/>
    <w:multiLevelType w:val="hybridMultilevel"/>
    <w:tmpl w:val="4EEC2C44"/>
    <w:lvl w:ilvl="0" w:tplc="0278358A">
      <w:start w:val="1"/>
      <w:numFmt w:val="bullet"/>
      <w:lvlText w:val=""/>
      <w:lvlJc w:val="left"/>
      <w:pPr>
        <w:ind w:left="142" w:hanging="142"/>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D8290F"/>
    <w:multiLevelType w:val="hybridMultilevel"/>
    <w:tmpl w:val="100ABE40"/>
    <w:lvl w:ilvl="0" w:tplc="8F98621A">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FB1CEE"/>
    <w:multiLevelType w:val="hybridMultilevel"/>
    <w:tmpl w:val="58D68C46"/>
    <w:lvl w:ilvl="0" w:tplc="2F2AC814">
      <w:start w:val="1"/>
      <w:numFmt w:val="bullet"/>
      <w:lvlText w:val=""/>
      <w:lvlJc w:val="left"/>
      <w:pPr>
        <w:ind w:left="567" w:hanging="283"/>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3F7EB5"/>
    <w:multiLevelType w:val="hybridMultilevel"/>
    <w:tmpl w:val="7298C94C"/>
    <w:lvl w:ilvl="0" w:tplc="FFFFFFFF">
      <w:start w:val="1"/>
      <w:numFmt w:val="bullet"/>
      <w:lvlText w:val=""/>
      <w:lvlJc w:val="left"/>
      <w:pPr>
        <w:ind w:left="567" w:hanging="283"/>
      </w:pPr>
      <w:rPr>
        <w:rFonts w:ascii="Symbol" w:hAnsi="Symbol" w:hint="default"/>
      </w:rPr>
    </w:lvl>
    <w:lvl w:ilvl="1" w:tplc="998ADEB4">
      <w:start w:val="1"/>
      <w:numFmt w:val="bullet"/>
      <w:lvlText w:val="o"/>
      <w:lvlJc w:val="left"/>
      <w:pPr>
        <w:ind w:left="851" w:hanging="284"/>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765D1"/>
    <w:multiLevelType w:val="multilevel"/>
    <w:tmpl w:val="2F4A84A0"/>
    <w:lvl w:ilvl="0">
      <w:start w:val="1"/>
      <w:numFmt w:val="decimal"/>
      <w:lvlText w:val="%1"/>
      <w:lvlJc w:val="left"/>
      <w:pPr>
        <w:ind w:left="432" w:hanging="432"/>
      </w:pPr>
    </w:lvl>
    <w:lvl w:ilvl="1">
      <w:start w:val="1"/>
      <w:numFmt w:val="decimal"/>
      <w:pStyle w:val="Style4"/>
      <w:lvlText w:val="%1.%2"/>
      <w:lvlJc w:val="left"/>
      <w:pPr>
        <w:ind w:left="576" w:hanging="576"/>
      </w:pPr>
    </w:lvl>
    <w:lvl w:ilvl="2">
      <w:start w:val="1"/>
      <w:numFmt w:val="decimal"/>
      <w:pStyle w:val="Styl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1" w15:restartNumberingAfterBreak="0">
    <w:nsid w:val="2A2875F6"/>
    <w:multiLevelType w:val="hybridMultilevel"/>
    <w:tmpl w:val="36BAD27A"/>
    <w:lvl w:ilvl="0" w:tplc="A060325A">
      <w:start w:val="1"/>
      <w:numFmt w:val="bullet"/>
      <w:lvlText w:val=""/>
      <w:lvlJc w:val="left"/>
      <w:pPr>
        <w:ind w:left="567" w:hanging="28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736914"/>
    <w:multiLevelType w:val="hybridMultilevel"/>
    <w:tmpl w:val="04569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D61BE1"/>
    <w:multiLevelType w:val="hybridMultilevel"/>
    <w:tmpl w:val="982E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F1123D"/>
    <w:multiLevelType w:val="hybridMultilevel"/>
    <w:tmpl w:val="B7084BC6"/>
    <w:lvl w:ilvl="0" w:tplc="E7AE7D2E">
      <w:start w:val="1"/>
      <w:numFmt w:val="bullet"/>
      <w:lvlText w:val="o"/>
      <w:lvlJc w:val="left"/>
      <w:pPr>
        <w:ind w:left="851" w:hanging="284"/>
      </w:pPr>
      <w:rPr>
        <w:rFonts w:ascii="Courier New" w:hAnsi="Courier New"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6371832"/>
    <w:multiLevelType w:val="hybridMultilevel"/>
    <w:tmpl w:val="56A2D9C2"/>
    <w:lvl w:ilvl="0" w:tplc="8076A17C">
      <w:start w:val="1"/>
      <w:numFmt w:val="decimal"/>
      <w:pStyle w:val="QUESTION"/>
      <w:lvlText w:val="%1."/>
      <w:lvlJc w:val="left"/>
      <w:pPr>
        <w:ind w:left="567" w:hanging="283"/>
      </w:pPr>
      <w:rPr>
        <w:rFonts w:hint="default"/>
      </w:rPr>
    </w:lvl>
    <w:lvl w:ilvl="1" w:tplc="8BA0E6D6">
      <w:start w:val="1"/>
      <w:numFmt w:val="bullet"/>
      <w:lvlText w:val="o"/>
      <w:lvlJc w:val="left"/>
      <w:pPr>
        <w:ind w:left="709"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A4348D"/>
    <w:multiLevelType w:val="hybridMultilevel"/>
    <w:tmpl w:val="76B6A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973830"/>
    <w:multiLevelType w:val="hybridMultilevel"/>
    <w:tmpl w:val="46407F8C"/>
    <w:lvl w:ilvl="0" w:tplc="7174EA68">
      <w:start w:val="1"/>
      <w:numFmt w:val="decimal"/>
      <w:lvlText w:val="%1."/>
      <w:lvlJc w:val="left"/>
      <w:pPr>
        <w:ind w:left="567" w:hanging="567"/>
      </w:pPr>
      <w:rPr>
        <w:rFonts w:hint="default"/>
      </w:rPr>
    </w:lvl>
    <w:lvl w:ilvl="1" w:tplc="5694CA1A">
      <w:start w:val="1"/>
      <w:numFmt w:val="lowerLetter"/>
      <w:lvlText w:val="%2."/>
      <w:lvlJc w:val="left"/>
      <w:pPr>
        <w:ind w:left="1134"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9"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1" w15:restartNumberingAfterBreak="0">
    <w:nsid w:val="561E0481"/>
    <w:multiLevelType w:val="multilevel"/>
    <w:tmpl w:val="B3263C8C"/>
    <w:lvl w:ilvl="0">
      <w:start w:val="1"/>
      <w:numFmt w:val="decimal"/>
      <w:lvlText w:val="%1."/>
      <w:lvlJc w:val="left"/>
      <w:pPr>
        <w:tabs>
          <w:tab w:val="num" w:pos="425"/>
        </w:tabs>
        <w:ind w:left="425" w:hanging="425"/>
      </w:p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22" w15:restartNumberingAfterBreak="0">
    <w:nsid w:val="685255A4"/>
    <w:multiLevelType w:val="hybridMultilevel"/>
    <w:tmpl w:val="6C24312E"/>
    <w:lvl w:ilvl="0" w:tplc="33FE2822">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383481"/>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5" w15:restartNumberingAfterBreak="0">
    <w:nsid w:val="73415BF4"/>
    <w:multiLevelType w:val="hybridMultilevel"/>
    <w:tmpl w:val="571AD730"/>
    <w:lvl w:ilvl="0" w:tplc="B2F27290">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729002">
    <w:abstractNumId w:val="9"/>
  </w:num>
  <w:num w:numId="2" w16cid:durableId="1610427315">
    <w:abstractNumId w:val="15"/>
  </w:num>
  <w:num w:numId="3" w16cid:durableId="868492102">
    <w:abstractNumId w:val="12"/>
  </w:num>
  <w:num w:numId="4" w16cid:durableId="1771588057">
    <w:abstractNumId w:val="6"/>
  </w:num>
  <w:num w:numId="5" w16cid:durableId="783767329">
    <w:abstractNumId w:val="22"/>
  </w:num>
  <w:num w:numId="6" w16cid:durableId="1886063174">
    <w:abstractNumId w:val="16"/>
  </w:num>
  <w:num w:numId="7" w16cid:durableId="1503936054">
    <w:abstractNumId w:val="13"/>
  </w:num>
  <w:num w:numId="8" w16cid:durableId="1118453318">
    <w:abstractNumId w:val="23"/>
  </w:num>
  <w:num w:numId="9" w16cid:durableId="915944908">
    <w:abstractNumId w:val="25"/>
  </w:num>
  <w:num w:numId="10" w16cid:durableId="256982014">
    <w:abstractNumId w:val="11"/>
  </w:num>
  <w:num w:numId="11" w16cid:durableId="571935335">
    <w:abstractNumId w:val="8"/>
  </w:num>
  <w:num w:numId="12" w16cid:durableId="646133125">
    <w:abstractNumId w:val="14"/>
  </w:num>
  <w:num w:numId="13" w16cid:durableId="691106691">
    <w:abstractNumId w:val="24"/>
  </w:num>
  <w:num w:numId="14" w16cid:durableId="800852406">
    <w:abstractNumId w:val="18"/>
  </w:num>
  <w:num w:numId="15" w16cid:durableId="259921512">
    <w:abstractNumId w:val="20"/>
  </w:num>
  <w:num w:numId="16" w16cid:durableId="1519006105">
    <w:abstractNumId w:val="1"/>
  </w:num>
  <w:num w:numId="17" w16cid:durableId="1126193411">
    <w:abstractNumId w:val="7"/>
  </w:num>
  <w:num w:numId="18" w16cid:durableId="1879538403">
    <w:abstractNumId w:val="17"/>
  </w:num>
  <w:num w:numId="19" w16cid:durableId="388505872">
    <w:abstractNumId w:val="5"/>
  </w:num>
  <w:num w:numId="20" w16cid:durableId="926646129">
    <w:abstractNumId w:val="3"/>
  </w:num>
  <w:num w:numId="21" w16cid:durableId="743379939">
    <w:abstractNumId w:val="10"/>
  </w:num>
  <w:num w:numId="22" w16cid:durableId="457333957">
    <w:abstractNumId w:val="19"/>
  </w:num>
  <w:num w:numId="23" w16cid:durableId="80504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6731586">
    <w:abstractNumId w:val="0"/>
  </w:num>
  <w:num w:numId="25" w16cid:durableId="85197610">
    <w:abstractNumId w:val="2"/>
  </w:num>
  <w:num w:numId="26" w16cid:durableId="1532261278">
    <w:abstractNumId w:val="4"/>
  </w:num>
  <w:num w:numId="27" w16cid:durableId="1693727610">
    <w:abstractNumId w:val="21"/>
  </w:num>
  <w:num w:numId="28" w16cid:durableId="168173966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B4"/>
    <w:rsid w:val="000004E0"/>
    <w:rsid w:val="000005AE"/>
    <w:rsid w:val="00000922"/>
    <w:rsid w:val="00000A09"/>
    <w:rsid w:val="00000AE8"/>
    <w:rsid w:val="00000C18"/>
    <w:rsid w:val="00000F31"/>
    <w:rsid w:val="00000F38"/>
    <w:rsid w:val="000011F9"/>
    <w:rsid w:val="000018E3"/>
    <w:rsid w:val="00001EC7"/>
    <w:rsid w:val="00001FC9"/>
    <w:rsid w:val="00002850"/>
    <w:rsid w:val="00002C5E"/>
    <w:rsid w:val="00002D3F"/>
    <w:rsid w:val="000037B7"/>
    <w:rsid w:val="00003B89"/>
    <w:rsid w:val="000041BF"/>
    <w:rsid w:val="00004224"/>
    <w:rsid w:val="0000441E"/>
    <w:rsid w:val="0000459F"/>
    <w:rsid w:val="000047E3"/>
    <w:rsid w:val="000049FE"/>
    <w:rsid w:val="00004C20"/>
    <w:rsid w:val="00005F93"/>
    <w:rsid w:val="000060B0"/>
    <w:rsid w:val="00006432"/>
    <w:rsid w:val="000067E7"/>
    <w:rsid w:val="000070B7"/>
    <w:rsid w:val="000073BB"/>
    <w:rsid w:val="000073F9"/>
    <w:rsid w:val="00007DB7"/>
    <w:rsid w:val="00007E6E"/>
    <w:rsid w:val="000100BE"/>
    <w:rsid w:val="000106CC"/>
    <w:rsid w:val="00010788"/>
    <w:rsid w:val="00010903"/>
    <w:rsid w:val="00010EF4"/>
    <w:rsid w:val="00010FC8"/>
    <w:rsid w:val="00011421"/>
    <w:rsid w:val="000114B5"/>
    <w:rsid w:val="000122FC"/>
    <w:rsid w:val="00012FFE"/>
    <w:rsid w:val="00013584"/>
    <w:rsid w:val="00013696"/>
    <w:rsid w:val="000139D7"/>
    <w:rsid w:val="00013CBD"/>
    <w:rsid w:val="0001401C"/>
    <w:rsid w:val="00014A49"/>
    <w:rsid w:val="00014C56"/>
    <w:rsid w:val="000150A9"/>
    <w:rsid w:val="000152A2"/>
    <w:rsid w:val="00015720"/>
    <w:rsid w:val="00015AA7"/>
    <w:rsid w:val="00015B07"/>
    <w:rsid w:val="000162A0"/>
    <w:rsid w:val="00016DA4"/>
    <w:rsid w:val="0001726B"/>
    <w:rsid w:val="00017748"/>
    <w:rsid w:val="00017A59"/>
    <w:rsid w:val="00017C7A"/>
    <w:rsid w:val="00017E47"/>
    <w:rsid w:val="00020167"/>
    <w:rsid w:val="00020330"/>
    <w:rsid w:val="000215BB"/>
    <w:rsid w:val="00021730"/>
    <w:rsid w:val="00021C76"/>
    <w:rsid w:val="00021CA6"/>
    <w:rsid w:val="0002203D"/>
    <w:rsid w:val="0002218F"/>
    <w:rsid w:val="000225F8"/>
    <w:rsid w:val="0002260B"/>
    <w:rsid w:val="00022652"/>
    <w:rsid w:val="00022973"/>
    <w:rsid w:val="0002367B"/>
    <w:rsid w:val="00023B0E"/>
    <w:rsid w:val="00023E3C"/>
    <w:rsid w:val="00023FB7"/>
    <w:rsid w:val="00024476"/>
    <w:rsid w:val="0002456C"/>
    <w:rsid w:val="000245D7"/>
    <w:rsid w:val="000247DC"/>
    <w:rsid w:val="000247F6"/>
    <w:rsid w:val="0002490D"/>
    <w:rsid w:val="00025236"/>
    <w:rsid w:val="000257C3"/>
    <w:rsid w:val="00025A83"/>
    <w:rsid w:val="00026303"/>
    <w:rsid w:val="00026469"/>
    <w:rsid w:val="00026726"/>
    <w:rsid w:val="00026746"/>
    <w:rsid w:val="00026877"/>
    <w:rsid w:val="000268F4"/>
    <w:rsid w:val="00026FCD"/>
    <w:rsid w:val="00027C06"/>
    <w:rsid w:val="00030083"/>
    <w:rsid w:val="00030BF6"/>
    <w:rsid w:val="00031259"/>
    <w:rsid w:val="00031732"/>
    <w:rsid w:val="0003183A"/>
    <w:rsid w:val="00031BA7"/>
    <w:rsid w:val="00031D66"/>
    <w:rsid w:val="00031DEC"/>
    <w:rsid w:val="000323A4"/>
    <w:rsid w:val="0003246D"/>
    <w:rsid w:val="00032770"/>
    <w:rsid w:val="000330D5"/>
    <w:rsid w:val="00033B23"/>
    <w:rsid w:val="00033E85"/>
    <w:rsid w:val="00033ED2"/>
    <w:rsid w:val="00034332"/>
    <w:rsid w:val="0003449B"/>
    <w:rsid w:val="00034538"/>
    <w:rsid w:val="000353ED"/>
    <w:rsid w:val="0003579A"/>
    <w:rsid w:val="00035857"/>
    <w:rsid w:val="00035DAD"/>
    <w:rsid w:val="00035E5A"/>
    <w:rsid w:val="000360A4"/>
    <w:rsid w:val="00036459"/>
    <w:rsid w:val="00036DFB"/>
    <w:rsid w:val="00036E12"/>
    <w:rsid w:val="00036ED3"/>
    <w:rsid w:val="00037381"/>
    <w:rsid w:val="00037751"/>
    <w:rsid w:val="00037A0A"/>
    <w:rsid w:val="00037CD9"/>
    <w:rsid w:val="00037DBC"/>
    <w:rsid w:val="00040769"/>
    <w:rsid w:val="000412C9"/>
    <w:rsid w:val="00041E1B"/>
    <w:rsid w:val="0004205D"/>
    <w:rsid w:val="0004215E"/>
    <w:rsid w:val="00042589"/>
    <w:rsid w:val="0004273D"/>
    <w:rsid w:val="00042938"/>
    <w:rsid w:val="00042BA5"/>
    <w:rsid w:val="00043541"/>
    <w:rsid w:val="00043646"/>
    <w:rsid w:val="0004391D"/>
    <w:rsid w:val="00043BE5"/>
    <w:rsid w:val="000441B6"/>
    <w:rsid w:val="00044393"/>
    <w:rsid w:val="000445E8"/>
    <w:rsid w:val="000446E8"/>
    <w:rsid w:val="0004472A"/>
    <w:rsid w:val="0004474C"/>
    <w:rsid w:val="00044755"/>
    <w:rsid w:val="0004496D"/>
    <w:rsid w:val="00044ABE"/>
    <w:rsid w:val="00044FBB"/>
    <w:rsid w:val="00045679"/>
    <w:rsid w:val="00045AEF"/>
    <w:rsid w:val="00046093"/>
    <w:rsid w:val="0004609C"/>
    <w:rsid w:val="000461A4"/>
    <w:rsid w:val="000463E6"/>
    <w:rsid w:val="00046668"/>
    <w:rsid w:val="0004666B"/>
    <w:rsid w:val="000469A5"/>
    <w:rsid w:val="00046FEE"/>
    <w:rsid w:val="000470C4"/>
    <w:rsid w:val="0004732F"/>
    <w:rsid w:val="0004774D"/>
    <w:rsid w:val="00047829"/>
    <w:rsid w:val="00047D31"/>
    <w:rsid w:val="00051071"/>
    <w:rsid w:val="0005139C"/>
    <w:rsid w:val="00051F77"/>
    <w:rsid w:val="000521EA"/>
    <w:rsid w:val="000523BD"/>
    <w:rsid w:val="000525A9"/>
    <w:rsid w:val="00052602"/>
    <w:rsid w:val="00052B72"/>
    <w:rsid w:val="00052E4C"/>
    <w:rsid w:val="00053175"/>
    <w:rsid w:val="000531A8"/>
    <w:rsid w:val="000534FF"/>
    <w:rsid w:val="000537D3"/>
    <w:rsid w:val="00053A36"/>
    <w:rsid w:val="00053B71"/>
    <w:rsid w:val="00053C67"/>
    <w:rsid w:val="00053C74"/>
    <w:rsid w:val="000544BA"/>
    <w:rsid w:val="0005478D"/>
    <w:rsid w:val="00054968"/>
    <w:rsid w:val="00054F08"/>
    <w:rsid w:val="0005529D"/>
    <w:rsid w:val="000554B9"/>
    <w:rsid w:val="00055607"/>
    <w:rsid w:val="00055780"/>
    <w:rsid w:val="00055825"/>
    <w:rsid w:val="000558B2"/>
    <w:rsid w:val="00055BB0"/>
    <w:rsid w:val="00055F80"/>
    <w:rsid w:val="0005635D"/>
    <w:rsid w:val="0005642E"/>
    <w:rsid w:val="00056D0B"/>
    <w:rsid w:val="000571A2"/>
    <w:rsid w:val="00057340"/>
    <w:rsid w:val="0006016C"/>
    <w:rsid w:val="000604C2"/>
    <w:rsid w:val="00060674"/>
    <w:rsid w:val="000606F8"/>
    <w:rsid w:val="000607B5"/>
    <w:rsid w:val="00060C5E"/>
    <w:rsid w:val="00060F47"/>
    <w:rsid w:val="00060F62"/>
    <w:rsid w:val="00061026"/>
    <w:rsid w:val="00061EFB"/>
    <w:rsid w:val="0006248D"/>
    <w:rsid w:val="00062583"/>
    <w:rsid w:val="00062CE0"/>
    <w:rsid w:val="0006321F"/>
    <w:rsid w:val="0006369B"/>
    <w:rsid w:val="00063883"/>
    <w:rsid w:val="000638BC"/>
    <w:rsid w:val="00063F2F"/>
    <w:rsid w:val="00064411"/>
    <w:rsid w:val="00064FD8"/>
    <w:rsid w:val="00065122"/>
    <w:rsid w:val="000659CA"/>
    <w:rsid w:val="00065D84"/>
    <w:rsid w:val="00065E3E"/>
    <w:rsid w:val="000661D6"/>
    <w:rsid w:val="00066390"/>
    <w:rsid w:val="00066401"/>
    <w:rsid w:val="00067209"/>
    <w:rsid w:val="00067462"/>
    <w:rsid w:val="0006783D"/>
    <w:rsid w:val="00067A37"/>
    <w:rsid w:val="00067C05"/>
    <w:rsid w:val="00070533"/>
    <w:rsid w:val="0007074E"/>
    <w:rsid w:val="000709FB"/>
    <w:rsid w:val="00071197"/>
    <w:rsid w:val="00071BFB"/>
    <w:rsid w:val="00071CB8"/>
    <w:rsid w:val="000720C6"/>
    <w:rsid w:val="000723F6"/>
    <w:rsid w:val="0007255C"/>
    <w:rsid w:val="00072931"/>
    <w:rsid w:val="00072CC3"/>
    <w:rsid w:val="00072F05"/>
    <w:rsid w:val="00073244"/>
    <w:rsid w:val="00073291"/>
    <w:rsid w:val="000732DB"/>
    <w:rsid w:val="00073C24"/>
    <w:rsid w:val="00073C26"/>
    <w:rsid w:val="00073EF8"/>
    <w:rsid w:val="0007401F"/>
    <w:rsid w:val="00074084"/>
    <w:rsid w:val="00074B72"/>
    <w:rsid w:val="00074BE4"/>
    <w:rsid w:val="00074E20"/>
    <w:rsid w:val="0007531C"/>
    <w:rsid w:val="0007533D"/>
    <w:rsid w:val="0007564D"/>
    <w:rsid w:val="00075717"/>
    <w:rsid w:val="00075966"/>
    <w:rsid w:val="00075973"/>
    <w:rsid w:val="000760A8"/>
    <w:rsid w:val="000761A4"/>
    <w:rsid w:val="00076E46"/>
    <w:rsid w:val="000770CA"/>
    <w:rsid w:val="00077499"/>
    <w:rsid w:val="0007765B"/>
    <w:rsid w:val="000777D0"/>
    <w:rsid w:val="00080164"/>
    <w:rsid w:val="000802E2"/>
    <w:rsid w:val="00080729"/>
    <w:rsid w:val="00080D46"/>
    <w:rsid w:val="00080DDC"/>
    <w:rsid w:val="00081168"/>
    <w:rsid w:val="00081203"/>
    <w:rsid w:val="00081253"/>
    <w:rsid w:val="000814FD"/>
    <w:rsid w:val="0008156F"/>
    <w:rsid w:val="00081708"/>
    <w:rsid w:val="00081ACC"/>
    <w:rsid w:val="00081F0A"/>
    <w:rsid w:val="00082020"/>
    <w:rsid w:val="00082393"/>
    <w:rsid w:val="0008244A"/>
    <w:rsid w:val="00082E0A"/>
    <w:rsid w:val="00082ECB"/>
    <w:rsid w:val="000830CE"/>
    <w:rsid w:val="00083296"/>
    <w:rsid w:val="00083367"/>
    <w:rsid w:val="00083462"/>
    <w:rsid w:val="0008403A"/>
    <w:rsid w:val="000844D9"/>
    <w:rsid w:val="00084523"/>
    <w:rsid w:val="000848AC"/>
    <w:rsid w:val="00084AF3"/>
    <w:rsid w:val="00084F7D"/>
    <w:rsid w:val="00085B3D"/>
    <w:rsid w:val="0008603F"/>
    <w:rsid w:val="0008697B"/>
    <w:rsid w:val="00087242"/>
    <w:rsid w:val="0008761E"/>
    <w:rsid w:val="00087672"/>
    <w:rsid w:val="000876D2"/>
    <w:rsid w:val="00090013"/>
    <w:rsid w:val="00091637"/>
    <w:rsid w:val="00091835"/>
    <w:rsid w:val="000919DE"/>
    <w:rsid w:val="00091BB2"/>
    <w:rsid w:val="00092272"/>
    <w:rsid w:val="000928B7"/>
    <w:rsid w:val="0009290C"/>
    <w:rsid w:val="000929C4"/>
    <w:rsid w:val="00092D96"/>
    <w:rsid w:val="00093165"/>
    <w:rsid w:val="00093596"/>
    <w:rsid w:val="00093620"/>
    <w:rsid w:val="0009459C"/>
    <w:rsid w:val="00094887"/>
    <w:rsid w:val="00094945"/>
    <w:rsid w:val="0009514B"/>
    <w:rsid w:val="00095336"/>
    <w:rsid w:val="0009572B"/>
    <w:rsid w:val="000958B5"/>
    <w:rsid w:val="00095A2C"/>
    <w:rsid w:val="0009621C"/>
    <w:rsid w:val="0009632F"/>
    <w:rsid w:val="00096513"/>
    <w:rsid w:val="00096610"/>
    <w:rsid w:val="000969FD"/>
    <w:rsid w:val="00096AE0"/>
    <w:rsid w:val="00096D96"/>
    <w:rsid w:val="0009715F"/>
    <w:rsid w:val="00097B45"/>
    <w:rsid w:val="00097F49"/>
    <w:rsid w:val="00097F9D"/>
    <w:rsid w:val="000A00F0"/>
    <w:rsid w:val="000A0468"/>
    <w:rsid w:val="000A0656"/>
    <w:rsid w:val="000A0662"/>
    <w:rsid w:val="000A09DA"/>
    <w:rsid w:val="000A0C95"/>
    <w:rsid w:val="000A142E"/>
    <w:rsid w:val="000A162F"/>
    <w:rsid w:val="000A1A49"/>
    <w:rsid w:val="000A1AE2"/>
    <w:rsid w:val="000A1CDA"/>
    <w:rsid w:val="000A2131"/>
    <w:rsid w:val="000A22D1"/>
    <w:rsid w:val="000A2375"/>
    <w:rsid w:val="000A2715"/>
    <w:rsid w:val="000A2958"/>
    <w:rsid w:val="000A3511"/>
    <w:rsid w:val="000A371E"/>
    <w:rsid w:val="000A3D96"/>
    <w:rsid w:val="000A3E30"/>
    <w:rsid w:val="000A3E64"/>
    <w:rsid w:val="000A4064"/>
    <w:rsid w:val="000A4102"/>
    <w:rsid w:val="000A434F"/>
    <w:rsid w:val="000A4813"/>
    <w:rsid w:val="000A4BDC"/>
    <w:rsid w:val="000A508B"/>
    <w:rsid w:val="000A529A"/>
    <w:rsid w:val="000A530F"/>
    <w:rsid w:val="000A5394"/>
    <w:rsid w:val="000A5738"/>
    <w:rsid w:val="000A58DE"/>
    <w:rsid w:val="000A5B84"/>
    <w:rsid w:val="000A5E30"/>
    <w:rsid w:val="000A5E4C"/>
    <w:rsid w:val="000A616D"/>
    <w:rsid w:val="000A6192"/>
    <w:rsid w:val="000A640C"/>
    <w:rsid w:val="000A6782"/>
    <w:rsid w:val="000A7224"/>
    <w:rsid w:val="000A763C"/>
    <w:rsid w:val="000A77F7"/>
    <w:rsid w:val="000A7A55"/>
    <w:rsid w:val="000B0495"/>
    <w:rsid w:val="000B0700"/>
    <w:rsid w:val="000B11FF"/>
    <w:rsid w:val="000B150F"/>
    <w:rsid w:val="000B1764"/>
    <w:rsid w:val="000B1D35"/>
    <w:rsid w:val="000B2253"/>
    <w:rsid w:val="000B25B5"/>
    <w:rsid w:val="000B28BB"/>
    <w:rsid w:val="000B3214"/>
    <w:rsid w:val="000B32B0"/>
    <w:rsid w:val="000B32EF"/>
    <w:rsid w:val="000B34FB"/>
    <w:rsid w:val="000B3521"/>
    <w:rsid w:val="000B353D"/>
    <w:rsid w:val="000B3588"/>
    <w:rsid w:val="000B3AC4"/>
    <w:rsid w:val="000B3F4B"/>
    <w:rsid w:val="000B4163"/>
    <w:rsid w:val="000B4199"/>
    <w:rsid w:val="000B458F"/>
    <w:rsid w:val="000B45DE"/>
    <w:rsid w:val="000B4834"/>
    <w:rsid w:val="000B4E35"/>
    <w:rsid w:val="000B520D"/>
    <w:rsid w:val="000B585B"/>
    <w:rsid w:val="000B5AD9"/>
    <w:rsid w:val="000B5D79"/>
    <w:rsid w:val="000B614F"/>
    <w:rsid w:val="000B640B"/>
    <w:rsid w:val="000B671B"/>
    <w:rsid w:val="000B67BB"/>
    <w:rsid w:val="000B694F"/>
    <w:rsid w:val="000B6A59"/>
    <w:rsid w:val="000B6C59"/>
    <w:rsid w:val="000B6E31"/>
    <w:rsid w:val="000B6FA1"/>
    <w:rsid w:val="000B70B3"/>
    <w:rsid w:val="000B7502"/>
    <w:rsid w:val="000B755F"/>
    <w:rsid w:val="000B7BB3"/>
    <w:rsid w:val="000B7C1A"/>
    <w:rsid w:val="000B7CA4"/>
    <w:rsid w:val="000C004B"/>
    <w:rsid w:val="000C0171"/>
    <w:rsid w:val="000C018D"/>
    <w:rsid w:val="000C0597"/>
    <w:rsid w:val="000C06A2"/>
    <w:rsid w:val="000C0785"/>
    <w:rsid w:val="000C0890"/>
    <w:rsid w:val="000C14B5"/>
    <w:rsid w:val="000C159E"/>
    <w:rsid w:val="000C1706"/>
    <w:rsid w:val="000C194E"/>
    <w:rsid w:val="000C1A21"/>
    <w:rsid w:val="000C2246"/>
    <w:rsid w:val="000C2BC3"/>
    <w:rsid w:val="000C304B"/>
    <w:rsid w:val="000C3C44"/>
    <w:rsid w:val="000C3DB8"/>
    <w:rsid w:val="000C47D7"/>
    <w:rsid w:val="000C4AAD"/>
    <w:rsid w:val="000C4CC5"/>
    <w:rsid w:val="000C4E9C"/>
    <w:rsid w:val="000C52F1"/>
    <w:rsid w:val="000C5319"/>
    <w:rsid w:val="000C54BC"/>
    <w:rsid w:val="000C72CA"/>
    <w:rsid w:val="000C72CB"/>
    <w:rsid w:val="000C72DF"/>
    <w:rsid w:val="000C77A6"/>
    <w:rsid w:val="000C7A18"/>
    <w:rsid w:val="000C7D0E"/>
    <w:rsid w:val="000C7DB5"/>
    <w:rsid w:val="000C7DD7"/>
    <w:rsid w:val="000D04F9"/>
    <w:rsid w:val="000D17B6"/>
    <w:rsid w:val="000D1C4C"/>
    <w:rsid w:val="000D1DC9"/>
    <w:rsid w:val="000D2005"/>
    <w:rsid w:val="000D236C"/>
    <w:rsid w:val="000D2614"/>
    <w:rsid w:val="000D26E8"/>
    <w:rsid w:val="000D2872"/>
    <w:rsid w:val="000D2889"/>
    <w:rsid w:val="000D2A53"/>
    <w:rsid w:val="000D3280"/>
    <w:rsid w:val="000D3743"/>
    <w:rsid w:val="000D3938"/>
    <w:rsid w:val="000D3C91"/>
    <w:rsid w:val="000D406A"/>
    <w:rsid w:val="000D4200"/>
    <w:rsid w:val="000D4D0E"/>
    <w:rsid w:val="000D4DE5"/>
    <w:rsid w:val="000D5321"/>
    <w:rsid w:val="000D53B6"/>
    <w:rsid w:val="000D56C4"/>
    <w:rsid w:val="000D5CE9"/>
    <w:rsid w:val="000D5F29"/>
    <w:rsid w:val="000D631C"/>
    <w:rsid w:val="000D664A"/>
    <w:rsid w:val="000D68C8"/>
    <w:rsid w:val="000D7927"/>
    <w:rsid w:val="000D798F"/>
    <w:rsid w:val="000D79D9"/>
    <w:rsid w:val="000D7BD7"/>
    <w:rsid w:val="000E04BB"/>
    <w:rsid w:val="000E07D3"/>
    <w:rsid w:val="000E11A3"/>
    <w:rsid w:val="000E153B"/>
    <w:rsid w:val="000E1586"/>
    <w:rsid w:val="000E18D6"/>
    <w:rsid w:val="000E1B54"/>
    <w:rsid w:val="000E1B6B"/>
    <w:rsid w:val="000E1F09"/>
    <w:rsid w:val="000E248F"/>
    <w:rsid w:val="000E261F"/>
    <w:rsid w:val="000E2772"/>
    <w:rsid w:val="000E27A7"/>
    <w:rsid w:val="000E29DA"/>
    <w:rsid w:val="000E2E00"/>
    <w:rsid w:val="000E3A57"/>
    <w:rsid w:val="000E3A67"/>
    <w:rsid w:val="000E3CBD"/>
    <w:rsid w:val="000E3F57"/>
    <w:rsid w:val="000E438F"/>
    <w:rsid w:val="000E4555"/>
    <w:rsid w:val="000E4604"/>
    <w:rsid w:val="000E482A"/>
    <w:rsid w:val="000E488A"/>
    <w:rsid w:val="000E4C90"/>
    <w:rsid w:val="000E5984"/>
    <w:rsid w:val="000E5AB4"/>
    <w:rsid w:val="000E5D42"/>
    <w:rsid w:val="000E6085"/>
    <w:rsid w:val="000E63F3"/>
    <w:rsid w:val="000E65DC"/>
    <w:rsid w:val="000E65FD"/>
    <w:rsid w:val="000E67E6"/>
    <w:rsid w:val="000E6F65"/>
    <w:rsid w:val="000E70F0"/>
    <w:rsid w:val="000E7188"/>
    <w:rsid w:val="000E71CA"/>
    <w:rsid w:val="000E7440"/>
    <w:rsid w:val="000E74A3"/>
    <w:rsid w:val="000E7576"/>
    <w:rsid w:val="000E769B"/>
    <w:rsid w:val="000E7F2C"/>
    <w:rsid w:val="000F0435"/>
    <w:rsid w:val="000F0796"/>
    <w:rsid w:val="000F0896"/>
    <w:rsid w:val="000F0A73"/>
    <w:rsid w:val="000F0A91"/>
    <w:rsid w:val="000F0AB7"/>
    <w:rsid w:val="000F0F22"/>
    <w:rsid w:val="000F1063"/>
    <w:rsid w:val="000F1170"/>
    <w:rsid w:val="000F11CA"/>
    <w:rsid w:val="000F1905"/>
    <w:rsid w:val="000F1B3B"/>
    <w:rsid w:val="000F1C69"/>
    <w:rsid w:val="000F1CB4"/>
    <w:rsid w:val="000F1EFF"/>
    <w:rsid w:val="000F2110"/>
    <w:rsid w:val="000F2A6B"/>
    <w:rsid w:val="000F2B59"/>
    <w:rsid w:val="000F2EF6"/>
    <w:rsid w:val="000F2FC3"/>
    <w:rsid w:val="000F325E"/>
    <w:rsid w:val="000F33B9"/>
    <w:rsid w:val="000F348C"/>
    <w:rsid w:val="000F3719"/>
    <w:rsid w:val="000F3A63"/>
    <w:rsid w:val="000F3AAF"/>
    <w:rsid w:val="000F3BD3"/>
    <w:rsid w:val="000F3CC1"/>
    <w:rsid w:val="000F3E17"/>
    <w:rsid w:val="000F4148"/>
    <w:rsid w:val="000F4190"/>
    <w:rsid w:val="000F42C2"/>
    <w:rsid w:val="000F477A"/>
    <w:rsid w:val="000F49CE"/>
    <w:rsid w:val="000F4F21"/>
    <w:rsid w:val="000F5642"/>
    <w:rsid w:val="000F6E13"/>
    <w:rsid w:val="000F6F1F"/>
    <w:rsid w:val="000F6F35"/>
    <w:rsid w:val="000F7080"/>
    <w:rsid w:val="000F720A"/>
    <w:rsid w:val="000F7496"/>
    <w:rsid w:val="000F7696"/>
    <w:rsid w:val="000F7E69"/>
    <w:rsid w:val="000F7F3C"/>
    <w:rsid w:val="00100028"/>
    <w:rsid w:val="001004F8"/>
    <w:rsid w:val="001008A4"/>
    <w:rsid w:val="0010117D"/>
    <w:rsid w:val="00101296"/>
    <w:rsid w:val="0010137C"/>
    <w:rsid w:val="00101938"/>
    <w:rsid w:val="00101BD9"/>
    <w:rsid w:val="00101BEC"/>
    <w:rsid w:val="00101D33"/>
    <w:rsid w:val="0010225B"/>
    <w:rsid w:val="00102ECA"/>
    <w:rsid w:val="001036DB"/>
    <w:rsid w:val="00103DAF"/>
    <w:rsid w:val="001040C4"/>
    <w:rsid w:val="001044B0"/>
    <w:rsid w:val="00104859"/>
    <w:rsid w:val="001048A8"/>
    <w:rsid w:val="00104BEE"/>
    <w:rsid w:val="0010565A"/>
    <w:rsid w:val="00105AB0"/>
    <w:rsid w:val="001060A3"/>
    <w:rsid w:val="001061FA"/>
    <w:rsid w:val="001064BA"/>
    <w:rsid w:val="001065E9"/>
    <w:rsid w:val="00106D18"/>
    <w:rsid w:val="0010749B"/>
    <w:rsid w:val="00107DB9"/>
    <w:rsid w:val="00107E02"/>
    <w:rsid w:val="00110335"/>
    <w:rsid w:val="00110421"/>
    <w:rsid w:val="00110477"/>
    <w:rsid w:val="00110661"/>
    <w:rsid w:val="00110E69"/>
    <w:rsid w:val="001116A0"/>
    <w:rsid w:val="00111CD1"/>
    <w:rsid w:val="00112007"/>
    <w:rsid w:val="001123D1"/>
    <w:rsid w:val="00112989"/>
    <w:rsid w:val="00112D16"/>
    <w:rsid w:val="00112FAB"/>
    <w:rsid w:val="0011310A"/>
    <w:rsid w:val="00113510"/>
    <w:rsid w:val="001136FF"/>
    <w:rsid w:val="00113B0B"/>
    <w:rsid w:val="00113C86"/>
    <w:rsid w:val="00113CA0"/>
    <w:rsid w:val="00113CA5"/>
    <w:rsid w:val="00113E75"/>
    <w:rsid w:val="001140C5"/>
    <w:rsid w:val="001146B1"/>
    <w:rsid w:val="00114F9A"/>
    <w:rsid w:val="001151A8"/>
    <w:rsid w:val="001154C8"/>
    <w:rsid w:val="001155E4"/>
    <w:rsid w:val="0011582B"/>
    <w:rsid w:val="001159D8"/>
    <w:rsid w:val="00115CD2"/>
    <w:rsid w:val="00115FD6"/>
    <w:rsid w:val="00116595"/>
    <w:rsid w:val="001165A0"/>
    <w:rsid w:val="0011686E"/>
    <w:rsid w:val="00117393"/>
    <w:rsid w:val="00117EB2"/>
    <w:rsid w:val="00117F3F"/>
    <w:rsid w:val="00120101"/>
    <w:rsid w:val="00120207"/>
    <w:rsid w:val="0012023B"/>
    <w:rsid w:val="001202C5"/>
    <w:rsid w:val="001208A9"/>
    <w:rsid w:val="00120985"/>
    <w:rsid w:val="00120A05"/>
    <w:rsid w:val="00120A15"/>
    <w:rsid w:val="00120F1C"/>
    <w:rsid w:val="00121230"/>
    <w:rsid w:val="001212DA"/>
    <w:rsid w:val="001213C1"/>
    <w:rsid w:val="0012140E"/>
    <w:rsid w:val="00121583"/>
    <w:rsid w:val="00121939"/>
    <w:rsid w:val="00122748"/>
    <w:rsid w:val="0012276C"/>
    <w:rsid w:val="0012282C"/>
    <w:rsid w:val="00122978"/>
    <w:rsid w:val="00122B4F"/>
    <w:rsid w:val="00122D63"/>
    <w:rsid w:val="00122EA0"/>
    <w:rsid w:val="00123253"/>
    <w:rsid w:val="00123567"/>
    <w:rsid w:val="0012388E"/>
    <w:rsid w:val="00124123"/>
    <w:rsid w:val="001244AA"/>
    <w:rsid w:val="001244B2"/>
    <w:rsid w:val="0012469F"/>
    <w:rsid w:val="001246A5"/>
    <w:rsid w:val="001246C3"/>
    <w:rsid w:val="00124A66"/>
    <w:rsid w:val="00124A6A"/>
    <w:rsid w:val="00124C8C"/>
    <w:rsid w:val="0012503F"/>
    <w:rsid w:val="001253B7"/>
    <w:rsid w:val="00125431"/>
    <w:rsid w:val="00125662"/>
    <w:rsid w:val="001256B5"/>
    <w:rsid w:val="00125C91"/>
    <w:rsid w:val="001268EA"/>
    <w:rsid w:val="00126987"/>
    <w:rsid w:val="00126C8A"/>
    <w:rsid w:val="00126EF8"/>
    <w:rsid w:val="00127133"/>
    <w:rsid w:val="00127BF9"/>
    <w:rsid w:val="00127C35"/>
    <w:rsid w:val="00127DD5"/>
    <w:rsid w:val="001307DC"/>
    <w:rsid w:val="00130F86"/>
    <w:rsid w:val="001313B7"/>
    <w:rsid w:val="00131554"/>
    <w:rsid w:val="001316E0"/>
    <w:rsid w:val="0013191F"/>
    <w:rsid w:val="00131E96"/>
    <w:rsid w:val="00132400"/>
    <w:rsid w:val="00132CD5"/>
    <w:rsid w:val="00132F0A"/>
    <w:rsid w:val="0013309A"/>
    <w:rsid w:val="00133398"/>
    <w:rsid w:val="001333A5"/>
    <w:rsid w:val="001333FE"/>
    <w:rsid w:val="001336E0"/>
    <w:rsid w:val="00133F31"/>
    <w:rsid w:val="001340A6"/>
    <w:rsid w:val="0013470A"/>
    <w:rsid w:val="00134746"/>
    <w:rsid w:val="00134814"/>
    <w:rsid w:val="00134F6F"/>
    <w:rsid w:val="0013543F"/>
    <w:rsid w:val="001357E5"/>
    <w:rsid w:val="00135D53"/>
    <w:rsid w:val="00135E0F"/>
    <w:rsid w:val="00135E74"/>
    <w:rsid w:val="001366EE"/>
    <w:rsid w:val="00136ACB"/>
    <w:rsid w:val="00137100"/>
    <w:rsid w:val="001371B4"/>
    <w:rsid w:val="0013765E"/>
    <w:rsid w:val="00137965"/>
    <w:rsid w:val="00137B7E"/>
    <w:rsid w:val="00137DFC"/>
    <w:rsid w:val="00140081"/>
    <w:rsid w:val="00140131"/>
    <w:rsid w:val="0014038B"/>
    <w:rsid w:val="00140558"/>
    <w:rsid w:val="00140A4D"/>
    <w:rsid w:val="00140BFA"/>
    <w:rsid w:val="00141673"/>
    <w:rsid w:val="0014174D"/>
    <w:rsid w:val="001419A4"/>
    <w:rsid w:val="00141AAC"/>
    <w:rsid w:val="0014207A"/>
    <w:rsid w:val="00142577"/>
    <w:rsid w:val="001427C4"/>
    <w:rsid w:val="00142B47"/>
    <w:rsid w:val="00142CDD"/>
    <w:rsid w:val="00143B0B"/>
    <w:rsid w:val="00143BAA"/>
    <w:rsid w:val="001442EE"/>
    <w:rsid w:val="0014474E"/>
    <w:rsid w:val="00144813"/>
    <w:rsid w:val="00145060"/>
    <w:rsid w:val="00145639"/>
    <w:rsid w:val="00145B04"/>
    <w:rsid w:val="0014607A"/>
    <w:rsid w:val="00146105"/>
    <w:rsid w:val="001465C8"/>
    <w:rsid w:val="001465D4"/>
    <w:rsid w:val="00147024"/>
    <w:rsid w:val="001476EB"/>
    <w:rsid w:val="00147BA2"/>
    <w:rsid w:val="001500B5"/>
    <w:rsid w:val="00150679"/>
    <w:rsid w:val="001506D7"/>
    <w:rsid w:val="00150D14"/>
    <w:rsid w:val="0015107A"/>
    <w:rsid w:val="00151198"/>
    <w:rsid w:val="00151CC3"/>
    <w:rsid w:val="0015215F"/>
    <w:rsid w:val="0015222E"/>
    <w:rsid w:val="001523B1"/>
    <w:rsid w:val="00152609"/>
    <w:rsid w:val="00152756"/>
    <w:rsid w:val="001527D8"/>
    <w:rsid w:val="001528F8"/>
    <w:rsid w:val="00152BEF"/>
    <w:rsid w:val="00152ED9"/>
    <w:rsid w:val="001532A7"/>
    <w:rsid w:val="00153368"/>
    <w:rsid w:val="001535C1"/>
    <w:rsid w:val="00153B3F"/>
    <w:rsid w:val="00153CD4"/>
    <w:rsid w:val="00153D91"/>
    <w:rsid w:val="00153DA0"/>
    <w:rsid w:val="001545B3"/>
    <w:rsid w:val="001549A0"/>
    <w:rsid w:val="00154AA5"/>
    <w:rsid w:val="00154B2A"/>
    <w:rsid w:val="00154F3D"/>
    <w:rsid w:val="00155085"/>
    <w:rsid w:val="001553E7"/>
    <w:rsid w:val="0015550F"/>
    <w:rsid w:val="00155635"/>
    <w:rsid w:val="00155678"/>
    <w:rsid w:val="00155C87"/>
    <w:rsid w:val="00155F72"/>
    <w:rsid w:val="001565B8"/>
    <w:rsid w:val="001567B4"/>
    <w:rsid w:val="0015704E"/>
    <w:rsid w:val="00157176"/>
    <w:rsid w:val="00157DA2"/>
    <w:rsid w:val="00160211"/>
    <w:rsid w:val="001606BC"/>
    <w:rsid w:val="00161186"/>
    <w:rsid w:val="0016121F"/>
    <w:rsid w:val="001614C8"/>
    <w:rsid w:val="00161918"/>
    <w:rsid w:val="00162145"/>
    <w:rsid w:val="001626CD"/>
    <w:rsid w:val="0016292B"/>
    <w:rsid w:val="00162A98"/>
    <w:rsid w:val="00162E72"/>
    <w:rsid w:val="001632FF"/>
    <w:rsid w:val="001633E8"/>
    <w:rsid w:val="001640C8"/>
    <w:rsid w:val="0016432B"/>
    <w:rsid w:val="0016456C"/>
    <w:rsid w:val="0016482C"/>
    <w:rsid w:val="001648FC"/>
    <w:rsid w:val="001649F9"/>
    <w:rsid w:val="00164AD2"/>
    <w:rsid w:val="00164BF6"/>
    <w:rsid w:val="00164C3A"/>
    <w:rsid w:val="00164D37"/>
    <w:rsid w:val="0016526F"/>
    <w:rsid w:val="0016555B"/>
    <w:rsid w:val="0016564B"/>
    <w:rsid w:val="00165714"/>
    <w:rsid w:val="001657B0"/>
    <w:rsid w:val="001657C1"/>
    <w:rsid w:val="00165C12"/>
    <w:rsid w:val="00165DE2"/>
    <w:rsid w:val="00166077"/>
    <w:rsid w:val="00166136"/>
    <w:rsid w:val="00166285"/>
    <w:rsid w:val="001665A1"/>
    <w:rsid w:val="00166B20"/>
    <w:rsid w:val="00166B22"/>
    <w:rsid w:val="00167E1D"/>
    <w:rsid w:val="00167E43"/>
    <w:rsid w:val="0017027B"/>
    <w:rsid w:val="00170C30"/>
    <w:rsid w:val="00170C38"/>
    <w:rsid w:val="00170FE1"/>
    <w:rsid w:val="00171C73"/>
    <w:rsid w:val="00171D17"/>
    <w:rsid w:val="00172025"/>
    <w:rsid w:val="00172168"/>
    <w:rsid w:val="001721D7"/>
    <w:rsid w:val="00172250"/>
    <w:rsid w:val="00172339"/>
    <w:rsid w:val="0017256A"/>
    <w:rsid w:val="0017292A"/>
    <w:rsid w:val="00172B94"/>
    <w:rsid w:val="00172C86"/>
    <w:rsid w:val="00172EE8"/>
    <w:rsid w:val="00172FC2"/>
    <w:rsid w:val="0017302D"/>
    <w:rsid w:val="00173125"/>
    <w:rsid w:val="00173700"/>
    <w:rsid w:val="00173B76"/>
    <w:rsid w:val="00173C60"/>
    <w:rsid w:val="00173E3E"/>
    <w:rsid w:val="00174443"/>
    <w:rsid w:val="0017458E"/>
    <w:rsid w:val="00174A52"/>
    <w:rsid w:val="0017548D"/>
    <w:rsid w:val="00175588"/>
    <w:rsid w:val="0017563B"/>
    <w:rsid w:val="001758DC"/>
    <w:rsid w:val="00175A99"/>
    <w:rsid w:val="00175B5F"/>
    <w:rsid w:val="00176172"/>
    <w:rsid w:val="00176201"/>
    <w:rsid w:val="00176472"/>
    <w:rsid w:val="00176764"/>
    <w:rsid w:val="00176CDE"/>
    <w:rsid w:val="00176D97"/>
    <w:rsid w:val="00176F11"/>
    <w:rsid w:val="00177220"/>
    <w:rsid w:val="00177968"/>
    <w:rsid w:val="0017797C"/>
    <w:rsid w:val="001779F8"/>
    <w:rsid w:val="00177EBD"/>
    <w:rsid w:val="00180165"/>
    <w:rsid w:val="00180386"/>
    <w:rsid w:val="001804D1"/>
    <w:rsid w:val="00180A49"/>
    <w:rsid w:val="00180BF3"/>
    <w:rsid w:val="00180D51"/>
    <w:rsid w:val="00181179"/>
    <w:rsid w:val="00181554"/>
    <w:rsid w:val="00181690"/>
    <w:rsid w:val="00181F27"/>
    <w:rsid w:val="0018204D"/>
    <w:rsid w:val="00182108"/>
    <w:rsid w:val="00182763"/>
    <w:rsid w:val="00182979"/>
    <w:rsid w:val="0018319F"/>
    <w:rsid w:val="001834B9"/>
    <w:rsid w:val="0018359A"/>
    <w:rsid w:val="0018390F"/>
    <w:rsid w:val="0018415D"/>
    <w:rsid w:val="001842CD"/>
    <w:rsid w:val="00184339"/>
    <w:rsid w:val="00184522"/>
    <w:rsid w:val="001845E5"/>
    <w:rsid w:val="00184710"/>
    <w:rsid w:val="00184837"/>
    <w:rsid w:val="00184B6F"/>
    <w:rsid w:val="00184C37"/>
    <w:rsid w:val="001853D9"/>
    <w:rsid w:val="001857A2"/>
    <w:rsid w:val="00185FBA"/>
    <w:rsid w:val="00186044"/>
    <w:rsid w:val="00186614"/>
    <w:rsid w:val="001868A7"/>
    <w:rsid w:val="001868C8"/>
    <w:rsid w:val="00186941"/>
    <w:rsid w:val="00186C9B"/>
    <w:rsid w:val="00187387"/>
    <w:rsid w:val="001877A2"/>
    <w:rsid w:val="00187D1C"/>
    <w:rsid w:val="00187DD3"/>
    <w:rsid w:val="00187EA6"/>
    <w:rsid w:val="00190233"/>
    <w:rsid w:val="001903A5"/>
    <w:rsid w:val="001904AD"/>
    <w:rsid w:val="00190672"/>
    <w:rsid w:val="0019068F"/>
    <w:rsid w:val="0019072C"/>
    <w:rsid w:val="00190D89"/>
    <w:rsid w:val="00190EB4"/>
    <w:rsid w:val="00191253"/>
    <w:rsid w:val="00191271"/>
    <w:rsid w:val="0019143C"/>
    <w:rsid w:val="001918BE"/>
    <w:rsid w:val="001919A6"/>
    <w:rsid w:val="00191A0A"/>
    <w:rsid w:val="00191A65"/>
    <w:rsid w:val="00191CD6"/>
    <w:rsid w:val="0019237D"/>
    <w:rsid w:val="00192480"/>
    <w:rsid w:val="00192EDC"/>
    <w:rsid w:val="001936C9"/>
    <w:rsid w:val="0019373A"/>
    <w:rsid w:val="0019386B"/>
    <w:rsid w:val="00193A37"/>
    <w:rsid w:val="00193C5A"/>
    <w:rsid w:val="00193C83"/>
    <w:rsid w:val="00193CDD"/>
    <w:rsid w:val="0019430A"/>
    <w:rsid w:val="0019435D"/>
    <w:rsid w:val="001943E4"/>
    <w:rsid w:val="001945F4"/>
    <w:rsid w:val="001947D4"/>
    <w:rsid w:val="00194E0E"/>
    <w:rsid w:val="00195408"/>
    <w:rsid w:val="001957CF"/>
    <w:rsid w:val="0019585F"/>
    <w:rsid w:val="00195E0A"/>
    <w:rsid w:val="00195F4B"/>
    <w:rsid w:val="00196191"/>
    <w:rsid w:val="001964C9"/>
    <w:rsid w:val="00196771"/>
    <w:rsid w:val="00196CBD"/>
    <w:rsid w:val="00196D13"/>
    <w:rsid w:val="0019701A"/>
    <w:rsid w:val="00197656"/>
    <w:rsid w:val="00197724"/>
    <w:rsid w:val="001A0373"/>
    <w:rsid w:val="001A0636"/>
    <w:rsid w:val="001A07A7"/>
    <w:rsid w:val="001A0983"/>
    <w:rsid w:val="001A0B20"/>
    <w:rsid w:val="001A0E68"/>
    <w:rsid w:val="001A15AB"/>
    <w:rsid w:val="001A1FD8"/>
    <w:rsid w:val="001A24F2"/>
    <w:rsid w:val="001A27FC"/>
    <w:rsid w:val="001A2815"/>
    <w:rsid w:val="001A2A1F"/>
    <w:rsid w:val="001A2D70"/>
    <w:rsid w:val="001A2F4F"/>
    <w:rsid w:val="001A30F6"/>
    <w:rsid w:val="001A3596"/>
    <w:rsid w:val="001A3B54"/>
    <w:rsid w:val="001A3D80"/>
    <w:rsid w:val="001A4E70"/>
    <w:rsid w:val="001A5620"/>
    <w:rsid w:val="001A5DD0"/>
    <w:rsid w:val="001A5FBD"/>
    <w:rsid w:val="001A6551"/>
    <w:rsid w:val="001A66E6"/>
    <w:rsid w:val="001A67C2"/>
    <w:rsid w:val="001A69D4"/>
    <w:rsid w:val="001A6F7B"/>
    <w:rsid w:val="001A72E5"/>
    <w:rsid w:val="001A774A"/>
    <w:rsid w:val="001A7768"/>
    <w:rsid w:val="001A7D8E"/>
    <w:rsid w:val="001B0018"/>
    <w:rsid w:val="001B0859"/>
    <w:rsid w:val="001B0E21"/>
    <w:rsid w:val="001B0ED4"/>
    <w:rsid w:val="001B168B"/>
    <w:rsid w:val="001B16F3"/>
    <w:rsid w:val="001B1745"/>
    <w:rsid w:val="001B1761"/>
    <w:rsid w:val="001B17ED"/>
    <w:rsid w:val="001B1D0F"/>
    <w:rsid w:val="001B1DE1"/>
    <w:rsid w:val="001B1FD7"/>
    <w:rsid w:val="001B2929"/>
    <w:rsid w:val="001B2C7E"/>
    <w:rsid w:val="001B2E5B"/>
    <w:rsid w:val="001B33E3"/>
    <w:rsid w:val="001B34E9"/>
    <w:rsid w:val="001B3985"/>
    <w:rsid w:val="001B40AF"/>
    <w:rsid w:val="001B42E4"/>
    <w:rsid w:val="001B4359"/>
    <w:rsid w:val="001B43C1"/>
    <w:rsid w:val="001B4704"/>
    <w:rsid w:val="001B474E"/>
    <w:rsid w:val="001B4E30"/>
    <w:rsid w:val="001B529D"/>
    <w:rsid w:val="001B5412"/>
    <w:rsid w:val="001B5818"/>
    <w:rsid w:val="001B59EB"/>
    <w:rsid w:val="001B60A9"/>
    <w:rsid w:val="001B6622"/>
    <w:rsid w:val="001B6A40"/>
    <w:rsid w:val="001B6EA1"/>
    <w:rsid w:val="001B728D"/>
    <w:rsid w:val="001B7515"/>
    <w:rsid w:val="001B77D6"/>
    <w:rsid w:val="001B7AD8"/>
    <w:rsid w:val="001B7B6E"/>
    <w:rsid w:val="001B7CA6"/>
    <w:rsid w:val="001C02FE"/>
    <w:rsid w:val="001C0413"/>
    <w:rsid w:val="001C045C"/>
    <w:rsid w:val="001C0A2C"/>
    <w:rsid w:val="001C177C"/>
    <w:rsid w:val="001C1D49"/>
    <w:rsid w:val="001C1FD1"/>
    <w:rsid w:val="001C2073"/>
    <w:rsid w:val="001C2213"/>
    <w:rsid w:val="001C266D"/>
    <w:rsid w:val="001C2F50"/>
    <w:rsid w:val="001C32DA"/>
    <w:rsid w:val="001C3602"/>
    <w:rsid w:val="001C3927"/>
    <w:rsid w:val="001C3B7A"/>
    <w:rsid w:val="001C3B91"/>
    <w:rsid w:val="001C4842"/>
    <w:rsid w:val="001C48FC"/>
    <w:rsid w:val="001C4972"/>
    <w:rsid w:val="001C4FA8"/>
    <w:rsid w:val="001C5029"/>
    <w:rsid w:val="001C5C2F"/>
    <w:rsid w:val="001C5DA2"/>
    <w:rsid w:val="001C5EA2"/>
    <w:rsid w:val="001C66B6"/>
    <w:rsid w:val="001C69BF"/>
    <w:rsid w:val="001C6A81"/>
    <w:rsid w:val="001C6AAF"/>
    <w:rsid w:val="001C6AF9"/>
    <w:rsid w:val="001C6BC6"/>
    <w:rsid w:val="001C6C7A"/>
    <w:rsid w:val="001C700D"/>
    <w:rsid w:val="001C747E"/>
    <w:rsid w:val="001C7571"/>
    <w:rsid w:val="001C7B90"/>
    <w:rsid w:val="001C7D7D"/>
    <w:rsid w:val="001D025B"/>
    <w:rsid w:val="001D04C3"/>
    <w:rsid w:val="001D055D"/>
    <w:rsid w:val="001D07A1"/>
    <w:rsid w:val="001D07BE"/>
    <w:rsid w:val="001D0FC1"/>
    <w:rsid w:val="001D11C7"/>
    <w:rsid w:val="001D1453"/>
    <w:rsid w:val="001D14AB"/>
    <w:rsid w:val="001D1771"/>
    <w:rsid w:val="001D1ABB"/>
    <w:rsid w:val="001D1E32"/>
    <w:rsid w:val="001D1FCC"/>
    <w:rsid w:val="001D20BC"/>
    <w:rsid w:val="001D22BA"/>
    <w:rsid w:val="001D3403"/>
    <w:rsid w:val="001D3D22"/>
    <w:rsid w:val="001D431A"/>
    <w:rsid w:val="001D4586"/>
    <w:rsid w:val="001D5486"/>
    <w:rsid w:val="001D5540"/>
    <w:rsid w:val="001D5702"/>
    <w:rsid w:val="001D5FB3"/>
    <w:rsid w:val="001D638C"/>
    <w:rsid w:val="001D662E"/>
    <w:rsid w:val="001D6AD3"/>
    <w:rsid w:val="001D721C"/>
    <w:rsid w:val="001D7276"/>
    <w:rsid w:val="001D740C"/>
    <w:rsid w:val="001D746E"/>
    <w:rsid w:val="001E020E"/>
    <w:rsid w:val="001E05CF"/>
    <w:rsid w:val="001E07C2"/>
    <w:rsid w:val="001E099F"/>
    <w:rsid w:val="001E0AD7"/>
    <w:rsid w:val="001E0F9D"/>
    <w:rsid w:val="001E144E"/>
    <w:rsid w:val="001E14FE"/>
    <w:rsid w:val="001E1BCF"/>
    <w:rsid w:val="001E1DF5"/>
    <w:rsid w:val="001E224C"/>
    <w:rsid w:val="001E29D7"/>
    <w:rsid w:val="001E357B"/>
    <w:rsid w:val="001E3908"/>
    <w:rsid w:val="001E3DB9"/>
    <w:rsid w:val="001E4164"/>
    <w:rsid w:val="001E4B3E"/>
    <w:rsid w:val="001E4DBA"/>
    <w:rsid w:val="001E4EE5"/>
    <w:rsid w:val="001E4F0E"/>
    <w:rsid w:val="001E5233"/>
    <w:rsid w:val="001E5554"/>
    <w:rsid w:val="001E5603"/>
    <w:rsid w:val="001E5821"/>
    <w:rsid w:val="001E5A78"/>
    <w:rsid w:val="001E5BD5"/>
    <w:rsid w:val="001E5DD9"/>
    <w:rsid w:val="001E60CC"/>
    <w:rsid w:val="001E6239"/>
    <w:rsid w:val="001E630D"/>
    <w:rsid w:val="001E6312"/>
    <w:rsid w:val="001E68FC"/>
    <w:rsid w:val="001E69D7"/>
    <w:rsid w:val="001E6B49"/>
    <w:rsid w:val="001E6F7F"/>
    <w:rsid w:val="001E7026"/>
    <w:rsid w:val="001E70F5"/>
    <w:rsid w:val="001E7525"/>
    <w:rsid w:val="001E7C5F"/>
    <w:rsid w:val="001E7DD3"/>
    <w:rsid w:val="001F00C0"/>
    <w:rsid w:val="001F03B6"/>
    <w:rsid w:val="001F05BE"/>
    <w:rsid w:val="001F0E72"/>
    <w:rsid w:val="001F1023"/>
    <w:rsid w:val="001F10B8"/>
    <w:rsid w:val="001F18BE"/>
    <w:rsid w:val="001F18DF"/>
    <w:rsid w:val="001F19F3"/>
    <w:rsid w:val="001F1CEF"/>
    <w:rsid w:val="001F206E"/>
    <w:rsid w:val="001F2338"/>
    <w:rsid w:val="001F2438"/>
    <w:rsid w:val="001F2980"/>
    <w:rsid w:val="001F2BB5"/>
    <w:rsid w:val="001F3EEF"/>
    <w:rsid w:val="001F401D"/>
    <w:rsid w:val="001F4055"/>
    <w:rsid w:val="001F41EF"/>
    <w:rsid w:val="001F44C5"/>
    <w:rsid w:val="001F4C15"/>
    <w:rsid w:val="001F5018"/>
    <w:rsid w:val="001F5183"/>
    <w:rsid w:val="001F5409"/>
    <w:rsid w:val="001F579E"/>
    <w:rsid w:val="001F5C51"/>
    <w:rsid w:val="001F5F61"/>
    <w:rsid w:val="001F6849"/>
    <w:rsid w:val="001F6900"/>
    <w:rsid w:val="001F6D66"/>
    <w:rsid w:val="001F6E5E"/>
    <w:rsid w:val="001F6F30"/>
    <w:rsid w:val="001F6F78"/>
    <w:rsid w:val="001F748E"/>
    <w:rsid w:val="001F75B7"/>
    <w:rsid w:val="001F7E24"/>
    <w:rsid w:val="00200142"/>
    <w:rsid w:val="00200346"/>
    <w:rsid w:val="0020041C"/>
    <w:rsid w:val="0020053A"/>
    <w:rsid w:val="00200659"/>
    <w:rsid w:val="002006D4"/>
    <w:rsid w:val="00200A86"/>
    <w:rsid w:val="00200B92"/>
    <w:rsid w:val="00200C17"/>
    <w:rsid w:val="002017A4"/>
    <w:rsid w:val="00201C72"/>
    <w:rsid w:val="0020293B"/>
    <w:rsid w:val="00203C46"/>
    <w:rsid w:val="0020400B"/>
    <w:rsid w:val="002047D9"/>
    <w:rsid w:val="00204CAA"/>
    <w:rsid w:val="0020551F"/>
    <w:rsid w:val="002055AE"/>
    <w:rsid w:val="002057D5"/>
    <w:rsid w:val="0020587E"/>
    <w:rsid w:val="00205B38"/>
    <w:rsid w:val="0020614A"/>
    <w:rsid w:val="00206483"/>
    <w:rsid w:val="002064E5"/>
    <w:rsid w:val="002069EB"/>
    <w:rsid w:val="00206C08"/>
    <w:rsid w:val="00206D8E"/>
    <w:rsid w:val="00207033"/>
    <w:rsid w:val="002070F7"/>
    <w:rsid w:val="002073C0"/>
    <w:rsid w:val="00207AE7"/>
    <w:rsid w:val="00207F87"/>
    <w:rsid w:val="002102F2"/>
    <w:rsid w:val="00210611"/>
    <w:rsid w:val="00210896"/>
    <w:rsid w:val="00210946"/>
    <w:rsid w:val="002117A3"/>
    <w:rsid w:val="0021182A"/>
    <w:rsid w:val="00211E0A"/>
    <w:rsid w:val="002120FB"/>
    <w:rsid w:val="00212681"/>
    <w:rsid w:val="00212841"/>
    <w:rsid w:val="00212CDE"/>
    <w:rsid w:val="00212DCF"/>
    <w:rsid w:val="002131E0"/>
    <w:rsid w:val="002132BF"/>
    <w:rsid w:val="00213475"/>
    <w:rsid w:val="002134ED"/>
    <w:rsid w:val="00213712"/>
    <w:rsid w:val="002139F0"/>
    <w:rsid w:val="00213C00"/>
    <w:rsid w:val="00213C31"/>
    <w:rsid w:val="00213D02"/>
    <w:rsid w:val="00213D52"/>
    <w:rsid w:val="00213FF5"/>
    <w:rsid w:val="00214319"/>
    <w:rsid w:val="00214788"/>
    <w:rsid w:val="002150C4"/>
    <w:rsid w:val="00215116"/>
    <w:rsid w:val="0021563A"/>
    <w:rsid w:val="00215EDD"/>
    <w:rsid w:val="0021657A"/>
    <w:rsid w:val="002167A6"/>
    <w:rsid w:val="002167BB"/>
    <w:rsid w:val="00216E0E"/>
    <w:rsid w:val="00217064"/>
    <w:rsid w:val="00217257"/>
    <w:rsid w:val="00217BBE"/>
    <w:rsid w:val="00217EC1"/>
    <w:rsid w:val="002208F3"/>
    <w:rsid w:val="00220A55"/>
    <w:rsid w:val="00220C5B"/>
    <w:rsid w:val="00220F91"/>
    <w:rsid w:val="00221443"/>
    <w:rsid w:val="002214A1"/>
    <w:rsid w:val="00221A95"/>
    <w:rsid w:val="00221C6B"/>
    <w:rsid w:val="00222005"/>
    <w:rsid w:val="00222694"/>
    <w:rsid w:val="002226AD"/>
    <w:rsid w:val="002229DE"/>
    <w:rsid w:val="00222A0D"/>
    <w:rsid w:val="00222D5A"/>
    <w:rsid w:val="00222FF6"/>
    <w:rsid w:val="00223625"/>
    <w:rsid w:val="0022374C"/>
    <w:rsid w:val="002237CC"/>
    <w:rsid w:val="0022389E"/>
    <w:rsid w:val="002238E3"/>
    <w:rsid w:val="00223B1F"/>
    <w:rsid w:val="00223E26"/>
    <w:rsid w:val="00224545"/>
    <w:rsid w:val="002248E7"/>
    <w:rsid w:val="00224FE0"/>
    <w:rsid w:val="00225051"/>
    <w:rsid w:val="002255F7"/>
    <w:rsid w:val="0022577A"/>
    <w:rsid w:val="0022591B"/>
    <w:rsid w:val="002259C5"/>
    <w:rsid w:val="00225AF8"/>
    <w:rsid w:val="00226049"/>
    <w:rsid w:val="00226D30"/>
    <w:rsid w:val="00226FA4"/>
    <w:rsid w:val="002271BF"/>
    <w:rsid w:val="002271F8"/>
    <w:rsid w:val="002273EE"/>
    <w:rsid w:val="00227F54"/>
    <w:rsid w:val="0023060A"/>
    <w:rsid w:val="0023068F"/>
    <w:rsid w:val="00230730"/>
    <w:rsid w:val="00231272"/>
    <w:rsid w:val="002315E3"/>
    <w:rsid w:val="002315EE"/>
    <w:rsid w:val="002315FD"/>
    <w:rsid w:val="002321EA"/>
    <w:rsid w:val="00232D29"/>
    <w:rsid w:val="00232F8D"/>
    <w:rsid w:val="002331E6"/>
    <w:rsid w:val="002331E8"/>
    <w:rsid w:val="00233820"/>
    <w:rsid w:val="00233E04"/>
    <w:rsid w:val="002346CC"/>
    <w:rsid w:val="0023504D"/>
    <w:rsid w:val="002351DC"/>
    <w:rsid w:val="0023541E"/>
    <w:rsid w:val="00235908"/>
    <w:rsid w:val="00235EFD"/>
    <w:rsid w:val="0023603F"/>
    <w:rsid w:val="0023646B"/>
    <w:rsid w:val="0023666F"/>
    <w:rsid w:val="00236783"/>
    <w:rsid w:val="0023682F"/>
    <w:rsid w:val="00240069"/>
    <w:rsid w:val="0024066C"/>
    <w:rsid w:val="00240883"/>
    <w:rsid w:val="002408EA"/>
    <w:rsid w:val="0024093A"/>
    <w:rsid w:val="0024103D"/>
    <w:rsid w:val="00241244"/>
    <w:rsid w:val="002414B9"/>
    <w:rsid w:val="0024167F"/>
    <w:rsid w:val="00241A5B"/>
    <w:rsid w:val="00241AB2"/>
    <w:rsid w:val="00242A82"/>
    <w:rsid w:val="0024355D"/>
    <w:rsid w:val="002438FD"/>
    <w:rsid w:val="00243DE9"/>
    <w:rsid w:val="00243DED"/>
    <w:rsid w:val="00243F9E"/>
    <w:rsid w:val="002442B2"/>
    <w:rsid w:val="00244414"/>
    <w:rsid w:val="0024459A"/>
    <w:rsid w:val="00244A13"/>
    <w:rsid w:val="00244A80"/>
    <w:rsid w:val="00245C26"/>
    <w:rsid w:val="00245DA6"/>
    <w:rsid w:val="0024627E"/>
    <w:rsid w:val="00246D44"/>
    <w:rsid w:val="0024700B"/>
    <w:rsid w:val="0024732B"/>
    <w:rsid w:val="002473E4"/>
    <w:rsid w:val="00247707"/>
    <w:rsid w:val="00250238"/>
    <w:rsid w:val="00250287"/>
    <w:rsid w:val="0025030B"/>
    <w:rsid w:val="0025049D"/>
    <w:rsid w:val="00250B93"/>
    <w:rsid w:val="00250D06"/>
    <w:rsid w:val="00250DB4"/>
    <w:rsid w:val="002512B8"/>
    <w:rsid w:val="00251303"/>
    <w:rsid w:val="002513EB"/>
    <w:rsid w:val="00251436"/>
    <w:rsid w:val="002519D2"/>
    <w:rsid w:val="00251F7B"/>
    <w:rsid w:val="00252062"/>
    <w:rsid w:val="0025209F"/>
    <w:rsid w:val="002522BE"/>
    <w:rsid w:val="00252847"/>
    <w:rsid w:val="00253683"/>
    <w:rsid w:val="002539EE"/>
    <w:rsid w:val="00254548"/>
    <w:rsid w:val="0025463C"/>
    <w:rsid w:val="0025470B"/>
    <w:rsid w:val="00254C38"/>
    <w:rsid w:val="00255093"/>
    <w:rsid w:val="00255185"/>
    <w:rsid w:val="002553CC"/>
    <w:rsid w:val="002558BB"/>
    <w:rsid w:val="00256196"/>
    <w:rsid w:val="002566D5"/>
    <w:rsid w:val="0025686D"/>
    <w:rsid w:val="00256A68"/>
    <w:rsid w:val="00256FDA"/>
    <w:rsid w:val="0025700F"/>
    <w:rsid w:val="00257BD1"/>
    <w:rsid w:val="00257BEE"/>
    <w:rsid w:val="00257C33"/>
    <w:rsid w:val="00257E15"/>
    <w:rsid w:val="00257FB1"/>
    <w:rsid w:val="0026089E"/>
    <w:rsid w:val="00260A6E"/>
    <w:rsid w:val="00260C5D"/>
    <w:rsid w:val="002611E9"/>
    <w:rsid w:val="00261213"/>
    <w:rsid w:val="00261391"/>
    <w:rsid w:val="002613FC"/>
    <w:rsid w:val="00261482"/>
    <w:rsid w:val="002619AB"/>
    <w:rsid w:val="00262BBB"/>
    <w:rsid w:val="002631CD"/>
    <w:rsid w:val="00263979"/>
    <w:rsid w:val="00264247"/>
    <w:rsid w:val="0026435E"/>
    <w:rsid w:val="002643FB"/>
    <w:rsid w:val="00264498"/>
    <w:rsid w:val="00264DB5"/>
    <w:rsid w:val="00265117"/>
    <w:rsid w:val="0026527E"/>
    <w:rsid w:val="002653AE"/>
    <w:rsid w:val="002658D9"/>
    <w:rsid w:val="00265910"/>
    <w:rsid w:val="00265CB9"/>
    <w:rsid w:val="00265DDE"/>
    <w:rsid w:val="0026682F"/>
    <w:rsid w:val="00266A17"/>
    <w:rsid w:val="00267493"/>
    <w:rsid w:val="00267574"/>
    <w:rsid w:val="00267884"/>
    <w:rsid w:val="00267981"/>
    <w:rsid w:val="00267B37"/>
    <w:rsid w:val="00267D0C"/>
    <w:rsid w:val="00267DD9"/>
    <w:rsid w:val="00267F52"/>
    <w:rsid w:val="00270150"/>
    <w:rsid w:val="002702CB"/>
    <w:rsid w:val="0027056F"/>
    <w:rsid w:val="00270769"/>
    <w:rsid w:val="0027076F"/>
    <w:rsid w:val="00270D0F"/>
    <w:rsid w:val="00270D22"/>
    <w:rsid w:val="0027156D"/>
    <w:rsid w:val="002715E0"/>
    <w:rsid w:val="00271CF0"/>
    <w:rsid w:val="00272CA1"/>
    <w:rsid w:val="00272F67"/>
    <w:rsid w:val="002736AC"/>
    <w:rsid w:val="002736F1"/>
    <w:rsid w:val="00273896"/>
    <w:rsid w:val="00273928"/>
    <w:rsid w:val="00273B9A"/>
    <w:rsid w:val="00273D9F"/>
    <w:rsid w:val="00273EC4"/>
    <w:rsid w:val="00274010"/>
    <w:rsid w:val="002741AC"/>
    <w:rsid w:val="00274480"/>
    <w:rsid w:val="002747C9"/>
    <w:rsid w:val="002747E9"/>
    <w:rsid w:val="00274C47"/>
    <w:rsid w:val="00274DF2"/>
    <w:rsid w:val="0027509F"/>
    <w:rsid w:val="002752C9"/>
    <w:rsid w:val="002753D4"/>
    <w:rsid w:val="002756BF"/>
    <w:rsid w:val="00275BBD"/>
    <w:rsid w:val="00275D66"/>
    <w:rsid w:val="00275DEE"/>
    <w:rsid w:val="0027602F"/>
    <w:rsid w:val="002762EB"/>
    <w:rsid w:val="002764EF"/>
    <w:rsid w:val="00276CD5"/>
    <w:rsid w:val="00277654"/>
    <w:rsid w:val="002779FE"/>
    <w:rsid w:val="00280031"/>
    <w:rsid w:val="002800D9"/>
    <w:rsid w:val="00280492"/>
    <w:rsid w:val="0028059B"/>
    <w:rsid w:val="00280DEB"/>
    <w:rsid w:val="0028108D"/>
    <w:rsid w:val="002810D1"/>
    <w:rsid w:val="00281DE7"/>
    <w:rsid w:val="00281EB2"/>
    <w:rsid w:val="00281EF5"/>
    <w:rsid w:val="0028249A"/>
    <w:rsid w:val="00282526"/>
    <w:rsid w:val="002827EE"/>
    <w:rsid w:val="00282972"/>
    <w:rsid w:val="00282D49"/>
    <w:rsid w:val="00282DE2"/>
    <w:rsid w:val="00282F43"/>
    <w:rsid w:val="0028329D"/>
    <w:rsid w:val="0028384C"/>
    <w:rsid w:val="00283C25"/>
    <w:rsid w:val="00283CDB"/>
    <w:rsid w:val="00283F58"/>
    <w:rsid w:val="0028429E"/>
    <w:rsid w:val="00284341"/>
    <w:rsid w:val="0028458B"/>
    <w:rsid w:val="00284CA7"/>
    <w:rsid w:val="002857C5"/>
    <w:rsid w:val="00285BE1"/>
    <w:rsid w:val="00285D93"/>
    <w:rsid w:val="00285E70"/>
    <w:rsid w:val="00286CC6"/>
    <w:rsid w:val="00286E04"/>
    <w:rsid w:val="0028732F"/>
    <w:rsid w:val="0028768F"/>
    <w:rsid w:val="002877C9"/>
    <w:rsid w:val="0028792A"/>
    <w:rsid w:val="002879A8"/>
    <w:rsid w:val="00287D0B"/>
    <w:rsid w:val="00287E68"/>
    <w:rsid w:val="002908CD"/>
    <w:rsid w:val="00290BB0"/>
    <w:rsid w:val="00290DDB"/>
    <w:rsid w:val="002911C3"/>
    <w:rsid w:val="002912A0"/>
    <w:rsid w:val="00291511"/>
    <w:rsid w:val="00291714"/>
    <w:rsid w:val="00291C9B"/>
    <w:rsid w:val="0029282E"/>
    <w:rsid w:val="0029312C"/>
    <w:rsid w:val="00293619"/>
    <w:rsid w:val="002936B6"/>
    <w:rsid w:val="00293BCC"/>
    <w:rsid w:val="00294429"/>
    <w:rsid w:val="0029445B"/>
    <w:rsid w:val="00294735"/>
    <w:rsid w:val="00294865"/>
    <w:rsid w:val="00294BE2"/>
    <w:rsid w:val="00294F3E"/>
    <w:rsid w:val="00294F41"/>
    <w:rsid w:val="00295103"/>
    <w:rsid w:val="00295170"/>
    <w:rsid w:val="002955C6"/>
    <w:rsid w:val="00295C13"/>
    <w:rsid w:val="00295CF7"/>
    <w:rsid w:val="00296059"/>
    <w:rsid w:val="002964DC"/>
    <w:rsid w:val="00296A6D"/>
    <w:rsid w:val="00297B2E"/>
    <w:rsid w:val="00297E83"/>
    <w:rsid w:val="00297FCE"/>
    <w:rsid w:val="002A0750"/>
    <w:rsid w:val="002A09D4"/>
    <w:rsid w:val="002A1B7F"/>
    <w:rsid w:val="002A2455"/>
    <w:rsid w:val="002A27A1"/>
    <w:rsid w:val="002A2C51"/>
    <w:rsid w:val="002A3217"/>
    <w:rsid w:val="002A424C"/>
    <w:rsid w:val="002A42FC"/>
    <w:rsid w:val="002A44F2"/>
    <w:rsid w:val="002A50B5"/>
    <w:rsid w:val="002A51B1"/>
    <w:rsid w:val="002A5676"/>
    <w:rsid w:val="002A5EC5"/>
    <w:rsid w:val="002A6393"/>
    <w:rsid w:val="002A63C9"/>
    <w:rsid w:val="002A672B"/>
    <w:rsid w:val="002A67C0"/>
    <w:rsid w:val="002A6A6C"/>
    <w:rsid w:val="002A6AD1"/>
    <w:rsid w:val="002A6AD2"/>
    <w:rsid w:val="002A6E93"/>
    <w:rsid w:val="002A6F32"/>
    <w:rsid w:val="002A73E5"/>
    <w:rsid w:val="002A74BB"/>
    <w:rsid w:val="002A787B"/>
    <w:rsid w:val="002A7BBB"/>
    <w:rsid w:val="002A7DFA"/>
    <w:rsid w:val="002A7EB9"/>
    <w:rsid w:val="002A7EC4"/>
    <w:rsid w:val="002B0579"/>
    <w:rsid w:val="002B0609"/>
    <w:rsid w:val="002B13EE"/>
    <w:rsid w:val="002B1A8E"/>
    <w:rsid w:val="002B1CEC"/>
    <w:rsid w:val="002B1FD7"/>
    <w:rsid w:val="002B2085"/>
    <w:rsid w:val="002B22C7"/>
    <w:rsid w:val="002B2592"/>
    <w:rsid w:val="002B2D06"/>
    <w:rsid w:val="002B2D84"/>
    <w:rsid w:val="002B2E06"/>
    <w:rsid w:val="002B2F9F"/>
    <w:rsid w:val="002B330F"/>
    <w:rsid w:val="002B3781"/>
    <w:rsid w:val="002B38CD"/>
    <w:rsid w:val="002B3979"/>
    <w:rsid w:val="002B3B55"/>
    <w:rsid w:val="002B3BFF"/>
    <w:rsid w:val="002B3D4A"/>
    <w:rsid w:val="002B3DD7"/>
    <w:rsid w:val="002B3F7E"/>
    <w:rsid w:val="002B3FD9"/>
    <w:rsid w:val="002B4A1F"/>
    <w:rsid w:val="002B5386"/>
    <w:rsid w:val="002B5534"/>
    <w:rsid w:val="002B5978"/>
    <w:rsid w:val="002B597A"/>
    <w:rsid w:val="002B5993"/>
    <w:rsid w:val="002B59C7"/>
    <w:rsid w:val="002B5AEC"/>
    <w:rsid w:val="002B5CCB"/>
    <w:rsid w:val="002B5CCD"/>
    <w:rsid w:val="002B5E65"/>
    <w:rsid w:val="002B5FC4"/>
    <w:rsid w:val="002B683E"/>
    <w:rsid w:val="002B6906"/>
    <w:rsid w:val="002B6AC7"/>
    <w:rsid w:val="002B78CD"/>
    <w:rsid w:val="002B7B39"/>
    <w:rsid w:val="002B7DE0"/>
    <w:rsid w:val="002C023B"/>
    <w:rsid w:val="002C0A52"/>
    <w:rsid w:val="002C1001"/>
    <w:rsid w:val="002C18C1"/>
    <w:rsid w:val="002C212B"/>
    <w:rsid w:val="002C21E7"/>
    <w:rsid w:val="002C2340"/>
    <w:rsid w:val="002C265E"/>
    <w:rsid w:val="002C2974"/>
    <w:rsid w:val="002C29DE"/>
    <w:rsid w:val="002C2A47"/>
    <w:rsid w:val="002C2B49"/>
    <w:rsid w:val="002C2BFD"/>
    <w:rsid w:val="002C2CC8"/>
    <w:rsid w:val="002C30A9"/>
    <w:rsid w:val="002C3757"/>
    <w:rsid w:val="002C3D14"/>
    <w:rsid w:val="002C408F"/>
    <w:rsid w:val="002C4286"/>
    <w:rsid w:val="002C4768"/>
    <w:rsid w:val="002C4DC0"/>
    <w:rsid w:val="002C57FA"/>
    <w:rsid w:val="002C5A1D"/>
    <w:rsid w:val="002C5A7D"/>
    <w:rsid w:val="002C5F99"/>
    <w:rsid w:val="002C68A7"/>
    <w:rsid w:val="002C6B41"/>
    <w:rsid w:val="002C72E3"/>
    <w:rsid w:val="002C74C6"/>
    <w:rsid w:val="002C7626"/>
    <w:rsid w:val="002D0A0D"/>
    <w:rsid w:val="002D0E25"/>
    <w:rsid w:val="002D0EF9"/>
    <w:rsid w:val="002D1CAF"/>
    <w:rsid w:val="002D1EF1"/>
    <w:rsid w:val="002D1FEF"/>
    <w:rsid w:val="002D2382"/>
    <w:rsid w:val="002D265A"/>
    <w:rsid w:val="002D272D"/>
    <w:rsid w:val="002D278D"/>
    <w:rsid w:val="002D29FD"/>
    <w:rsid w:val="002D2A69"/>
    <w:rsid w:val="002D3190"/>
    <w:rsid w:val="002D3752"/>
    <w:rsid w:val="002D38B6"/>
    <w:rsid w:val="002D3EE2"/>
    <w:rsid w:val="002D4082"/>
    <w:rsid w:val="002D4153"/>
    <w:rsid w:val="002D4D8F"/>
    <w:rsid w:val="002D4E60"/>
    <w:rsid w:val="002D4EA2"/>
    <w:rsid w:val="002D5484"/>
    <w:rsid w:val="002D555E"/>
    <w:rsid w:val="002D5E17"/>
    <w:rsid w:val="002D60BE"/>
    <w:rsid w:val="002D61F4"/>
    <w:rsid w:val="002D665F"/>
    <w:rsid w:val="002D6E07"/>
    <w:rsid w:val="002D6FE7"/>
    <w:rsid w:val="002D7009"/>
    <w:rsid w:val="002D7119"/>
    <w:rsid w:val="002D7684"/>
    <w:rsid w:val="002D7764"/>
    <w:rsid w:val="002D7F1C"/>
    <w:rsid w:val="002E00C9"/>
    <w:rsid w:val="002E075E"/>
    <w:rsid w:val="002E079C"/>
    <w:rsid w:val="002E0940"/>
    <w:rsid w:val="002E0AAB"/>
    <w:rsid w:val="002E0E4D"/>
    <w:rsid w:val="002E124C"/>
    <w:rsid w:val="002E145E"/>
    <w:rsid w:val="002E1A0F"/>
    <w:rsid w:val="002E1A4C"/>
    <w:rsid w:val="002E1AFF"/>
    <w:rsid w:val="002E1D93"/>
    <w:rsid w:val="002E2169"/>
    <w:rsid w:val="002E245A"/>
    <w:rsid w:val="002E2676"/>
    <w:rsid w:val="002E28C9"/>
    <w:rsid w:val="002E2BC8"/>
    <w:rsid w:val="002E2F90"/>
    <w:rsid w:val="002E30BE"/>
    <w:rsid w:val="002E40B6"/>
    <w:rsid w:val="002E423E"/>
    <w:rsid w:val="002E46EB"/>
    <w:rsid w:val="002E482D"/>
    <w:rsid w:val="002E49CD"/>
    <w:rsid w:val="002E4B6E"/>
    <w:rsid w:val="002E5285"/>
    <w:rsid w:val="002E53B7"/>
    <w:rsid w:val="002E56E8"/>
    <w:rsid w:val="002E59DD"/>
    <w:rsid w:val="002E5AA2"/>
    <w:rsid w:val="002E6198"/>
    <w:rsid w:val="002E6641"/>
    <w:rsid w:val="002E6AC1"/>
    <w:rsid w:val="002E6CDC"/>
    <w:rsid w:val="002E6E84"/>
    <w:rsid w:val="002E6FFA"/>
    <w:rsid w:val="002E74EE"/>
    <w:rsid w:val="002E7C86"/>
    <w:rsid w:val="002E7C92"/>
    <w:rsid w:val="002F010F"/>
    <w:rsid w:val="002F0126"/>
    <w:rsid w:val="002F01AD"/>
    <w:rsid w:val="002F0548"/>
    <w:rsid w:val="002F0584"/>
    <w:rsid w:val="002F08EA"/>
    <w:rsid w:val="002F08F3"/>
    <w:rsid w:val="002F0A17"/>
    <w:rsid w:val="002F112A"/>
    <w:rsid w:val="002F1598"/>
    <w:rsid w:val="002F19D5"/>
    <w:rsid w:val="002F1B82"/>
    <w:rsid w:val="002F1EE1"/>
    <w:rsid w:val="002F1F58"/>
    <w:rsid w:val="002F21A5"/>
    <w:rsid w:val="002F220D"/>
    <w:rsid w:val="002F26D3"/>
    <w:rsid w:val="002F2A37"/>
    <w:rsid w:val="002F2B24"/>
    <w:rsid w:val="002F3382"/>
    <w:rsid w:val="002F38A3"/>
    <w:rsid w:val="002F3DA0"/>
    <w:rsid w:val="002F3FF0"/>
    <w:rsid w:val="002F4223"/>
    <w:rsid w:val="002F4275"/>
    <w:rsid w:val="002F4C4E"/>
    <w:rsid w:val="002F4CAE"/>
    <w:rsid w:val="002F4FE7"/>
    <w:rsid w:val="002F51FA"/>
    <w:rsid w:val="002F56E8"/>
    <w:rsid w:val="002F5D6F"/>
    <w:rsid w:val="002F6196"/>
    <w:rsid w:val="002F6713"/>
    <w:rsid w:val="002F6881"/>
    <w:rsid w:val="002F6D9E"/>
    <w:rsid w:val="002F6FF8"/>
    <w:rsid w:val="002F7315"/>
    <w:rsid w:val="002F746C"/>
    <w:rsid w:val="002F77D5"/>
    <w:rsid w:val="002F79A8"/>
    <w:rsid w:val="002F7A09"/>
    <w:rsid w:val="002F7BE0"/>
    <w:rsid w:val="0030004B"/>
    <w:rsid w:val="00300138"/>
    <w:rsid w:val="003011EB"/>
    <w:rsid w:val="003015F9"/>
    <w:rsid w:val="0030170C"/>
    <w:rsid w:val="00301726"/>
    <w:rsid w:val="00301A48"/>
    <w:rsid w:val="00301D4C"/>
    <w:rsid w:val="00302284"/>
    <w:rsid w:val="003022E8"/>
    <w:rsid w:val="0030246E"/>
    <w:rsid w:val="0030265B"/>
    <w:rsid w:val="00302C48"/>
    <w:rsid w:val="00303264"/>
    <w:rsid w:val="00303A5C"/>
    <w:rsid w:val="003041AB"/>
    <w:rsid w:val="00304352"/>
    <w:rsid w:val="00304653"/>
    <w:rsid w:val="00304809"/>
    <w:rsid w:val="00304AA2"/>
    <w:rsid w:val="00304C2C"/>
    <w:rsid w:val="00304CB0"/>
    <w:rsid w:val="00304FA3"/>
    <w:rsid w:val="00305252"/>
    <w:rsid w:val="00306196"/>
    <w:rsid w:val="00306307"/>
    <w:rsid w:val="00306483"/>
    <w:rsid w:val="0030691F"/>
    <w:rsid w:val="00306B62"/>
    <w:rsid w:val="00306D1D"/>
    <w:rsid w:val="00306E53"/>
    <w:rsid w:val="00307260"/>
    <w:rsid w:val="003079CD"/>
    <w:rsid w:val="00307A61"/>
    <w:rsid w:val="00307EE2"/>
    <w:rsid w:val="003105DC"/>
    <w:rsid w:val="0031070E"/>
    <w:rsid w:val="00310BAF"/>
    <w:rsid w:val="00311B43"/>
    <w:rsid w:val="0031286B"/>
    <w:rsid w:val="00312DF1"/>
    <w:rsid w:val="00313014"/>
    <w:rsid w:val="003130BD"/>
    <w:rsid w:val="0031388C"/>
    <w:rsid w:val="003138B2"/>
    <w:rsid w:val="00313DFC"/>
    <w:rsid w:val="00313F97"/>
    <w:rsid w:val="003142DA"/>
    <w:rsid w:val="003144B2"/>
    <w:rsid w:val="0031459C"/>
    <w:rsid w:val="0031501E"/>
    <w:rsid w:val="0031522F"/>
    <w:rsid w:val="003157C9"/>
    <w:rsid w:val="003158ED"/>
    <w:rsid w:val="003161E8"/>
    <w:rsid w:val="00316202"/>
    <w:rsid w:val="00316764"/>
    <w:rsid w:val="00316DD7"/>
    <w:rsid w:val="00316E0B"/>
    <w:rsid w:val="00316F89"/>
    <w:rsid w:val="00317150"/>
    <w:rsid w:val="00320C61"/>
    <w:rsid w:val="00321040"/>
    <w:rsid w:val="00321286"/>
    <w:rsid w:val="00321471"/>
    <w:rsid w:val="00321806"/>
    <w:rsid w:val="00321B6B"/>
    <w:rsid w:val="00322562"/>
    <w:rsid w:val="003225B0"/>
    <w:rsid w:val="00322778"/>
    <w:rsid w:val="00322836"/>
    <w:rsid w:val="00322846"/>
    <w:rsid w:val="00322AF2"/>
    <w:rsid w:val="00322C91"/>
    <w:rsid w:val="00322EBF"/>
    <w:rsid w:val="00322EDC"/>
    <w:rsid w:val="003233E8"/>
    <w:rsid w:val="00323701"/>
    <w:rsid w:val="003238FA"/>
    <w:rsid w:val="00323BB7"/>
    <w:rsid w:val="00323FA4"/>
    <w:rsid w:val="003245C2"/>
    <w:rsid w:val="00324822"/>
    <w:rsid w:val="003248F9"/>
    <w:rsid w:val="00324D0A"/>
    <w:rsid w:val="0032509E"/>
    <w:rsid w:val="00325B54"/>
    <w:rsid w:val="00325DC9"/>
    <w:rsid w:val="003261F7"/>
    <w:rsid w:val="00326235"/>
    <w:rsid w:val="00326270"/>
    <w:rsid w:val="00326B13"/>
    <w:rsid w:val="003279B3"/>
    <w:rsid w:val="00327B1E"/>
    <w:rsid w:val="00327F2D"/>
    <w:rsid w:val="00330022"/>
    <w:rsid w:val="003304E7"/>
    <w:rsid w:val="003306C0"/>
    <w:rsid w:val="003307C8"/>
    <w:rsid w:val="003308BF"/>
    <w:rsid w:val="003308E7"/>
    <w:rsid w:val="003309FF"/>
    <w:rsid w:val="00330B2E"/>
    <w:rsid w:val="00330D77"/>
    <w:rsid w:val="00330FCF"/>
    <w:rsid w:val="00331BAD"/>
    <w:rsid w:val="00331BF2"/>
    <w:rsid w:val="00331E58"/>
    <w:rsid w:val="00331F40"/>
    <w:rsid w:val="00331FD4"/>
    <w:rsid w:val="0033339A"/>
    <w:rsid w:val="0033350B"/>
    <w:rsid w:val="00334052"/>
    <w:rsid w:val="00334AAD"/>
    <w:rsid w:val="00334C78"/>
    <w:rsid w:val="00334C9D"/>
    <w:rsid w:val="003353B3"/>
    <w:rsid w:val="00335574"/>
    <w:rsid w:val="0033558D"/>
    <w:rsid w:val="003356EB"/>
    <w:rsid w:val="003358BC"/>
    <w:rsid w:val="00335A62"/>
    <w:rsid w:val="00336069"/>
    <w:rsid w:val="003362B6"/>
    <w:rsid w:val="003366D1"/>
    <w:rsid w:val="00336EEC"/>
    <w:rsid w:val="00337062"/>
    <w:rsid w:val="003371D2"/>
    <w:rsid w:val="003372B0"/>
    <w:rsid w:val="00337BE2"/>
    <w:rsid w:val="00337E46"/>
    <w:rsid w:val="00340276"/>
    <w:rsid w:val="0034088D"/>
    <w:rsid w:val="00340E2F"/>
    <w:rsid w:val="003412BD"/>
    <w:rsid w:val="00341C35"/>
    <w:rsid w:val="00342043"/>
    <w:rsid w:val="003427DE"/>
    <w:rsid w:val="00342E8A"/>
    <w:rsid w:val="00342EFB"/>
    <w:rsid w:val="003437F1"/>
    <w:rsid w:val="00343A50"/>
    <w:rsid w:val="00343E13"/>
    <w:rsid w:val="00343F00"/>
    <w:rsid w:val="00343F61"/>
    <w:rsid w:val="0034417E"/>
    <w:rsid w:val="00344712"/>
    <w:rsid w:val="003447A3"/>
    <w:rsid w:val="00344A9D"/>
    <w:rsid w:val="00344C55"/>
    <w:rsid w:val="0034585F"/>
    <w:rsid w:val="00346156"/>
    <w:rsid w:val="0034675C"/>
    <w:rsid w:val="00346A63"/>
    <w:rsid w:val="00347462"/>
    <w:rsid w:val="00347843"/>
    <w:rsid w:val="00347CAE"/>
    <w:rsid w:val="00347EB9"/>
    <w:rsid w:val="00350111"/>
    <w:rsid w:val="003502D9"/>
    <w:rsid w:val="00350341"/>
    <w:rsid w:val="00350657"/>
    <w:rsid w:val="00350898"/>
    <w:rsid w:val="003509C3"/>
    <w:rsid w:val="00351296"/>
    <w:rsid w:val="00351708"/>
    <w:rsid w:val="003519E0"/>
    <w:rsid w:val="00351DA1"/>
    <w:rsid w:val="00351E61"/>
    <w:rsid w:val="00351EA2"/>
    <w:rsid w:val="003520D1"/>
    <w:rsid w:val="00352151"/>
    <w:rsid w:val="00352239"/>
    <w:rsid w:val="00352A13"/>
    <w:rsid w:val="00352D7D"/>
    <w:rsid w:val="00353000"/>
    <w:rsid w:val="00353156"/>
    <w:rsid w:val="0035316B"/>
    <w:rsid w:val="0035337F"/>
    <w:rsid w:val="00353541"/>
    <w:rsid w:val="00353D0A"/>
    <w:rsid w:val="00353D88"/>
    <w:rsid w:val="00353EA7"/>
    <w:rsid w:val="003542A8"/>
    <w:rsid w:val="003546F8"/>
    <w:rsid w:val="00354712"/>
    <w:rsid w:val="0035472C"/>
    <w:rsid w:val="00354973"/>
    <w:rsid w:val="00354CB6"/>
    <w:rsid w:val="003554BF"/>
    <w:rsid w:val="003559DB"/>
    <w:rsid w:val="00355CC0"/>
    <w:rsid w:val="003562D0"/>
    <w:rsid w:val="003563A3"/>
    <w:rsid w:val="003566FD"/>
    <w:rsid w:val="003569A7"/>
    <w:rsid w:val="00356B49"/>
    <w:rsid w:val="00356BB4"/>
    <w:rsid w:val="00357323"/>
    <w:rsid w:val="00357624"/>
    <w:rsid w:val="003579EF"/>
    <w:rsid w:val="00357D6A"/>
    <w:rsid w:val="00360A72"/>
    <w:rsid w:val="00360C6F"/>
    <w:rsid w:val="00360CCC"/>
    <w:rsid w:val="00360D24"/>
    <w:rsid w:val="00360D93"/>
    <w:rsid w:val="003610E1"/>
    <w:rsid w:val="003612AD"/>
    <w:rsid w:val="00361447"/>
    <w:rsid w:val="003614B4"/>
    <w:rsid w:val="0036158C"/>
    <w:rsid w:val="00361E68"/>
    <w:rsid w:val="003622D2"/>
    <w:rsid w:val="003622D9"/>
    <w:rsid w:val="003624CF"/>
    <w:rsid w:val="0036295E"/>
    <w:rsid w:val="003632F9"/>
    <w:rsid w:val="003634D4"/>
    <w:rsid w:val="0036359B"/>
    <w:rsid w:val="003635CF"/>
    <w:rsid w:val="00363728"/>
    <w:rsid w:val="00363A1B"/>
    <w:rsid w:val="00363B27"/>
    <w:rsid w:val="0036452E"/>
    <w:rsid w:val="003649B9"/>
    <w:rsid w:val="00364BEA"/>
    <w:rsid w:val="00364D96"/>
    <w:rsid w:val="0036518E"/>
    <w:rsid w:val="00365C0B"/>
    <w:rsid w:val="00365CF9"/>
    <w:rsid w:val="00366088"/>
    <w:rsid w:val="003660E4"/>
    <w:rsid w:val="00366124"/>
    <w:rsid w:val="003670E0"/>
    <w:rsid w:val="0036783C"/>
    <w:rsid w:val="003678D1"/>
    <w:rsid w:val="00370004"/>
    <w:rsid w:val="0037022F"/>
    <w:rsid w:val="00370862"/>
    <w:rsid w:val="00370A46"/>
    <w:rsid w:val="00370D4A"/>
    <w:rsid w:val="003710D1"/>
    <w:rsid w:val="003711BD"/>
    <w:rsid w:val="003711EF"/>
    <w:rsid w:val="00371ED3"/>
    <w:rsid w:val="00371F76"/>
    <w:rsid w:val="00372B2C"/>
    <w:rsid w:val="00372E94"/>
    <w:rsid w:val="00372F55"/>
    <w:rsid w:val="0037330B"/>
    <w:rsid w:val="0037359E"/>
    <w:rsid w:val="003739D4"/>
    <w:rsid w:val="00373A39"/>
    <w:rsid w:val="003741A2"/>
    <w:rsid w:val="00374588"/>
    <w:rsid w:val="003747B3"/>
    <w:rsid w:val="0037485B"/>
    <w:rsid w:val="003748C0"/>
    <w:rsid w:val="00374A41"/>
    <w:rsid w:val="00374C54"/>
    <w:rsid w:val="00374C7C"/>
    <w:rsid w:val="00375558"/>
    <w:rsid w:val="00375BE3"/>
    <w:rsid w:val="00375CF7"/>
    <w:rsid w:val="00376D9D"/>
    <w:rsid w:val="00376F3B"/>
    <w:rsid w:val="003770AA"/>
    <w:rsid w:val="00377182"/>
    <w:rsid w:val="003777F9"/>
    <w:rsid w:val="0037783B"/>
    <w:rsid w:val="00377AC9"/>
    <w:rsid w:val="00377ED6"/>
    <w:rsid w:val="003800D1"/>
    <w:rsid w:val="003803FB"/>
    <w:rsid w:val="00380A70"/>
    <w:rsid w:val="00380B79"/>
    <w:rsid w:val="00380B8A"/>
    <w:rsid w:val="00380CDE"/>
    <w:rsid w:val="00381198"/>
    <w:rsid w:val="00381687"/>
    <w:rsid w:val="00382212"/>
    <w:rsid w:val="00382806"/>
    <w:rsid w:val="003828C8"/>
    <w:rsid w:val="00382E84"/>
    <w:rsid w:val="003831E5"/>
    <w:rsid w:val="003832CB"/>
    <w:rsid w:val="003841FE"/>
    <w:rsid w:val="00384F25"/>
    <w:rsid w:val="003856E0"/>
    <w:rsid w:val="003856E3"/>
    <w:rsid w:val="00385A2A"/>
    <w:rsid w:val="00385A79"/>
    <w:rsid w:val="00386941"/>
    <w:rsid w:val="00386B84"/>
    <w:rsid w:val="00386DEC"/>
    <w:rsid w:val="00386E23"/>
    <w:rsid w:val="00387204"/>
    <w:rsid w:val="00387A1D"/>
    <w:rsid w:val="00387AD8"/>
    <w:rsid w:val="003900C4"/>
    <w:rsid w:val="00390113"/>
    <w:rsid w:val="003903A9"/>
    <w:rsid w:val="003904A1"/>
    <w:rsid w:val="003907C8"/>
    <w:rsid w:val="0039114A"/>
    <w:rsid w:val="003912B2"/>
    <w:rsid w:val="003912D4"/>
    <w:rsid w:val="00391392"/>
    <w:rsid w:val="00391423"/>
    <w:rsid w:val="0039167B"/>
    <w:rsid w:val="00391764"/>
    <w:rsid w:val="00392330"/>
    <w:rsid w:val="003925FE"/>
    <w:rsid w:val="00392887"/>
    <w:rsid w:val="003937FD"/>
    <w:rsid w:val="00393F67"/>
    <w:rsid w:val="00395620"/>
    <w:rsid w:val="00395E11"/>
    <w:rsid w:val="00395F06"/>
    <w:rsid w:val="00396018"/>
    <w:rsid w:val="003961E4"/>
    <w:rsid w:val="00396380"/>
    <w:rsid w:val="003965DD"/>
    <w:rsid w:val="003966E8"/>
    <w:rsid w:val="00396CF3"/>
    <w:rsid w:val="00396CF9"/>
    <w:rsid w:val="00396F1D"/>
    <w:rsid w:val="003975B7"/>
    <w:rsid w:val="003976A7"/>
    <w:rsid w:val="00397AEA"/>
    <w:rsid w:val="00397C65"/>
    <w:rsid w:val="003A065F"/>
    <w:rsid w:val="003A075A"/>
    <w:rsid w:val="003A0778"/>
    <w:rsid w:val="003A0784"/>
    <w:rsid w:val="003A0CDA"/>
    <w:rsid w:val="003A15F4"/>
    <w:rsid w:val="003A1AB0"/>
    <w:rsid w:val="003A1FEA"/>
    <w:rsid w:val="003A2221"/>
    <w:rsid w:val="003A24B1"/>
    <w:rsid w:val="003A2878"/>
    <w:rsid w:val="003A2B76"/>
    <w:rsid w:val="003A2C1A"/>
    <w:rsid w:val="003A2DAF"/>
    <w:rsid w:val="003A2F7A"/>
    <w:rsid w:val="003A308A"/>
    <w:rsid w:val="003A3380"/>
    <w:rsid w:val="003A3EEE"/>
    <w:rsid w:val="003A45A1"/>
    <w:rsid w:val="003A4A3E"/>
    <w:rsid w:val="003A4C77"/>
    <w:rsid w:val="003A5093"/>
    <w:rsid w:val="003A5582"/>
    <w:rsid w:val="003A60EF"/>
    <w:rsid w:val="003A6128"/>
    <w:rsid w:val="003A6986"/>
    <w:rsid w:val="003A6F90"/>
    <w:rsid w:val="003A79F9"/>
    <w:rsid w:val="003A7EED"/>
    <w:rsid w:val="003B00C8"/>
    <w:rsid w:val="003B08B4"/>
    <w:rsid w:val="003B0D10"/>
    <w:rsid w:val="003B0E9A"/>
    <w:rsid w:val="003B11A5"/>
    <w:rsid w:val="003B1933"/>
    <w:rsid w:val="003B198F"/>
    <w:rsid w:val="003B1C5B"/>
    <w:rsid w:val="003B1DBE"/>
    <w:rsid w:val="003B1DE6"/>
    <w:rsid w:val="003B1DEE"/>
    <w:rsid w:val="003B257D"/>
    <w:rsid w:val="003B267E"/>
    <w:rsid w:val="003B2B9D"/>
    <w:rsid w:val="003B2BB8"/>
    <w:rsid w:val="003B2D71"/>
    <w:rsid w:val="003B2EB1"/>
    <w:rsid w:val="003B37B7"/>
    <w:rsid w:val="003B38F1"/>
    <w:rsid w:val="003B3936"/>
    <w:rsid w:val="003B3EBB"/>
    <w:rsid w:val="003B3FE3"/>
    <w:rsid w:val="003B4B41"/>
    <w:rsid w:val="003B4DCF"/>
    <w:rsid w:val="003B4DEE"/>
    <w:rsid w:val="003B4FA3"/>
    <w:rsid w:val="003B52DE"/>
    <w:rsid w:val="003B56B7"/>
    <w:rsid w:val="003B5D58"/>
    <w:rsid w:val="003B6934"/>
    <w:rsid w:val="003B6A39"/>
    <w:rsid w:val="003B6DDE"/>
    <w:rsid w:val="003B6F1D"/>
    <w:rsid w:val="003B7022"/>
    <w:rsid w:val="003B7433"/>
    <w:rsid w:val="003C0908"/>
    <w:rsid w:val="003C0F51"/>
    <w:rsid w:val="003C1074"/>
    <w:rsid w:val="003C149A"/>
    <w:rsid w:val="003C1A56"/>
    <w:rsid w:val="003C1D1F"/>
    <w:rsid w:val="003C1F91"/>
    <w:rsid w:val="003C213D"/>
    <w:rsid w:val="003C2181"/>
    <w:rsid w:val="003C2273"/>
    <w:rsid w:val="003C256C"/>
    <w:rsid w:val="003C2FF7"/>
    <w:rsid w:val="003C308D"/>
    <w:rsid w:val="003C323A"/>
    <w:rsid w:val="003C359F"/>
    <w:rsid w:val="003C3701"/>
    <w:rsid w:val="003C3D20"/>
    <w:rsid w:val="003C4143"/>
    <w:rsid w:val="003C44EC"/>
    <w:rsid w:val="003C4996"/>
    <w:rsid w:val="003C4A0E"/>
    <w:rsid w:val="003C4FEC"/>
    <w:rsid w:val="003C50B4"/>
    <w:rsid w:val="003C5199"/>
    <w:rsid w:val="003C51AD"/>
    <w:rsid w:val="003C5264"/>
    <w:rsid w:val="003C5366"/>
    <w:rsid w:val="003C5492"/>
    <w:rsid w:val="003C59DA"/>
    <w:rsid w:val="003C670E"/>
    <w:rsid w:val="003C6B89"/>
    <w:rsid w:val="003C73BE"/>
    <w:rsid w:val="003C743C"/>
    <w:rsid w:val="003C74A4"/>
    <w:rsid w:val="003C7825"/>
    <w:rsid w:val="003C7985"/>
    <w:rsid w:val="003C7CFB"/>
    <w:rsid w:val="003D00AD"/>
    <w:rsid w:val="003D00F3"/>
    <w:rsid w:val="003D04BC"/>
    <w:rsid w:val="003D1717"/>
    <w:rsid w:val="003D1C27"/>
    <w:rsid w:val="003D1CED"/>
    <w:rsid w:val="003D1FFA"/>
    <w:rsid w:val="003D2738"/>
    <w:rsid w:val="003D31EE"/>
    <w:rsid w:val="003D34FF"/>
    <w:rsid w:val="003D3646"/>
    <w:rsid w:val="003D3838"/>
    <w:rsid w:val="003D39BA"/>
    <w:rsid w:val="003D3C9F"/>
    <w:rsid w:val="003D3F64"/>
    <w:rsid w:val="003D42FB"/>
    <w:rsid w:val="003D4336"/>
    <w:rsid w:val="003D488D"/>
    <w:rsid w:val="003D48ED"/>
    <w:rsid w:val="003D4E89"/>
    <w:rsid w:val="003D50FB"/>
    <w:rsid w:val="003D5331"/>
    <w:rsid w:val="003D55BA"/>
    <w:rsid w:val="003D57BB"/>
    <w:rsid w:val="003D5E88"/>
    <w:rsid w:val="003D642B"/>
    <w:rsid w:val="003D6A77"/>
    <w:rsid w:val="003D6FFB"/>
    <w:rsid w:val="003D71F5"/>
    <w:rsid w:val="003D746B"/>
    <w:rsid w:val="003D7589"/>
    <w:rsid w:val="003D7E1F"/>
    <w:rsid w:val="003E00A8"/>
    <w:rsid w:val="003E0611"/>
    <w:rsid w:val="003E0B5E"/>
    <w:rsid w:val="003E0DC1"/>
    <w:rsid w:val="003E0EB4"/>
    <w:rsid w:val="003E1098"/>
    <w:rsid w:val="003E11F3"/>
    <w:rsid w:val="003E1A04"/>
    <w:rsid w:val="003E20CB"/>
    <w:rsid w:val="003E2122"/>
    <w:rsid w:val="003E2619"/>
    <w:rsid w:val="003E26E3"/>
    <w:rsid w:val="003E29A2"/>
    <w:rsid w:val="003E2B16"/>
    <w:rsid w:val="003E310A"/>
    <w:rsid w:val="003E4EEC"/>
    <w:rsid w:val="003E512B"/>
    <w:rsid w:val="003E51CA"/>
    <w:rsid w:val="003E56DE"/>
    <w:rsid w:val="003E5738"/>
    <w:rsid w:val="003E5859"/>
    <w:rsid w:val="003E5FBD"/>
    <w:rsid w:val="003E6774"/>
    <w:rsid w:val="003E67DD"/>
    <w:rsid w:val="003E67E2"/>
    <w:rsid w:val="003E6C7A"/>
    <w:rsid w:val="003E6DDB"/>
    <w:rsid w:val="003E6EE2"/>
    <w:rsid w:val="003E7315"/>
    <w:rsid w:val="003E735C"/>
    <w:rsid w:val="003E7E9B"/>
    <w:rsid w:val="003E7FAF"/>
    <w:rsid w:val="003F09BF"/>
    <w:rsid w:val="003F0AC4"/>
    <w:rsid w:val="003F0C73"/>
    <w:rsid w:val="003F0DB0"/>
    <w:rsid w:val="003F0E3B"/>
    <w:rsid w:val="003F12FB"/>
    <w:rsid w:val="003F1347"/>
    <w:rsid w:val="003F157E"/>
    <w:rsid w:val="003F1887"/>
    <w:rsid w:val="003F1B2A"/>
    <w:rsid w:val="003F2163"/>
    <w:rsid w:val="003F2371"/>
    <w:rsid w:val="003F26EF"/>
    <w:rsid w:val="003F2D0C"/>
    <w:rsid w:val="003F3C43"/>
    <w:rsid w:val="003F3CE8"/>
    <w:rsid w:val="003F3D2F"/>
    <w:rsid w:val="003F45BD"/>
    <w:rsid w:val="003F4978"/>
    <w:rsid w:val="003F49F2"/>
    <w:rsid w:val="003F4ABA"/>
    <w:rsid w:val="003F4B02"/>
    <w:rsid w:val="003F4B6E"/>
    <w:rsid w:val="003F4CC1"/>
    <w:rsid w:val="003F53D5"/>
    <w:rsid w:val="003F555B"/>
    <w:rsid w:val="003F5681"/>
    <w:rsid w:val="003F6089"/>
    <w:rsid w:val="003F6344"/>
    <w:rsid w:val="003F6496"/>
    <w:rsid w:val="003F6858"/>
    <w:rsid w:val="003F6E48"/>
    <w:rsid w:val="003F70E9"/>
    <w:rsid w:val="003F71E8"/>
    <w:rsid w:val="003F75EA"/>
    <w:rsid w:val="003F7F1F"/>
    <w:rsid w:val="0040003A"/>
    <w:rsid w:val="0040022C"/>
    <w:rsid w:val="00400438"/>
    <w:rsid w:val="0040061E"/>
    <w:rsid w:val="0040062A"/>
    <w:rsid w:val="004009F1"/>
    <w:rsid w:val="00400A16"/>
    <w:rsid w:val="00400B0E"/>
    <w:rsid w:val="0040122C"/>
    <w:rsid w:val="00401D72"/>
    <w:rsid w:val="00401E12"/>
    <w:rsid w:val="00401E85"/>
    <w:rsid w:val="004021B8"/>
    <w:rsid w:val="0040233B"/>
    <w:rsid w:val="00402695"/>
    <w:rsid w:val="00402AA9"/>
    <w:rsid w:val="00402CAC"/>
    <w:rsid w:val="00402D26"/>
    <w:rsid w:val="00402FC6"/>
    <w:rsid w:val="00403751"/>
    <w:rsid w:val="00403FE2"/>
    <w:rsid w:val="0040460A"/>
    <w:rsid w:val="004047CE"/>
    <w:rsid w:val="004048EF"/>
    <w:rsid w:val="00405100"/>
    <w:rsid w:val="00405124"/>
    <w:rsid w:val="0040521B"/>
    <w:rsid w:val="0040525C"/>
    <w:rsid w:val="0040541A"/>
    <w:rsid w:val="00405542"/>
    <w:rsid w:val="00405694"/>
    <w:rsid w:val="004057A8"/>
    <w:rsid w:val="00405AE1"/>
    <w:rsid w:val="00405B86"/>
    <w:rsid w:val="00406735"/>
    <w:rsid w:val="00406E06"/>
    <w:rsid w:val="00407421"/>
    <w:rsid w:val="00407728"/>
    <w:rsid w:val="004109DC"/>
    <w:rsid w:val="004112DE"/>
    <w:rsid w:val="004112FF"/>
    <w:rsid w:val="00411924"/>
    <w:rsid w:val="00411AA6"/>
    <w:rsid w:val="00411CEC"/>
    <w:rsid w:val="00411ED7"/>
    <w:rsid w:val="004121AA"/>
    <w:rsid w:val="004127E6"/>
    <w:rsid w:val="00412AF3"/>
    <w:rsid w:val="00412C71"/>
    <w:rsid w:val="00412E6B"/>
    <w:rsid w:val="00412F6C"/>
    <w:rsid w:val="00413848"/>
    <w:rsid w:val="004139E1"/>
    <w:rsid w:val="00414162"/>
    <w:rsid w:val="004141EB"/>
    <w:rsid w:val="0041488A"/>
    <w:rsid w:val="004148B4"/>
    <w:rsid w:val="00414CD7"/>
    <w:rsid w:val="00415071"/>
    <w:rsid w:val="00415634"/>
    <w:rsid w:val="0041564C"/>
    <w:rsid w:val="0041580A"/>
    <w:rsid w:val="004162F8"/>
    <w:rsid w:val="00416335"/>
    <w:rsid w:val="00416535"/>
    <w:rsid w:val="00416C6E"/>
    <w:rsid w:val="00416E83"/>
    <w:rsid w:val="004170C4"/>
    <w:rsid w:val="004170F3"/>
    <w:rsid w:val="004172D1"/>
    <w:rsid w:val="004174AB"/>
    <w:rsid w:val="00417541"/>
    <w:rsid w:val="004202F3"/>
    <w:rsid w:val="0042033B"/>
    <w:rsid w:val="00420977"/>
    <w:rsid w:val="00421128"/>
    <w:rsid w:val="00421A4F"/>
    <w:rsid w:val="00421EC1"/>
    <w:rsid w:val="00421FD4"/>
    <w:rsid w:val="00422796"/>
    <w:rsid w:val="00422BF2"/>
    <w:rsid w:val="004230CF"/>
    <w:rsid w:val="004230E8"/>
    <w:rsid w:val="00423CDD"/>
    <w:rsid w:val="004240B8"/>
    <w:rsid w:val="004244EE"/>
    <w:rsid w:val="00424576"/>
    <w:rsid w:val="004246BB"/>
    <w:rsid w:val="00424AF5"/>
    <w:rsid w:val="00424D08"/>
    <w:rsid w:val="00424F02"/>
    <w:rsid w:val="00424FA9"/>
    <w:rsid w:val="004251C7"/>
    <w:rsid w:val="004253C2"/>
    <w:rsid w:val="00425455"/>
    <w:rsid w:val="004258BC"/>
    <w:rsid w:val="00425CE2"/>
    <w:rsid w:val="004260CC"/>
    <w:rsid w:val="00426193"/>
    <w:rsid w:val="00426445"/>
    <w:rsid w:val="00426CD5"/>
    <w:rsid w:val="00426DA2"/>
    <w:rsid w:val="00426F81"/>
    <w:rsid w:val="00427620"/>
    <w:rsid w:val="00427897"/>
    <w:rsid w:val="00427B58"/>
    <w:rsid w:val="00427EA7"/>
    <w:rsid w:val="00427EEC"/>
    <w:rsid w:val="00430854"/>
    <w:rsid w:val="00430B0F"/>
    <w:rsid w:val="00430EB4"/>
    <w:rsid w:val="00430FDD"/>
    <w:rsid w:val="00431362"/>
    <w:rsid w:val="004314E7"/>
    <w:rsid w:val="0043180F"/>
    <w:rsid w:val="004318F5"/>
    <w:rsid w:val="00432275"/>
    <w:rsid w:val="00432307"/>
    <w:rsid w:val="00432812"/>
    <w:rsid w:val="004328DD"/>
    <w:rsid w:val="00432ADC"/>
    <w:rsid w:val="00432BC8"/>
    <w:rsid w:val="00432BF0"/>
    <w:rsid w:val="00432F0D"/>
    <w:rsid w:val="004334DD"/>
    <w:rsid w:val="00433517"/>
    <w:rsid w:val="00433878"/>
    <w:rsid w:val="00433C6B"/>
    <w:rsid w:val="00433E40"/>
    <w:rsid w:val="00433E42"/>
    <w:rsid w:val="004345E1"/>
    <w:rsid w:val="004348C1"/>
    <w:rsid w:val="00434954"/>
    <w:rsid w:val="00434B01"/>
    <w:rsid w:val="00434E4D"/>
    <w:rsid w:val="00434E85"/>
    <w:rsid w:val="004351BC"/>
    <w:rsid w:val="004355AA"/>
    <w:rsid w:val="004356A6"/>
    <w:rsid w:val="0043589F"/>
    <w:rsid w:val="004358DF"/>
    <w:rsid w:val="00435C52"/>
    <w:rsid w:val="0043618E"/>
    <w:rsid w:val="00436234"/>
    <w:rsid w:val="0043636A"/>
    <w:rsid w:val="00436605"/>
    <w:rsid w:val="004369C9"/>
    <w:rsid w:val="00436D10"/>
    <w:rsid w:val="00437054"/>
    <w:rsid w:val="00437128"/>
    <w:rsid w:val="004376BF"/>
    <w:rsid w:val="00437A4A"/>
    <w:rsid w:val="00437C12"/>
    <w:rsid w:val="00437D9C"/>
    <w:rsid w:val="00437EC0"/>
    <w:rsid w:val="00440434"/>
    <w:rsid w:val="004410BD"/>
    <w:rsid w:val="00441102"/>
    <w:rsid w:val="00441A54"/>
    <w:rsid w:val="00441C0B"/>
    <w:rsid w:val="00441CAB"/>
    <w:rsid w:val="00442086"/>
    <w:rsid w:val="004420D1"/>
    <w:rsid w:val="004426A1"/>
    <w:rsid w:val="004429B5"/>
    <w:rsid w:val="00442AE6"/>
    <w:rsid w:val="00443252"/>
    <w:rsid w:val="0044346A"/>
    <w:rsid w:val="00443882"/>
    <w:rsid w:val="00443D87"/>
    <w:rsid w:val="0044437D"/>
    <w:rsid w:val="00444454"/>
    <w:rsid w:val="00445828"/>
    <w:rsid w:val="0044588A"/>
    <w:rsid w:val="00446614"/>
    <w:rsid w:val="004466F2"/>
    <w:rsid w:val="00446838"/>
    <w:rsid w:val="00446C2A"/>
    <w:rsid w:val="00446CF6"/>
    <w:rsid w:val="004471A1"/>
    <w:rsid w:val="00447454"/>
    <w:rsid w:val="004477DB"/>
    <w:rsid w:val="00447FB2"/>
    <w:rsid w:val="00450190"/>
    <w:rsid w:val="00450265"/>
    <w:rsid w:val="00450686"/>
    <w:rsid w:val="004508FB"/>
    <w:rsid w:val="00450B23"/>
    <w:rsid w:val="00450B8F"/>
    <w:rsid w:val="00450BCA"/>
    <w:rsid w:val="00451173"/>
    <w:rsid w:val="00451638"/>
    <w:rsid w:val="00451818"/>
    <w:rsid w:val="00451EBA"/>
    <w:rsid w:val="00452058"/>
    <w:rsid w:val="00452201"/>
    <w:rsid w:val="00452209"/>
    <w:rsid w:val="0045286E"/>
    <w:rsid w:val="00452A3F"/>
    <w:rsid w:val="00452D06"/>
    <w:rsid w:val="00452E10"/>
    <w:rsid w:val="00453309"/>
    <w:rsid w:val="00453C38"/>
    <w:rsid w:val="0045420C"/>
    <w:rsid w:val="00454E13"/>
    <w:rsid w:val="0045501B"/>
    <w:rsid w:val="0045557E"/>
    <w:rsid w:val="00455950"/>
    <w:rsid w:val="00455C4F"/>
    <w:rsid w:val="00455D81"/>
    <w:rsid w:val="00455E89"/>
    <w:rsid w:val="00455ECE"/>
    <w:rsid w:val="00456386"/>
    <w:rsid w:val="004566E8"/>
    <w:rsid w:val="004573E7"/>
    <w:rsid w:val="0045786A"/>
    <w:rsid w:val="00457B1A"/>
    <w:rsid w:val="00457C75"/>
    <w:rsid w:val="004600F5"/>
    <w:rsid w:val="0046056F"/>
    <w:rsid w:val="004605C6"/>
    <w:rsid w:val="004606EC"/>
    <w:rsid w:val="00460A37"/>
    <w:rsid w:val="00460AF7"/>
    <w:rsid w:val="00460B94"/>
    <w:rsid w:val="00460ECA"/>
    <w:rsid w:val="00461041"/>
    <w:rsid w:val="004610CD"/>
    <w:rsid w:val="00461A2E"/>
    <w:rsid w:val="00461EB7"/>
    <w:rsid w:val="00461F8E"/>
    <w:rsid w:val="00462253"/>
    <w:rsid w:val="004625FA"/>
    <w:rsid w:val="00462897"/>
    <w:rsid w:val="00462B64"/>
    <w:rsid w:val="00462BA1"/>
    <w:rsid w:val="00462E42"/>
    <w:rsid w:val="00463160"/>
    <w:rsid w:val="00463259"/>
    <w:rsid w:val="004634EB"/>
    <w:rsid w:val="004635E9"/>
    <w:rsid w:val="004636E4"/>
    <w:rsid w:val="0046373C"/>
    <w:rsid w:val="0046378D"/>
    <w:rsid w:val="00463820"/>
    <w:rsid w:val="0046388E"/>
    <w:rsid w:val="00463E22"/>
    <w:rsid w:val="004640CF"/>
    <w:rsid w:val="0046450A"/>
    <w:rsid w:val="00464625"/>
    <w:rsid w:val="00464836"/>
    <w:rsid w:val="00464901"/>
    <w:rsid w:val="00464973"/>
    <w:rsid w:val="00464A64"/>
    <w:rsid w:val="00464D53"/>
    <w:rsid w:val="0046506C"/>
    <w:rsid w:val="00465336"/>
    <w:rsid w:val="00465B6E"/>
    <w:rsid w:val="00465B6F"/>
    <w:rsid w:val="00465BDC"/>
    <w:rsid w:val="0046608B"/>
    <w:rsid w:val="00466119"/>
    <w:rsid w:val="004666C6"/>
    <w:rsid w:val="00466C62"/>
    <w:rsid w:val="00467350"/>
    <w:rsid w:val="00467368"/>
    <w:rsid w:val="0046760C"/>
    <w:rsid w:val="00467697"/>
    <w:rsid w:val="0046778D"/>
    <w:rsid w:val="00467AD1"/>
    <w:rsid w:val="00467BFF"/>
    <w:rsid w:val="00467C26"/>
    <w:rsid w:val="00467DAC"/>
    <w:rsid w:val="00470C38"/>
    <w:rsid w:val="00470F29"/>
    <w:rsid w:val="00471083"/>
    <w:rsid w:val="00472077"/>
    <w:rsid w:val="004720E1"/>
    <w:rsid w:val="00472816"/>
    <w:rsid w:val="00472A90"/>
    <w:rsid w:val="00472F4A"/>
    <w:rsid w:val="004730E5"/>
    <w:rsid w:val="00473137"/>
    <w:rsid w:val="00473486"/>
    <w:rsid w:val="00474508"/>
    <w:rsid w:val="00474711"/>
    <w:rsid w:val="00474C7B"/>
    <w:rsid w:val="00474DC0"/>
    <w:rsid w:val="0047518D"/>
    <w:rsid w:val="004752A6"/>
    <w:rsid w:val="00475A9A"/>
    <w:rsid w:val="00475BD3"/>
    <w:rsid w:val="00475C54"/>
    <w:rsid w:val="00475D26"/>
    <w:rsid w:val="004760EC"/>
    <w:rsid w:val="004768BD"/>
    <w:rsid w:val="004769B3"/>
    <w:rsid w:val="00476D2A"/>
    <w:rsid w:val="0047739C"/>
    <w:rsid w:val="0047768C"/>
    <w:rsid w:val="004776B0"/>
    <w:rsid w:val="00477799"/>
    <w:rsid w:val="0048002C"/>
    <w:rsid w:val="00480301"/>
    <w:rsid w:val="004805B2"/>
    <w:rsid w:val="00480751"/>
    <w:rsid w:val="00480AA3"/>
    <w:rsid w:val="00480E87"/>
    <w:rsid w:val="00481248"/>
    <w:rsid w:val="004817F4"/>
    <w:rsid w:val="00481F39"/>
    <w:rsid w:val="00481F70"/>
    <w:rsid w:val="0048245F"/>
    <w:rsid w:val="004827E2"/>
    <w:rsid w:val="00482B8C"/>
    <w:rsid w:val="00483234"/>
    <w:rsid w:val="00483FAC"/>
    <w:rsid w:val="00483FBB"/>
    <w:rsid w:val="00484059"/>
    <w:rsid w:val="004840D9"/>
    <w:rsid w:val="004840E1"/>
    <w:rsid w:val="004840F7"/>
    <w:rsid w:val="00484F07"/>
    <w:rsid w:val="004854D0"/>
    <w:rsid w:val="004861C3"/>
    <w:rsid w:val="0048635A"/>
    <w:rsid w:val="0048663E"/>
    <w:rsid w:val="00486AAC"/>
    <w:rsid w:val="00486AAD"/>
    <w:rsid w:val="00486B30"/>
    <w:rsid w:val="00486B81"/>
    <w:rsid w:val="00487182"/>
    <w:rsid w:val="00487275"/>
    <w:rsid w:val="00487327"/>
    <w:rsid w:val="004874B8"/>
    <w:rsid w:val="004876FD"/>
    <w:rsid w:val="00490424"/>
    <w:rsid w:val="00490CA5"/>
    <w:rsid w:val="00490F35"/>
    <w:rsid w:val="0049144B"/>
    <w:rsid w:val="004916DC"/>
    <w:rsid w:val="0049220C"/>
    <w:rsid w:val="00492DDF"/>
    <w:rsid w:val="00492DFC"/>
    <w:rsid w:val="0049332A"/>
    <w:rsid w:val="00493371"/>
    <w:rsid w:val="0049351B"/>
    <w:rsid w:val="00493C70"/>
    <w:rsid w:val="00494220"/>
    <w:rsid w:val="00494955"/>
    <w:rsid w:val="00494D5B"/>
    <w:rsid w:val="00494F35"/>
    <w:rsid w:val="004955BE"/>
    <w:rsid w:val="0049593F"/>
    <w:rsid w:val="00495974"/>
    <w:rsid w:val="00495DDD"/>
    <w:rsid w:val="00495FA7"/>
    <w:rsid w:val="004962AE"/>
    <w:rsid w:val="0049644F"/>
    <w:rsid w:val="00496458"/>
    <w:rsid w:val="00496612"/>
    <w:rsid w:val="004969FB"/>
    <w:rsid w:val="00496A5F"/>
    <w:rsid w:val="00496C1F"/>
    <w:rsid w:val="00496F36"/>
    <w:rsid w:val="00496F9B"/>
    <w:rsid w:val="004977B0"/>
    <w:rsid w:val="00497A4C"/>
    <w:rsid w:val="00497E46"/>
    <w:rsid w:val="004A0448"/>
    <w:rsid w:val="004A0556"/>
    <w:rsid w:val="004A0715"/>
    <w:rsid w:val="004A0A42"/>
    <w:rsid w:val="004A0B08"/>
    <w:rsid w:val="004A0BB8"/>
    <w:rsid w:val="004A0D89"/>
    <w:rsid w:val="004A0E64"/>
    <w:rsid w:val="004A0E80"/>
    <w:rsid w:val="004A148C"/>
    <w:rsid w:val="004A1827"/>
    <w:rsid w:val="004A193B"/>
    <w:rsid w:val="004A1C9C"/>
    <w:rsid w:val="004A1D9C"/>
    <w:rsid w:val="004A2020"/>
    <w:rsid w:val="004A22DB"/>
    <w:rsid w:val="004A28A3"/>
    <w:rsid w:val="004A290B"/>
    <w:rsid w:val="004A2DCF"/>
    <w:rsid w:val="004A325F"/>
    <w:rsid w:val="004A3D72"/>
    <w:rsid w:val="004A3F43"/>
    <w:rsid w:val="004A440B"/>
    <w:rsid w:val="004A4A16"/>
    <w:rsid w:val="004A545B"/>
    <w:rsid w:val="004A5B37"/>
    <w:rsid w:val="004A5EF8"/>
    <w:rsid w:val="004A5FFA"/>
    <w:rsid w:val="004A63E7"/>
    <w:rsid w:val="004A65F1"/>
    <w:rsid w:val="004A6670"/>
    <w:rsid w:val="004A67D0"/>
    <w:rsid w:val="004A6EB7"/>
    <w:rsid w:val="004A7A2F"/>
    <w:rsid w:val="004A7E10"/>
    <w:rsid w:val="004B006C"/>
    <w:rsid w:val="004B084D"/>
    <w:rsid w:val="004B100E"/>
    <w:rsid w:val="004B104B"/>
    <w:rsid w:val="004B143E"/>
    <w:rsid w:val="004B1CE1"/>
    <w:rsid w:val="004B1F12"/>
    <w:rsid w:val="004B23EB"/>
    <w:rsid w:val="004B260F"/>
    <w:rsid w:val="004B268C"/>
    <w:rsid w:val="004B2787"/>
    <w:rsid w:val="004B29A8"/>
    <w:rsid w:val="004B2A34"/>
    <w:rsid w:val="004B2A85"/>
    <w:rsid w:val="004B2FD5"/>
    <w:rsid w:val="004B399C"/>
    <w:rsid w:val="004B3A6D"/>
    <w:rsid w:val="004B3A76"/>
    <w:rsid w:val="004B3A94"/>
    <w:rsid w:val="004B3B79"/>
    <w:rsid w:val="004B3ECF"/>
    <w:rsid w:val="004B4005"/>
    <w:rsid w:val="004B44C5"/>
    <w:rsid w:val="004B4B05"/>
    <w:rsid w:val="004B4FD9"/>
    <w:rsid w:val="004B5161"/>
    <w:rsid w:val="004B51A4"/>
    <w:rsid w:val="004B51AB"/>
    <w:rsid w:val="004B53DF"/>
    <w:rsid w:val="004B54CA"/>
    <w:rsid w:val="004B573B"/>
    <w:rsid w:val="004B57C8"/>
    <w:rsid w:val="004B59C8"/>
    <w:rsid w:val="004B5A1A"/>
    <w:rsid w:val="004B5ECF"/>
    <w:rsid w:val="004B65E7"/>
    <w:rsid w:val="004B6620"/>
    <w:rsid w:val="004B6E70"/>
    <w:rsid w:val="004B7012"/>
    <w:rsid w:val="004B77D3"/>
    <w:rsid w:val="004B7B45"/>
    <w:rsid w:val="004B7C4A"/>
    <w:rsid w:val="004C0200"/>
    <w:rsid w:val="004C05F4"/>
    <w:rsid w:val="004C0A43"/>
    <w:rsid w:val="004C0D2B"/>
    <w:rsid w:val="004C0E78"/>
    <w:rsid w:val="004C0EB2"/>
    <w:rsid w:val="004C1412"/>
    <w:rsid w:val="004C1501"/>
    <w:rsid w:val="004C2430"/>
    <w:rsid w:val="004C2823"/>
    <w:rsid w:val="004C2AC5"/>
    <w:rsid w:val="004C2C47"/>
    <w:rsid w:val="004C2D9C"/>
    <w:rsid w:val="004C2E11"/>
    <w:rsid w:val="004C310D"/>
    <w:rsid w:val="004C39C3"/>
    <w:rsid w:val="004C4ABD"/>
    <w:rsid w:val="004C4C54"/>
    <w:rsid w:val="004C4F2F"/>
    <w:rsid w:val="004C518C"/>
    <w:rsid w:val="004C541F"/>
    <w:rsid w:val="004C550B"/>
    <w:rsid w:val="004C58F8"/>
    <w:rsid w:val="004C5D17"/>
    <w:rsid w:val="004C5D53"/>
    <w:rsid w:val="004C5FDB"/>
    <w:rsid w:val="004C60A6"/>
    <w:rsid w:val="004C6601"/>
    <w:rsid w:val="004C67F4"/>
    <w:rsid w:val="004C6A7A"/>
    <w:rsid w:val="004C6BD1"/>
    <w:rsid w:val="004C766D"/>
    <w:rsid w:val="004C79AF"/>
    <w:rsid w:val="004C7B99"/>
    <w:rsid w:val="004C7C33"/>
    <w:rsid w:val="004C7F57"/>
    <w:rsid w:val="004D01FC"/>
    <w:rsid w:val="004D022E"/>
    <w:rsid w:val="004D060C"/>
    <w:rsid w:val="004D0C15"/>
    <w:rsid w:val="004D0E2E"/>
    <w:rsid w:val="004D0ED4"/>
    <w:rsid w:val="004D0F12"/>
    <w:rsid w:val="004D1310"/>
    <w:rsid w:val="004D19FD"/>
    <w:rsid w:val="004D1C8D"/>
    <w:rsid w:val="004D1CB8"/>
    <w:rsid w:val="004D1F5A"/>
    <w:rsid w:val="004D2514"/>
    <w:rsid w:val="004D2CD6"/>
    <w:rsid w:val="004D2CF9"/>
    <w:rsid w:val="004D2E45"/>
    <w:rsid w:val="004D2FA1"/>
    <w:rsid w:val="004D30DD"/>
    <w:rsid w:val="004D32B5"/>
    <w:rsid w:val="004D32CE"/>
    <w:rsid w:val="004D375D"/>
    <w:rsid w:val="004D39F3"/>
    <w:rsid w:val="004D3B47"/>
    <w:rsid w:val="004D4291"/>
    <w:rsid w:val="004D44D1"/>
    <w:rsid w:val="004D47A8"/>
    <w:rsid w:val="004D47BC"/>
    <w:rsid w:val="004D481B"/>
    <w:rsid w:val="004D48E5"/>
    <w:rsid w:val="004D4EBE"/>
    <w:rsid w:val="004D50DC"/>
    <w:rsid w:val="004D5576"/>
    <w:rsid w:val="004D57C8"/>
    <w:rsid w:val="004D5850"/>
    <w:rsid w:val="004D5A33"/>
    <w:rsid w:val="004D5C07"/>
    <w:rsid w:val="004D5C7B"/>
    <w:rsid w:val="004D5E7D"/>
    <w:rsid w:val="004D6068"/>
    <w:rsid w:val="004D64CC"/>
    <w:rsid w:val="004D6633"/>
    <w:rsid w:val="004D6B3A"/>
    <w:rsid w:val="004D71F4"/>
    <w:rsid w:val="004D73BA"/>
    <w:rsid w:val="004D7A6B"/>
    <w:rsid w:val="004D7C39"/>
    <w:rsid w:val="004E0294"/>
    <w:rsid w:val="004E0446"/>
    <w:rsid w:val="004E0D6C"/>
    <w:rsid w:val="004E0FCA"/>
    <w:rsid w:val="004E1031"/>
    <w:rsid w:val="004E1372"/>
    <w:rsid w:val="004E1CD8"/>
    <w:rsid w:val="004E2149"/>
    <w:rsid w:val="004E25B3"/>
    <w:rsid w:val="004E27F2"/>
    <w:rsid w:val="004E27F6"/>
    <w:rsid w:val="004E2CEF"/>
    <w:rsid w:val="004E2FE7"/>
    <w:rsid w:val="004E300D"/>
    <w:rsid w:val="004E3448"/>
    <w:rsid w:val="004E38AE"/>
    <w:rsid w:val="004E3A65"/>
    <w:rsid w:val="004E432C"/>
    <w:rsid w:val="004E461E"/>
    <w:rsid w:val="004E4BD2"/>
    <w:rsid w:val="004E50D9"/>
    <w:rsid w:val="004E5669"/>
    <w:rsid w:val="004E5AAF"/>
    <w:rsid w:val="004E5AB4"/>
    <w:rsid w:val="004E5CBF"/>
    <w:rsid w:val="004E5EAC"/>
    <w:rsid w:val="004E6075"/>
    <w:rsid w:val="004E6192"/>
    <w:rsid w:val="004E64B4"/>
    <w:rsid w:val="004E667C"/>
    <w:rsid w:val="004E66B1"/>
    <w:rsid w:val="004E675D"/>
    <w:rsid w:val="004E68B1"/>
    <w:rsid w:val="004E68FE"/>
    <w:rsid w:val="004E6B4B"/>
    <w:rsid w:val="004E7489"/>
    <w:rsid w:val="004E798E"/>
    <w:rsid w:val="004F0839"/>
    <w:rsid w:val="004F0BBD"/>
    <w:rsid w:val="004F11D9"/>
    <w:rsid w:val="004F1312"/>
    <w:rsid w:val="004F15DD"/>
    <w:rsid w:val="004F21DC"/>
    <w:rsid w:val="004F2BEC"/>
    <w:rsid w:val="004F2E8F"/>
    <w:rsid w:val="004F2E9D"/>
    <w:rsid w:val="004F33B0"/>
    <w:rsid w:val="004F36F9"/>
    <w:rsid w:val="004F38E0"/>
    <w:rsid w:val="004F391A"/>
    <w:rsid w:val="004F3A11"/>
    <w:rsid w:val="004F3BC0"/>
    <w:rsid w:val="004F3C90"/>
    <w:rsid w:val="004F406D"/>
    <w:rsid w:val="004F43BD"/>
    <w:rsid w:val="004F44AF"/>
    <w:rsid w:val="004F4633"/>
    <w:rsid w:val="004F4901"/>
    <w:rsid w:val="004F4A4F"/>
    <w:rsid w:val="004F4A58"/>
    <w:rsid w:val="004F4EAB"/>
    <w:rsid w:val="004F518C"/>
    <w:rsid w:val="004F52D9"/>
    <w:rsid w:val="004F5639"/>
    <w:rsid w:val="004F5A7C"/>
    <w:rsid w:val="004F5AD4"/>
    <w:rsid w:val="004F5D94"/>
    <w:rsid w:val="004F6213"/>
    <w:rsid w:val="004F67EB"/>
    <w:rsid w:val="004F6B4B"/>
    <w:rsid w:val="004F6B88"/>
    <w:rsid w:val="004F6C37"/>
    <w:rsid w:val="004F7087"/>
    <w:rsid w:val="004F7895"/>
    <w:rsid w:val="004F7B42"/>
    <w:rsid w:val="004F7D9C"/>
    <w:rsid w:val="00500442"/>
    <w:rsid w:val="0050093E"/>
    <w:rsid w:val="0050114E"/>
    <w:rsid w:val="0050134C"/>
    <w:rsid w:val="005013F7"/>
    <w:rsid w:val="00501545"/>
    <w:rsid w:val="00501D5C"/>
    <w:rsid w:val="00501DD7"/>
    <w:rsid w:val="0050215C"/>
    <w:rsid w:val="00502800"/>
    <w:rsid w:val="00502C64"/>
    <w:rsid w:val="00503285"/>
    <w:rsid w:val="005033E4"/>
    <w:rsid w:val="005033EC"/>
    <w:rsid w:val="00503628"/>
    <w:rsid w:val="00503859"/>
    <w:rsid w:val="005039AA"/>
    <w:rsid w:val="005039B3"/>
    <w:rsid w:val="00504507"/>
    <w:rsid w:val="0050454D"/>
    <w:rsid w:val="005047C9"/>
    <w:rsid w:val="00504D75"/>
    <w:rsid w:val="00504E40"/>
    <w:rsid w:val="00505181"/>
    <w:rsid w:val="0050542D"/>
    <w:rsid w:val="00505562"/>
    <w:rsid w:val="00505CCD"/>
    <w:rsid w:val="00505E2C"/>
    <w:rsid w:val="005062E3"/>
    <w:rsid w:val="00506604"/>
    <w:rsid w:val="00506F4C"/>
    <w:rsid w:val="0050702D"/>
    <w:rsid w:val="00507203"/>
    <w:rsid w:val="0050737D"/>
    <w:rsid w:val="00507DD2"/>
    <w:rsid w:val="00507FBA"/>
    <w:rsid w:val="0051000C"/>
    <w:rsid w:val="005103D6"/>
    <w:rsid w:val="00510B02"/>
    <w:rsid w:val="00510FC1"/>
    <w:rsid w:val="005113BA"/>
    <w:rsid w:val="005117AA"/>
    <w:rsid w:val="00511A48"/>
    <w:rsid w:val="005120E3"/>
    <w:rsid w:val="00512225"/>
    <w:rsid w:val="005127A8"/>
    <w:rsid w:val="00512A1D"/>
    <w:rsid w:val="00513533"/>
    <w:rsid w:val="00513830"/>
    <w:rsid w:val="005138CF"/>
    <w:rsid w:val="00513AE4"/>
    <w:rsid w:val="00513C47"/>
    <w:rsid w:val="00513F6D"/>
    <w:rsid w:val="005142D8"/>
    <w:rsid w:val="00514768"/>
    <w:rsid w:val="00514D2E"/>
    <w:rsid w:val="00514DC4"/>
    <w:rsid w:val="00514F3E"/>
    <w:rsid w:val="005153ED"/>
    <w:rsid w:val="005155C1"/>
    <w:rsid w:val="00515AB6"/>
    <w:rsid w:val="00515B56"/>
    <w:rsid w:val="00515C70"/>
    <w:rsid w:val="005160C0"/>
    <w:rsid w:val="00516318"/>
    <w:rsid w:val="00516C91"/>
    <w:rsid w:val="00517183"/>
    <w:rsid w:val="00517247"/>
    <w:rsid w:val="005175FE"/>
    <w:rsid w:val="00520669"/>
    <w:rsid w:val="00520753"/>
    <w:rsid w:val="00520983"/>
    <w:rsid w:val="00521237"/>
    <w:rsid w:val="00521327"/>
    <w:rsid w:val="005213B7"/>
    <w:rsid w:val="00521420"/>
    <w:rsid w:val="00521B1B"/>
    <w:rsid w:val="00521B8F"/>
    <w:rsid w:val="00521CFE"/>
    <w:rsid w:val="0052203E"/>
    <w:rsid w:val="005220E0"/>
    <w:rsid w:val="00522298"/>
    <w:rsid w:val="005225F9"/>
    <w:rsid w:val="0052302B"/>
    <w:rsid w:val="005230BF"/>
    <w:rsid w:val="00523708"/>
    <w:rsid w:val="00523967"/>
    <w:rsid w:val="00523A9F"/>
    <w:rsid w:val="00523E1A"/>
    <w:rsid w:val="00524094"/>
    <w:rsid w:val="005242DE"/>
    <w:rsid w:val="00524BF0"/>
    <w:rsid w:val="0052508F"/>
    <w:rsid w:val="005253F8"/>
    <w:rsid w:val="0052567E"/>
    <w:rsid w:val="0052610F"/>
    <w:rsid w:val="00526DF6"/>
    <w:rsid w:val="00527346"/>
    <w:rsid w:val="005274C2"/>
    <w:rsid w:val="005276B1"/>
    <w:rsid w:val="00527B3B"/>
    <w:rsid w:val="005302A8"/>
    <w:rsid w:val="00530A55"/>
    <w:rsid w:val="00530D8C"/>
    <w:rsid w:val="00531344"/>
    <w:rsid w:val="005313B3"/>
    <w:rsid w:val="005314B7"/>
    <w:rsid w:val="00531F67"/>
    <w:rsid w:val="00532200"/>
    <w:rsid w:val="00532581"/>
    <w:rsid w:val="00532C0A"/>
    <w:rsid w:val="00532E6E"/>
    <w:rsid w:val="0053315D"/>
    <w:rsid w:val="00533580"/>
    <w:rsid w:val="00533647"/>
    <w:rsid w:val="005338A7"/>
    <w:rsid w:val="00533BDA"/>
    <w:rsid w:val="005342A4"/>
    <w:rsid w:val="00534405"/>
    <w:rsid w:val="0053463D"/>
    <w:rsid w:val="00534D60"/>
    <w:rsid w:val="00534D76"/>
    <w:rsid w:val="00534DCE"/>
    <w:rsid w:val="005354EF"/>
    <w:rsid w:val="005357DE"/>
    <w:rsid w:val="00535884"/>
    <w:rsid w:val="00535BA8"/>
    <w:rsid w:val="00536000"/>
    <w:rsid w:val="005365B1"/>
    <w:rsid w:val="00536BFA"/>
    <w:rsid w:val="00536F99"/>
    <w:rsid w:val="00537063"/>
    <w:rsid w:val="005374CE"/>
    <w:rsid w:val="00537B03"/>
    <w:rsid w:val="00537B4A"/>
    <w:rsid w:val="00537F6A"/>
    <w:rsid w:val="005400EF"/>
    <w:rsid w:val="00540878"/>
    <w:rsid w:val="00540D95"/>
    <w:rsid w:val="00540F63"/>
    <w:rsid w:val="005413BD"/>
    <w:rsid w:val="005416FB"/>
    <w:rsid w:val="00541BAA"/>
    <w:rsid w:val="00541D2C"/>
    <w:rsid w:val="00542BA0"/>
    <w:rsid w:val="00542DCD"/>
    <w:rsid w:val="00542E79"/>
    <w:rsid w:val="00544224"/>
    <w:rsid w:val="00544D93"/>
    <w:rsid w:val="00544FFF"/>
    <w:rsid w:val="00545519"/>
    <w:rsid w:val="005458EF"/>
    <w:rsid w:val="005465B3"/>
    <w:rsid w:val="0054698E"/>
    <w:rsid w:val="00546A4E"/>
    <w:rsid w:val="00546B67"/>
    <w:rsid w:val="005474D9"/>
    <w:rsid w:val="00547AB3"/>
    <w:rsid w:val="005505B2"/>
    <w:rsid w:val="00551227"/>
    <w:rsid w:val="00551AF0"/>
    <w:rsid w:val="00552A54"/>
    <w:rsid w:val="00552AB0"/>
    <w:rsid w:val="00552F9D"/>
    <w:rsid w:val="00552FA1"/>
    <w:rsid w:val="00553966"/>
    <w:rsid w:val="00553FB2"/>
    <w:rsid w:val="005542F4"/>
    <w:rsid w:val="005544E3"/>
    <w:rsid w:val="005546DA"/>
    <w:rsid w:val="005546E6"/>
    <w:rsid w:val="005547D1"/>
    <w:rsid w:val="005548D9"/>
    <w:rsid w:val="0055492D"/>
    <w:rsid w:val="00555270"/>
    <w:rsid w:val="00555886"/>
    <w:rsid w:val="0055610A"/>
    <w:rsid w:val="00556414"/>
    <w:rsid w:val="005568A6"/>
    <w:rsid w:val="00556AD4"/>
    <w:rsid w:val="00556E9F"/>
    <w:rsid w:val="0055720C"/>
    <w:rsid w:val="0055728A"/>
    <w:rsid w:val="00557730"/>
    <w:rsid w:val="00557B43"/>
    <w:rsid w:val="005602B2"/>
    <w:rsid w:val="005604CE"/>
    <w:rsid w:val="005608BA"/>
    <w:rsid w:val="005608F3"/>
    <w:rsid w:val="00561A69"/>
    <w:rsid w:val="00562F12"/>
    <w:rsid w:val="00562F2F"/>
    <w:rsid w:val="00562F59"/>
    <w:rsid w:val="00563083"/>
    <w:rsid w:val="005633FF"/>
    <w:rsid w:val="00563449"/>
    <w:rsid w:val="00563DC4"/>
    <w:rsid w:val="00563F98"/>
    <w:rsid w:val="0056406C"/>
    <w:rsid w:val="0056466D"/>
    <w:rsid w:val="005649B7"/>
    <w:rsid w:val="00564A01"/>
    <w:rsid w:val="00564D87"/>
    <w:rsid w:val="005650E5"/>
    <w:rsid w:val="00565301"/>
    <w:rsid w:val="0056618C"/>
    <w:rsid w:val="005661C3"/>
    <w:rsid w:val="005663E7"/>
    <w:rsid w:val="005667FC"/>
    <w:rsid w:val="00566955"/>
    <w:rsid w:val="00566AAC"/>
    <w:rsid w:val="0056708C"/>
    <w:rsid w:val="005673B0"/>
    <w:rsid w:val="00567929"/>
    <w:rsid w:val="00570576"/>
    <w:rsid w:val="00570F4B"/>
    <w:rsid w:val="005710FA"/>
    <w:rsid w:val="005713C0"/>
    <w:rsid w:val="005714CD"/>
    <w:rsid w:val="00571BEF"/>
    <w:rsid w:val="00571E59"/>
    <w:rsid w:val="00572304"/>
    <w:rsid w:val="00572B5C"/>
    <w:rsid w:val="00572B9D"/>
    <w:rsid w:val="005734F4"/>
    <w:rsid w:val="00573532"/>
    <w:rsid w:val="00573633"/>
    <w:rsid w:val="00573723"/>
    <w:rsid w:val="00573983"/>
    <w:rsid w:val="00573E87"/>
    <w:rsid w:val="00573FBB"/>
    <w:rsid w:val="00573FFD"/>
    <w:rsid w:val="00574184"/>
    <w:rsid w:val="00574360"/>
    <w:rsid w:val="00574413"/>
    <w:rsid w:val="00574527"/>
    <w:rsid w:val="00574A2A"/>
    <w:rsid w:val="00575466"/>
    <w:rsid w:val="00575767"/>
    <w:rsid w:val="00575D75"/>
    <w:rsid w:val="005760B6"/>
    <w:rsid w:val="00576162"/>
    <w:rsid w:val="0057620C"/>
    <w:rsid w:val="005762AB"/>
    <w:rsid w:val="0057648F"/>
    <w:rsid w:val="00576856"/>
    <w:rsid w:val="0057685B"/>
    <w:rsid w:val="00576A21"/>
    <w:rsid w:val="00576C2B"/>
    <w:rsid w:val="00576E4D"/>
    <w:rsid w:val="005773C6"/>
    <w:rsid w:val="00577627"/>
    <w:rsid w:val="005778F3"/>
    <w:rsid w:val="00577B9F"/>
    <w:rsid w:val="00577C58"/>
    <w:rsid w:val="00580144"/>
    <w:rsid w:val="005806C9"/>
    <w:rsid w:val="005806FB"/>
    <w:rsid w:val="00580882"/>
    <w:rsid w:val="00580D53"/>
    <w:rsid w:val="00580E15"/>
    <w:rsid w:val="00580E43"/>
    <w:rsid w:val="00580F62"/>
    <w:rsid w:val="0058179E"/>
    <w:rsid w:val="00581AF6"/>
    <w:rsid w:val="0058207C"/>
    <w:rsid w:val="005828B3"/>
    <w:rsid w:val="0058292A"/>
    <w:rsid w:val="00582FA7"/>
    <w:rsid w:val="005830B0"/>
    <w:rsid w:val="005835A1"/>
    <w:rsid w:val="00583659"/>
    <w:rsid w:val="005837B0"/>
    <w:rsid w:val="005837DD"/>
    <w:rsid w:val="00583BE6"/>
    <w:rsid w:val="00583DC8"/>
    <w:rsid w:val="0058408F"/>
    <w:rsid w:val="00584248"/>
    <w:rsid w:val="0058433D"/>
    <w:rsid w:val="00584823"/>
    <w:rsid w:val="005849CE"/>
    <w:rsid w:val="00584D09"/>
    <w:rsid w:val="00584D6F"/>
    <w:rsid w:val="00584F89"/>
    <w:rsid w:val="00585034"/>
    <w:rsid w:val="00585304"/>
    <w:rsid w:val="00585485"/>
    <w:rsid w:val="00585E46"/>
    <w:rsid w:val="005860E2"/>
    <w:rsid w:val="00586173"/>
    <w:rsid w:val="00586255"/>
    <w:rsid w:val="0058643D"/>
    <w:rsid w:val="00586E2F"/>
    <w:rsid w:val="00586F82"/>
    <w:rsid w:val="00587B46"/>
    <w:rsid w:val="00590158"/>
    <w:rsid w:val="0059036D"/>
    <w:rsid w:val="00590602"/>
    <w:rsid w:val="005906F5"/>
    <w:rsid w:val="00590A32"/>
    <w:rsid w:val="00590B57"/>
    <w:rsid w:val="0059103C"/>
    <w:rsid w:val="0059136E"/>
    <w:rsid w:val="005913A3"/>
    <w:rsid w:val="00591BC0"/>
    <w:rsid w:val="00592190"/>
    <w:rsid w:val="005926A5"/>
    <w:rsid w:val="00592789"/>
    <w:rsid w:val="00592B81"/>
    <w:rsid w:val="00592E47"/>
    <w:rsid w:val="00593028"/>
    <w:rsid w:val="00593079"/>
    <w:rsid w:val="005938B8"/>
    <w:rsid w:val="005938FD"/>
    <w:rsid w:val="00593C73"/>
    <w:rsid w:val="00593D16"/>
    <w:rsid w:val="005944E7"/>
    <w:rsid w:val="00595321"/>
    <w:rsid w:val="0059594F"/>
    <w:rsid w:val="00595C06"/>
    <w:rsid w:val="00595D09"/>
    <w:rsid w:val="00596085"/>
    <w:rsid w:val="0059609D"/>
    <w:rsid w:val="0059655D"/>
    <w:rsid w:val="0059696C"/>
    <w:rsid w:val="00596B07"/>
    <w:rsid w:val="00596D97"/>
    <w:rsid w:val="00596E0B"/>
    <w:rsid w:val="005974DB"/>
    <w:rsid w:val="0059782C"/>
    <w:rsid w:val="00597BD1"/>
    <w:rsid w:val="00597CD9"/>
    <w:rsid w:val="00597E91"/>
    <w:rsid w:val="005A0686"/>
    <w:rsid w:val="005A0AA0"/>
    <w:rsid w:val="005A0DC5"/>
    <w:rsid w:val="005A0E69"/>
    <w:rsid w:val="005A142B"/>
    <w:rsid w:val="005A156C"/>
    <w:rsid w:val="005A1743"/>
    <w:rsid w:val="005A1B40"/>
    <w:rsid w:val="005A1BDD"/>
    <w:rsid w:val="005A1D65"/>
    <w:rsid w:val="005A2316"/>
    <w:rsid w:val="005A2644"/>
    <w:rsid w:val="005A2B4C"/>
    <w:rsid w:val="005A304A"/>
    <w:rsid w:val="005A311C"/>
    <w:rsid w:val="005A3610"/>
    <w:rsid w:val="005A3935"/>
    <w:rsid w:val="005A4348"/>
    <w:rsid w:val="005A45B6"/>
    <w:rsid w:val="005A49E7"/>
    <w:rsid w:val="005A4C32"/>
    <w:rsid w:val="005A4EA8"/>
    <w:rsid w:val="005A51DC"/>
    <w:rsid w:val="005A548A"/>
    <w:rsid w:val="005A5A13"/>
    <w:rsid w:val="005A5B4E"/>
    <w:rsid w:val="005A6312"/>
    <w:rsid w:val="005A640E"/>
    <w:rsid w:val="005A65C3"/>
    <w:rsid w:val="005A6740"/>
    <w:rsid w:val="005A68F4"/>
    <w:rsid w:val="005A72D1"/>
    <w:rsid w:val="005A7DE4"/>
    <w:rsid w:val="005B02BA"/>
    <w:rsid w:val="005B09A5"/>
    <w:rsid w:val="005B12B2"/>
    <w:rsid w:val="005B1341"/>
    <w:rsid w:val="005B19C6"/>
    <w:rsid w:val="005B1C76"/>
    <w:rsid w:val="005B1CE9"/>
    <w:rsid w:val="005B1DDC"/>
    <w:rsid w:val="005B217E"/>
    <w:rsid w:val="005B274F"/>
    <w:rsid w:val="005B2BEA"/>
    <w:rsid w:val="005B2C1A"/>
    <w:rsid w:val="005B3117"/>
    <w:rsid w:val="005B373E"/>
    <w:rsid w:val="005B3B40"/>
    <w:rsid w:val="005B3C2A"/>
    <w:rsid w:val="005B4969"/>
    <w:rsid w:val="005B4B67"/>
    <w:rsid w:val="005B4D71"/>
    <w:rsid w:val="005B4E12"/>
    <w:rsid w:val="005B4FA5"/>
    <w:rsid w:val="005B5430"/>
    <w:rsid w:val="005B5B80"/>
    <w:rsid w:val="005B5C5E"/>
    <w:rsid w:val="005B6064"/>
    <w:rsid w:val="005B663D"/>
    <w:rsid w:val="005B6716"/>
    <w:rsid w:val="005B6B44"/>
    <w:rsid w:val="005B6EDC"/>
    <w:rsid w:val="005B6F7F"/>
    <w:rsid w:val="005B7490"/>
    <w:rsid w:val="005B7B90"/>
    <w:rsid w:val="005C0413"/>
    <w:rsid w:val="005C046E"/>
    <w:rsid w:val="005C0549"/>
    <w:rsid w:val="005C06F7"/>
    <w:rsid w:val="005C07AA"/>
    <w:rsid w:val="005C08BA"/>
    <w:rsid w:val="005C0E7B"/>
    <w:rsid w:val="005C0E9D"/>
    <w:rsid w:val="005C1107"/>
    <w:rsid w:val="005C1907"/>
    <w:rsid w:val="005C1AA9"/>
    <w:rsid w:val="005C220F"/>
    <w:rsid w:val="005C2591"/>
    <w:rsid w:val="005C25B9"/>
    <w:rsid w:val="005C25CA"/>
    <w:rsid w:val="005C2728"/>
    <w:rsid w:val="005C28AA"/>
    <w:rsid w:val="005C2C0C"/>
    <w:rsid w:val="005C2C7E"/>
    <w:rsid w:val="005C308B"/>
    <w:rsid w:val="005C32AC"/>
    <w:rsid w:val="005C3968"/>
    <w:rsid w:val="005C3AA9"/>
    <w:rsid w:val="005C405D"/>
    <w:rsid w:val="005C411B"/>
    <w:rsid w:val="005C441C"/>
    <w:rsid w:val="005C44F5"/>
    <w:rsid w:val="005C4664"/>
    <w:rsid w:val="005C4747"/>
    <w:rsid w:val="005C496D"/>
    <w:rsid w:val="005C4C5F"/>
    <w:rsid w:val="005C4C76"/>
    <w:rsid w:val="005C4F92"/>
    <w:rsid w:val="005C5003"/>
    <w:rsid w:val="005C52E1"/>
    <w:rsid w:val="005C53B1"/>
    <w:rsid w:val="005C53F7"/>
    <w:rsid w:val="005C555A"/>
    <w:rsid w:val="005C5715"/>
    <w:rsid w:val="005C5A6D"/>
    <w:rsid w:val="005C5CF7"/>
    <w:rsid w:val="005C6640"/>
    <w:rsid w:val="005C66E7"/>
    <w:rsid w:val="005C6723"/>
    <w:rsid w:val="005C67B2"/>
    <w:rsid w:val="005C68B5"/>
    <w:rsid w:val="005C6922"/>
    <w:rsid w:val="005C6AA6"/>
    <w:rsid w:val="005C6E17"/>
    <w:rsid w:val="005C725B"/>
    <w:rsid w:val="005C76BC"/>
    <w:rsid w:val="005C796E"/>
    <w:rsid w:val="005C7A0A"/>
    <w:rsid w:val="005C7C13"/>
    <w:rsid w:val="005C7C3A"/>
    <w:rsid w:val="005C7FE6"/>
    <w:rsid w:val="005D053A"/>
    <w:rsid w:val="005D0983"/>
    <w:rsid w:val="005D0A27"/>
    <w:rsid w:val="005D0C54"/>
    <w:rsid w:val="005D0F1F"/>
    <w:rsid w:val="005D134A"/>
    <w:rsid w:val="005D150F"/>
    <w:rsid w:val="005D1FC2"/>
    <w:rsid w:val="005D2018"/>
    <w:rsid w:val="005D21FB"/>
    <w:rsid w:val="005D228A"/>
    <w:rsid w:val="005D233A"/>
    <w:rsid w:val="005D304C"/>
    <w:rsid w:val="005D31DE"/>
    <w:rsid w:val="005D32CC"/>
    <w:rsid w:val="005D3D9D"/>
    <w:rsid w:val="005D3E9E"/>
    <w:rsid w:val="005D4001"/>
    <w:rsid w:val="005D4962"/>
    <w:rsid w:val="005D4AEB"/>
    <w:rsid w:val="005D4F01"/>
    <w:rsid w:val="005D5051"/>
    <w:rsid w:val="005D50B6"/>
    <w:rsid w:val="005D5377"/>
    <w:rsid w:val="005D549E"/>
    <w:rsid w:val="005D5F0D"/>
    <w:rsid w:val="005D5F82"/>
    <w:rsid w:val="005D6B25"/>
    <w:rsid w:val="005D6CA4"/>
    <w:rsid w:val="005D7069"/>
    <w:rsid w:val="005D729D"/>
    <w:rsid w:val="005D7527"/>
    <w:rsid w:val="005D7572"/>
    <w:rsid w:val="005D7C84"/>
    <w:rsid w:val="005E00C4"/>
    <w:rsid w:val="005E043A"/>
    <w:rsid w:val="005E0574"/>
    <w:rsid w:val="005E0740"/>
    <w:rsid w:val="005E08FA"/>
    <w:rsid w:val="005E095A"/>
    <w:rsid w:val="005E1125"/>
    <w:rsid w:val="005E1B95"/>
    <w:rsid w:val="005E1DBB"/>
    <w:rsid w:val="005E1E2A"/>
    <w:rsid w:val="005E1EBC"/>
    <w:rsid w:val="005E2867"/>
    <w:rsid w:val="005E2970"/>
    <w:rsid w:val="005E2AD2"/>
    <w:rsid w:val="005E2C01"/>
    <w:rsid w:val="005E2FFE"/>
    <w:rsid w:val="005E301A"/>
    <w:rsid w:val="005E319A"/>
    <w:rsid w:val="005E371E"/>
    <w:rsid w:val="005E3FA0"/>
    <w:rsid w:val="005E41BC"/>
    <w:rsid w:val="005E42A5"/>
    <w:rsid w:val="005E4519"/>
    <w:rsid w:val="005E45CD"/>
    <w:rsid w:val="005E4A9A"/>
    <w:rsid w:val="005E50E4"/>
    <w:rsid w:val="005E5634"/>
    <w:rsid w:val="005E58F3"/>
    <w:rsid w:val="005E5D2D"/>
    <w:rsid w:val="005E5DBD"/>
    <w:rsid w:val="005E611E"/>
    <w:rsid w:val="005E6290"/>
    <w:rsid w:val="005E629E"/>
    <w:rsid w:val="005E6650"/>
    <w:rsid w:val="005E681D"/>
    <w:rsid w:val="005E69BB"/>
    <w:rsid w:val="005E6B35"/>
    <w:rsid w:val="005E6D8B"/>
    <w:rsid w:val="005E72B8"/>
    <w:rsid w:val="005E74D7"/>
    <w:rsid w:val="005E7958"/>
    <w:rsid w:val="005E79C6"/>
    <w:rsid w:val="005F0264"/>
    <w:rsid w:val="005F02B2"/>
    <w:rsid w:val="005F0513"/>
    <w:rsid w:val="005F0693"/>
    <w:rsid w:val="005F094D"/>
    <w:rsid w:val="005F095A"/>
    <w:rsid w:val="005F0AAA"/>
    <w:rsid w:val="005F0E1A"/>
    <w:rsid w:val="005F132E"/>
    <w:rsid w:val="005F180D"/>
    <w:rsid w:val="005F1830"/>
    <w:rsid w:val="005F1A2B"/>
    <w:rsid w:val="005F1B0E"/>
    <w:rsid w:val="005F1CE4"/>
    <w:rsid w:val="005F20F5"/>
    <w:rsid w:val="005F2458"/>
    <w:rsid w:val="005F2531"/>
    <w:rsid w:val="005F2763"/>
    <w:rsid w:val="005F2808"/>
    <w:rsid w:val="005F282D"/>
    <w:rsid w:val="005F2BF8"/>
    <w:rsid w:val="005F365C"/>
    <w:rsid w:val="005F368F"/>
    <w:rsid w:val="005F3743"/>
    <w:rsid w:val="005F3878"/>
    <w:rsid w:val="005F38AF"/>
    <w:rsid w:val="005F3DDD"/>
    <w:rsid w:val="005F4A2F"/>
    <w:rsid w:val="005F4AFB"/>
    <w:rsid w:val="005F51DD"/>
    <w:rsid w:val="005F5A42"/>
    <w:rsid w:val="005F5B6D"/>
    <w:rsid w:val="005F5F36"/>
    <w:rsid w:val="005F6007"/>
    <w:rsid w:val="005F63EC"/>
    <w:rsid w:val="005F6F3F"/>
    <w:rsid w:val="005F7BC3"/>
    <w:rsid w:val="005F7FB5"/>
    <w:rsid w:val="0060002C"/>
    <w:rsid w:val="00600BC2"/>
    <w:rsid w:val="00600D2F"/>
    <w:rsid w:val="00600FE5"/>
    <w:rsid w:val="00601036"/>
    <w:rsid w:val="00601689"/>
    <w:rsid w:val="006016C2"/>
    <w:rsid w:val="00601858"/>
    <w:rsid w:val="00601B1E"/>
    <w:rsid w:val="00601CC4"/>
    <w:rsid w:val="0060212F"/>
    <w:rsid w:val="006026EB"/>
    <w:rsid w:val="0060277F"/>
    <w:rsid w:val="00602E4F"/>
    <w:rsid w:val="006032B8"/>
    <w:rsid w:val="0060386F"/>
    <w:rsid w:val="00603B03"/>
    <w:rsid w:val="00603CAC"/>
    <w:rsid w:val="00603D38"/>
    <w:rsid w:val="00603E47"/>
    <w:rsid w:val="00603EA0"/>
    <w:rsid w:val="00603F12"/>
    <w:rsid w:val="00604049"/>
    <w:rsid w:val="00604DC5"/>
    <w:rsid w:val="0060512D"/>
    <w:rsid w:val="0060536B"/>
    <w:rsid w:val="00605544"/>
    <w:rsid w:val="006055B7"/>
    <w:rsid w:val="006055B9"/>
    <w:rsid w:val="0060575E"/>
    <w:rsid w:val="006057F2"/>
    <w:rsid w:val="00605A94"/>
    <w:rsid w:val="00605F80"/>
    <w:rsid w:val="00606826"/>
    <w:rsid w:val="00606B40"/>
    <w:rsid w:val="00606CC5"/>
    <w:rsid w:val="00606D0F"/>
    <w:rsid w:val="00606D7D"/>
    <w:rsid w:val="00606E18"/>
    <w:rsid w:val="00606E6F"/>
    <w:rsid w:val="0060769C"/>
    <w:rsid w:val="00607C33"/>
    <w:rsid w:val="00607F7B"/>
    <w:rsid w:val="006107CA"/>
    <w:rsid w:val="00610A8D"/>
    <w:rsid w:val="00611252"/>
    <w:rsid w:val="006117F7"/>
    <w:rsid w:val="0061208C"/>
    <w:rsid w:val="006126C5"/>
    <w:rsid w:val="006128B3"/>
    <w:rsid w:val="00612B8E"/>
    <w:rsid w:val="00613C50"/>
    <w:rsid w:val="00613C75"/>
    <w:rsid w:val="00613D57"/>
    <w:rsid w:val="00613E41"/>
    <w:rsid w:val="0061402E"/>
    <w:rsid w:val="00614050"/>
    <w:rsid w:val="0061445A"/>
    <w:rsid w:val="0061446A"/>
    <w:rsid w:val="006144C9"/>
    <w:rsid w:val="006146F4"/>
    <w:rsid w:val="00615428"/>
    <w:rsid w:val="00615EB1"/>
    <w:rsid w:val="00616460"/>
    <w:rsid w:val="006165BA"/>
    <w:rsid w:val="00616A23"/>
    <w:rsid w:val="00616C4E"/>
    <w:rsid w:val="00616ED5"/>
    <w:rsid w:val="0061723D"/>
    <w:rsid w:val="00617AA8"/>
    <w:rsid w:val="00617C11"/>
    <w:rsid w:val="00617CAD"/>
    <w:rsid w:val="00617DCD"/>
    <w:rsid w:val="0062001D"/>
    <w:rsid w:val="006203A2"/>
    <w:rsid w:val="006205AA"/>
    <w:rsid w:val="006206B0"/>
    <w:rsid w:val="00620836"/>
    <w:rsid w:val="00620B42"/>
    <w:rsid w:val="00621402"/>
    <w:rsid w:val="0062175B"/>
    <w:rsid w:val="00621938"/>
    <w:rsid w:val="0062194F"/>
    <w:rsid w:val="00621968"/>
    <w:rsid w:val="00621AE4"/>
    <w:rsid w:val="00621B8B"/>
    <w:rsid w:val="00621C72"/>
    <w:rsid w:val="00622116"/>
    <w:rsid w:val="006221CF"/>
    <w:rsid w:val="00622C1A"/>
    <w:rsid w:val="00622CBE"/>
    <w:rsid w:val="00622D70"/>
    <w:rsid w:val="00622E0E"/>
    <w:rsid w:val="00622E67"/>
    <w:rsid w:val="00623086"/>
    <w:rsid w:val="00623322"/>
    <w:rsid w:val="00623B45"/>
    <w:rsid w:val="006242EC"/>
    <w:rsid w:val="0062435E"/>
    <w:rsid w:val="00624425"/>
    <w:rsid w:val="00624BF2"/>
    <w:rsid w:val="00625AF1"/>
    <w:rsid w:val="00625E12"/>
    <w:rsid w:val="00625EBC"/>
    <w:rsid w:val="006265D4"/>
    <w:rsid w:val="00626FCE"/>
    <w:rsid w:val="00627062"/>
    <w:rsid w:val="0062709F"/>
    <w:rsid w:val="006307F9"/>
    <w:rsid w:val="00630BAA"/>
    <w:rsid w:val="00630FC0"/>
    <w:rsid w:val="00631061"/>
    <w:rsid w:val="006310B5"/>
    <w:rsid w:val="00631293"/>
    <w:rsid w:val="00631823"/>
    <w:rsid w:val="00632234"/>
    <w:rsid w:val="00632307"/>
    <w:rsid w:val="00632401"/>
    <w:rsid w:val="00632B12"/>
    <w:rsid w:val="00632CF8"/>
    <w:rsid w:val="00632F56"/>
    <w:rsid w:val="006333D5"/>
    <w:rsid w:val="006334F8"/>
    <w:rsid w:val="00633770"/>
    <w:rsid w:val="00633B37"/>
    <w:rsid w:val="00633BCC"/>
    <w:rsid w:val="00633F15"/>
    <w:rsid w:val="00633F2D"/>
    <w:rsid w:val="00633F8C"/>
    <w:rsid w:val="00634386"/>
    <w:rsid w:val="006343DE"/>
    <w:rsid w:val="0063449D"/>
    <w:rsid w:val="006344C9"/>
    <w:rsid w:val="006344CB"/>
    <w:rsid w:val="006346EB"/>
    <w:rsid w:val="00634BB8"/>
    <w:rsid w:val="006352D2"/>
    <w:rsid w:val="00635724"/>
    <w:rsid w:val="00635A36"/>
    <w:rsid w:val="006361DB"/>
    <w:rsid w:val="006362A8"/>
    <w:rsid w:val="006367E0"/>
    <w:rsid w:val="00636AD1"/>
    <w:rsid w:val="00636AD2"/>
    <w:rsid w:val="00637714"/>
    <w:rsid w:val="006378C2"/>
    <w:rsid w:val="006379F2"/>
    <w:rsid w:val="00637D6B"/>
    <w:rsid w:val="00637E83"/>
    <w:rsid w:val="0064025D"/>
    <w:rsid w:val="006411EA"/>
    <w:rsid w:val="00641661"/>
    <w:rsid w:val="0064195A"/>
    <w:rsid w:val="0064195C"/>
    <w:rsid w:val="00641CFC"/>
    <w:rsid w:val="006420BA"/>
    <w:rsid w:val="00642223"/>
    <w:rsid w:val="00642A37"/>
    <w:rsid w:val="00642C53"/>
    <w:rsid w:val="00642C69"/>
    <w:rsid w:val="00642DBF"/>
    <w:rsid w:val="00642DD1"/>
    <w:rsid w:val="00643007"/>
    <w:rsid w:val="006430B4"/>
    <w:rsid w:val="006433A8"/>
    <w:rsid w:val="006437CF"/>
    <w:rsid w:val="00643A98"/>
    <w:rsid w:val="00643C21"/>
    <w:rsid w:val="00643D8E"/>
    <w:rsid w:val="00643E00"/>
    <w:rsid w:val="00643EE2"/>
    <w:rsid w:val="006448E4"/>
    <w:rsid w:val="00644D4F"/>
    <w:rsid w:val="0064561D"/>
    <w:rsid w:val="0064581C"/>
    <w:rsid w:val="006458D7"/>
    <w:rsid w:val="0064594E"/>
    <w:rsid w:val="00645AC5"/>
    <w:rsid w:val="00645ECF"/>
    <w:rsid w:val="00645F4A"/>
    <w:rsid w:val="006464CB"/>
    <w:rsid w:val="006465DD"/>
    <w:rsid w:val="00646ECB"/>
    <w:rsid w:val="00646FE7"/>
    <w:rsid w:val="006471E1"/>
    <w:rsid w:val="006474C1"/>
    <w:rsid w:val="0064774A"/>
    <w:rsid w:val="00647838"/>
    <w:rsid w:val="006500EF"/>
    <w:rsid w:val="006506BF"/>
    <w:rsid w:val="006507C3"/>
    <w:rsid w:val="006507DC"/>
    <w:rsid w:val="00650A49"/>
    <w:rsid w:val="00651744"/>
    <w:rsid w:val="00651787"/>
    <w:rsid w:val="00651B1D"/>
    <w:rsid w:val="00652555"/>
    <w:rsid w:val="006525E9"/>
    <w:rsid w:val="0065265D"/>
    <w:rsid w:val="006527FE"/>
    <w:rsid w:val="006530F5"/>
    <w:rsid w:val="0065324F"/>
    <w:rsid w:val="00653418"/>
    <w:rsid w:val="00653436"/>
    <w:rsid w:val="006535D7"/>
    <w:rsid w:val="00653C35"/>
    <w:rsid w:val="00653C4F"/>
    <w:rsid w:val="00654770"/>
    <w:rsid w:val="00654AF9"/>
    <w:rsid w:val="006550D2"/>
    <w:rsid w:val="00655B11"/>
    <w:rsid w:val="006560AE"/>
    <w:rsid w:val="006563F7"/>
    <w:rsid w:val="006564F5"/>
    <w:rsid w:val="006565E0"/>
    <w:rsid w:val="0065662E"/>
    <w:rsid w:val="0065710E"/>
    <w:rsid w:val="0065712B"/>
    <w:rsid w:val="0065747B"/>
    <w:rsid w:val="0065757D"/>
    <w:rsid w:val="00660012"/>
    <w:rsid w:val="00660BE5"/>
    <w:rsid w:val="006613E2"/>
    <w:rsid w:val="00661AAC"/>
    <w:rsid w:val="00661D7F"/>
    <w:rsid w:val="00661E29"/>
    <w:rsid w:val="006622C8"/>
    <w:rsid w:val="00662536"/>
    <w:rsid w:val="006628F3"/>
    <w:rsid w:val="006631DE"/>
    <w:rsid w:val="006632B3"/>
    <w:rsid w:val="006636A3"/>
    <w:rsid w:val="006636D7"/>
    <w:rsid w:val="006636FD"/>
    <w:rsid w:val="00663E72"/>
    <w:rsid w:val="00663FDE"/>
    <w:rsid w:val="006642B2"/>
    <w:rsid w:val="00664473"/>
    <w:rsid w:val="00664720"/>
    <w:rsid w:val="0066480C"/>
    <w:rsid w:val="00665025"/>
    <w:rsid w:val="00665095"/>
    <w:rsid w:val="00665185"/>
    <w:rsid w:val="00665251"/>
    <w:rsid w:val="00665401"/>
    <w:rsid w:val="00665C1F"/>
    <w:rsid w:val="00665E70"/>
    <w:rsid w:val="00665E7A"/>
    <w:rsid w:val="00666139"/>
    <w:rsid w:val="00666C80"/>
    <w:rsid w:val="00667405"/>
    <w:rsid w:val="00667751"/>
    <w:rsid w:val="00667B47"/>
    <w:rsid w:val="00670206"/>
    <w:rsid w:val="006704AD"/>
    <w:rsid w:val="006707AF"/>
    <w:rsid w:val="00670862"/>
    <w:rsid w:val="0067146D"/>
    <w:rsid w:val="00671525"/>
    <w:rsid w:val="006717C8"/>
    <w:rsid w:val="00671AD6"/>
    <w:rsid w:val="00671BAD"/>
    <w:rsid w:val="00671BBF"/>
    <w:rsid w:val="00671F0E"/>
    <w:rsid w:val="0067276A"/>
    <w:rsid w:val="00672EA2"/>
    <w:rsid w:val="006730CF"/>
    <w:rsid w:val="00673B49"/>
    <w:rsid w:val="0067425F"/>
    <w:rsid w:val="00674521"/>
    <w:rsid w:val="00674C58"/>
    <w:rsid w:val="00675225"/>
    <w:rsid w:val="006759E4"/>
    <w:rsid w:val="00675AA4"/>
    <w:rsid w:val="00675AD9"/>
    <w:rsid w:val="00675B62"/>
    <w:rsid w:val="00675BAC"/>
    <w:rsid w:val="00675EB5"/>
    <w:rsid w:val="006761BF"/>
    <w:rsid w:val="006764EF"/>
    <w:rsid w:val="006765DF"/>
    <w:rsid w:val="006765FF"/>
    <w:rsid w:val="006766DE"/>
    <w:rsid w:val="006768D7"/>
    <w:rsid w:val="00676982"/>
    <w:rsid w:val="00676DE9"/>
    <w:rsid w:val="00676E46"/>
    <w:rsid w:val="006770FB"/>
    <w:rsid w:val="00677B5C"/>
    <w:rsid w:val="00677B7B"/>
    <w:rsid w:val="00677BE9"/>
    <w:rsid w:val="00680650"/>
    <w:rsid w:val="00681412"/>
    <w:rsid w:val="00681B43"/>
    <w:rsid w:val="00681C3E"/>
    <w:rsid w:val="0068238A"/>
    <w:rsid w:val="006829D6"/>
    <w:rsid w:val="00682BC6"/>
    <w:rsid w:val="00682D9C"/>
    <w:rsid w:val="006830DC"/>
    <w:rsid w:val="006831A6"/>
    <w:rsid w:val="0068374F"/>
    <w:rsid w:val="00683C23"/>
    <w:rsid w:val="00683DF0"/>
    <w:rsid w:val="00684034"/>
    <w:rsid w:val="006845C5"/>
    <w:rsid w:val="00684AE4"/>
    <w:rsid w:val="00684EC6"/>
    <w:rsid w:val="00685589"/>
    <w:rsid w:val="00685721"/>
    <w:rsid w:val="006858D9"/>
    <w:rsid w:val="00685A2C"/>
    <w:rsid w:val="00685C7F"/>
    <w:rsid w:val="00686348"/>
    <w:rsid w:val="0068639F"/>
    <w:rsid w:val="00686603"/>
    <w:rsid w:val="0068669E"/>
    <w:rsid w:val="006866F1"/>
    <w:rsid w:val="00686778"/>
    <w:rsid w:val="00686AB6"/>
    <w:rsid w:val="00686ADC"/>
    <w:rsid w:val="00686E36"/>
    <w:rsid w:val="006873A9"/>
    <w:rsid w:val="00687510"/>
    <w:rsid w:val="006878CF"/>
    <w:rsid w:val="00690067"/>
    <w:rsid w:val="006903E3"/>
    <w:rsid w:val="00690460"/>
    <w:rsid w:val="00690E68"/>
    <w:rsid w:val="0069113D"/>
    <w:rsid w:val="00691A47"/>
    <w:rsid w:val="00691AF8"/>
    <w:rsid w:val="00691C64"/>
    <w:rsid w:val="00692190"/>
    <w:rsid w:val="00692252"/>
    <w:rsid w:val="00692344"/>
    <w:rsid w:val="006925B0"/>
    <w:rsid w:val="00692628"/>
    <w:rsid w:val="00692959"/>
    <w:rsid w:val="00692B7E"/>
    <w:rsid w:val="00692C17"/>
    <w:rsid w:val="00692F42"/>
    <w:rsid w:val="00692FC9"/>
    <w:rsid w:val="00693088"/>
    <w:rsid w:val="0069347E"/>
    <w:rsid w:val="00693865"/>
    <w:rsid w:val="00693BC8"/>
    <w:rsid w:val="00693F69"/>
    <w:rsid w:val="00694AB7"/>
    <w:rsid w:val="00694D6E"/>
    <w:rsid w:val="00695043"/>
    <w:rsid w:val="006950C0"/>
    <w:rsid w:val="0069552F"/>
    <w:rsid w:val="0069596B"/>
    <w:rsid w:val="00695A2E"/>
    <w:rsid w:val="00695B6D"/>
    <w:rsid w:val="00695F0D"/>
    <w:rsid w:val="006962C1"/>
    <w:rsid w:val="006969A2"/>
    <w:rsid w:val="00696A1E"/>
    <w:rsid w:val="00696A22"/>
    <w:rsid w:val="00696BCF"/>
    <w:rsid w:val="00696C9A"/>
    <w:rsid w:val="00696E1F"/>
    <w:rsid w:val="0069713C"/>
    <w:rsid w:val="0069714F"/>
    <w:rsid w:val="006975C9"/>
    <w:rsid w:val="00697957"/>
    <w:rsid w:val="006979C7"/>
    <w:rsid w:val="00697AFF"/>
    <w:rsid w:val="00697F8C"/>
    <w:rsid w:val="006A00F6"/>
    <w:rsid w:val="006A0258"/>
    <w:rsid w:val="006A038B"/>
    <w:rsid w:val="006A043C"/>
    <w:rsid w:val="006A08E9"/>
    <w:rsid w:val="006A0D90"/>
    <w:rsid w:val="006A0F5C"/>
    <w:rsid w:val="006A1112"/>
    <w:rsid w:val="006A1808"/>
    <w:rsid w:val="006A1A6D"/>
    <w:rsid w:val="006A1BC1"/>
    <w:rsid w:val="006A1CC6"/>
    <w:rsid w:val="006A1DD7"/>
    <w:rsid w:val="006A20B2"/>
    <w:rsid w:val="006A21CB"/>
    <w:rsid w:val="006A26A1"/>
    <w:rsid w:val="006A26F9"/>
    <w:rsid w:val="006A27AE"/>
    <w:rsid w:val="006A2896"/>
    <w:rsid w:val="006A2CFD"/>
    <w:rsid w:val="006A32AD"/>
    <w:rsid w:val="006A35D9"/>
    <w:rsid w:val="006A35ED"/>
    <w:rsid w:val="006A376E"/>
    <w:rsid w:val="006A3AF1"/>
    <w:rsid w:val="006A3C29"/>
    <w:rsid w:val="006A3DB7"/>
    <w:rsid w:val="006A401A"/>
    <w:rsid w:val="006A4780"/>
    <w:rsid w:val="006A48F8"/>
    <w:rsid w:val="006A4986"/>
    <w:rsid w:val="006A4ADA"/>
    <w:rsid w:val="006A4CE7"/>
    <w:rsid w:val="006A518B"/>
    <w:rsid w:val="006A5950"/>
    <w:rsid w:val="006A61D8"/>
    <w:rsid w:val="006A6315"/>
    <w:rsid w:val="006A63C9"/>
    <w:rsid w:val="006A6611"/>
    <w:rsid w:val="006A67A9"/>
    <w:rsid w:val="006A689C"/>
    <w:rsid w:val="006A6B7C"/>
    <w:rsid w:val="006A6BCB"/>
    <w:rsid w:val="006A6CF8"/>
    <w:rsid w:val="006A6F9C"/>
    <w:rsid w:val="006A739D"/>
    <w:rsid w:val="006A74B2"/>
    <w:rsid w:val="006A7CE3"/>
    <w:rsid w:val="006B0076"/>
    <w:rsid w:val="006B06C9"/>
    <w:rsid w:val="006B1015"/>
    <w:rsid w:val="006B11C1"/>
    <w:rsid w:val="006B14EB"/>
    <w:rsid w:val="006B150D"/>
    <w:rsid w:val="006B1CCF"/>
    <w:rsid w:val="006B1F8B"/>
    <w:rsid w:val="006B2199"/>
    <w:rsid w:val="006B22D3"/>
    <w:rsid w:val="006B2478"/>
    <w:rsid w:val="006B3153"/>
    <w:rsid w:val="006B33B5"/>
    <w:rsid w:val="006B3816"/>
    <w:rsid w:val="006B3BBB"/>
    <w:rsid w:val="006B4109"/>
    <w:rsid w:val="006B46BC"/>
    <w:rsid w:val="006B49E5"/>
    <w:rsid w:val="006B4A8F"/>
    <w:rsid w:val="006B5298"/>
    <w:rsid w:val="006B53E5"/>
    <w:rsid w:val="006B554C"/>
    <w:rsid w:val="006B56B1"/>
    <w:rsid w:val="006B5CA8"/>
    <w:rsid w:val="006B64AA"/>
    <w:rsid w:val="006B6981"/>
    <w:rsid w:val="006B727E"/>
    <w:rsid w:val="006B7329"/>
    <w:rsid w:val="006B763A"/>
    <w:rsid w:val="006B7D90"/>
    <w:rsid w:val="006B7DB6"/>
    <w:rsid w:val="006C01DF"/>
    <w:rsid w:val="006C09B6"/>
    <w:rsid w:val="006C0ADF"/>
    <w:rsid w:val="006C0D87"/>
    <w:rsid w:val="006C0FC9"/>
    <w:rsid w:val="006C1313"/>
    <w:rsid w:val="006C1AC3"/>
    <w:rsid w:val="006C1C45"/>
    <w:rsid w:val="006C212D"/>
    <w:rsid w:val="006C2491"/>
    <w:rsid w:val="006C2D56"/>
    <w:rsid w:val="006C311E"/>
    <w:rsid w:val="006C3173"/>
    <w:rsid w:val="006C35E7"/>
    <w:rsid w:val="006C3A8D"/>
    <w:rsid w:val="006C466E"/>
    <w:rsid w:val="006C4C41"/>
    <w:rsid w:val="006C4DAE"/>
    <w:rsid w:val="006C4E18"/>
    <w:rsid w:val="006C5699"/>
    <w:rsid w:val="006C5844"/>
    <w:rsid w:val="006C5EF3"/>
    <w:rsid w:val="006C5F1A"/>
    <w:rsid w:val="006C6495"/>
    <w:rsid w:val="006C64A0"/>
    <w:rsid w:val="006C6B93"/>
    <w:rsid w:val="006C6C4F"/>
    <w:rsid w:val="006C730C"/>
    <w:rsid w:val="006C730D"/>
    <w:rsid w:val="006C74FE"/>
    <w:rsid w:val="006C7726"/>
    <w:rsid w:val="006C7746"/>
    <w:rsid w:val="006C7B76"/>
    <w:rsid w:val="006C7F68"/>
    <w:rsid w:val="006D03A9"/>
    <w:rsid w:val="006D03E8"/>
    <w:rsid w:val="006D0C91"/>
    <w:rsid w:val="006D0D3A"/>
    <w:rsid w:val="006D0D67"/>
    <w:rsid w:val="006D101C"/>
    <w:rsid w:val="006D17B8"/>
    <w:rsid w:val="006D18EE"/>
    <w:rsid w:val="006D1941"/>
    <w:rsid w:val="006D1EBA"/>
    <w:rsid w:val="006D1ED1"/>
    <w:rsid w:val="006D1F1D"/>
    <w:rsid w:val="006D20BD"/>
    <w:rsid w:val="006D20D5"/>
    <w:rsid w:val="006D2394"/>
    <w:rsid w:val="006D26D5"/>
    <w:rsid w:val="006D27AF"/>
    <w:rsid w:val="006D28CE"/>
    <w:rsid w:val="006D2D8E"/>
    <w:rsid w:val="006D31DE"/>
    <w:rsid w:val="006D3D18"/>
    <w:rsid w:val="006D3FBC"/>
    <w:rsid w:val="006D42B8"/>
    <w:rsid w:val="006D46DF"/>
    <w:rsid w:val="006D4AB3"/>
    <w:rsid w:val="006D4AC1"/>
    <w:rsid w:val="006D4C09"/>
    <w:rsid w:val="006D4CBB"/>
    <w:rsid w:val="006D52B5"/>
    <w:rsid w:val="006D54C9"/>
    <w:rsid w:val="006D5D1E"/>
    <w:rsid w:val="006D5FB4"/>
    <w:rsid w:val="006D62D6"/>
    <w:rsid w:val="006D634F"/>
    <w:rsid w:val="006D6465"/>
    <w:rsid w:val="006D65B4"/>
    <w:rsid w:val="006D6931"/>
    <w:rsid w:val="006D6B97"/>
    <w:rsid w:val="006D7034"/>
    <w:rsid w:val="006D732B"/>
    <w:rsid w:val="006D7908"/>
    <w:rsid w:val="006E08C1"/>
    <w:rsid w:val="006E106C"/>
    <w:rsid w:val="006E1BDD"/>
    <w:rsid w:val="006E1FBE"/>
    <w:rsid w:val="006E1FEA"/>
    <w:rsid w:val="006E2C5F"/>
    <w:rsid w:val="006E2F2E"/>
    <w:rsid w:val="006E3264"/>
    <w:rsid w:val="006E33D6"/>
    <w:rsid w:val="006E3438"/>
    <w:rsid w:val="006E3452"/>
    <w:rsid w:val="006E37A6"/>
    <w:rsid w:val="006E3D68"/>
    <w:rsid w:val="006E50E4"/>
    <w:rsid w:val="006E5713"/>
    <w:rsid w:val="006E59C5"/>
    <w:rsid w:val="006E5B03"/>
    <w:rsid w:val="006E6100"/>
    <w:rsid w:val="006E6146"/>
    <w:rsid w:val="006E6663"/>
    <w:rsid w:val="006E6AEA"/>
    <w:rsid w:val="006E6BE1"/>
    <w:rsid w:val="006E7179"/>
    <w:rsid w:val="006E772C"/>
    <w:rsid w:val="006E79A6"/>
    <w:rsid w:val="006E7C9A"/>
    <w:rsid w:val="006E7D34"/>
    <w:rsid w:val="006F02E3"/>
    <w:rsid w:val="006F0660"/>
    <w:rsid w:val="006F0E04"/>
    <w:rsid w:val="006F1C27"/>
    <w:rsid w:val="006F1C6A"/>
    <w:rsid w:val="006F24A9"/>
    <w:rsid w:val="006F2662"/>
    <w:rsid w:val="006F26DE"/>
    <w:rsid w:val="006F2B5F"/>
    <w:rsid w:val="006F2E7D"/>
    <w:rsid w:val="006F30CF"/>
    <w:rsid w:val="006F39D9"/>
    <w:rsid w:val="006F3AD6"/>
    <w:rsid w:val="006F3B02"/>
    <w:rsid w:val="006F3F24"/>
    <w:rsid w:val="006F3F7B"/>
    <w:rsid w:val="006F4757"/>
    <w:rsid w:val="006F4C43"/>
    <w:rsid w:val="006F4F5B"/>
    <w:rsid w:val="006F50B8"/>
    <w:rsid w:val="006F583C"/>
    <w:rsid w:val="006F5B18"/>
    <w:rsid w:val="006F5CE1"/>
    <w:rsid w:val="006F6575"/>
    <w:rsid w:val="006F66E1"/>
    <w:rsid w:val="006F6BED"/>
    <w:rsid w:val="006F6D50"/>
    <w:rsid w:val="006F7BD9"/>
    <w:rsid w:val="00700142"/>
    <w:rsid w:val="0070023C"/>
    <w:rsid w:val="00700607"/>
    <w:rsid w:val="00700F89"/>
    <w:rsid w:val="007015F3"/>
    <w:rsid w:val="00701816"/>
    <w:rsid w:val="0070185E"/>
    <w:rsid w:val="00701A81"/>
    <w:rsid w:val="00702055"/>
    <w:rsid w:val="0070237E"/>
    <w:rsid w:val="0070280C"/>
    <w:rsid w:val="0070294A"/>
    <w:rsid w:val="00702BBA"/>
    <w:rsid w:val="00702DAD"/>
    <w:rsid w:val="00702F0F"/>
    <w:rsid w:val="00702F13"/>
    <w:rsid w:val="007033ED"/>
    <w:rsid w:val="0070344C"/>
    <w:rsid w:val="00703556"/>
    <w:rsid w:val="007035F4"/>
    <w:rsid w:val="00703DE7"/>
    <w:rsid w:val="007041F5"/>
    <w:rsid w:val="0070429A"/>
    <w:rsid w:val="00704349"/>
    <w:rsid w:val="0070469F"/>
    <w:rsid w:val="00704771"/>
    <w:rsid w:val="0070481F"/>
    <w:rsid w:val="00704CB6"/>
    <w:rsid w:val="00704DAF"/>
    <w:rsid w:val="00704EDC"/>
    <w:rsid w:val="0070571B"/>
    <w:rsid w:val="00706054"/>
    <w:rsid w:val="00706133"/>
    <w:rsid w:val="00706289"/>
    <w:rsid w:val="007066B7"/>
    <w:rsid w:val="00706F89"/>
    <w:rsid w:val="00707343"/>
    <w:rsid w:val="00707546"/>
    <w:rsid w:val="00707812"/>
    <w:rsid w:val="00707BB0"/>
    <w:rsid w:val="007102B8"/>
    <w:rsid w:val="0071051D"/>
    <w:rsid w:val="007105BC"/>
    <w:rsid w:val="007105C0"/>
    <w:rsid w:val="0071068E"/>
    <w:rsid w:val="007106B8"/>
    <w:rsid w:val="00710836"/>
    <w:rsid w:val="0071086E"/>
    <w:rsid w:val="00710B61"/>
    <w:rsid w:val="00710CC7"/>
    <w:rsid w:val="00710FFF"/>
    <w:rsid w:val="007110DA"/>
    <w:rsid w:val="007111DE"/>
    <w:rsid w:val="00711409"/>
    <w:rsid w:val="007116CE"/>
    <w:rsid w:val="0071190F"/>
    <w:rsid w:val="0071198A"/>
    <w:rsid w:val="007119AF"/>
    <w:rsid w:val="00712377"/>
    <w:rsid w:val="007126B2"/>
    <w:rsid w:val="007129D0"/>
    <w:rsid w:val="007130B3"/>
    <w:rsid w:val="0071366D"/>
    <w:rsid w:val="0071371C"/>
    <w:rsid w:val="00713B41"/>
    <w:rsid w:val="00713F29"/>
    <w:rsid w:val="00714534"/>
    <w:rsid w:val="007147DF"/>
    <w:rsid w:val="00714A2C"/>
    <w:rsid w:val="00714BA2"/>
    <w:rsid w:val="00714DC5"/>
    <w:rsid w:val="00714F0A"/>
    <w:rsid w:val="007151D1"/>
    <w:rsid w:val="0071540B"/>
    <w:rsid w:val="007155AA"/>
    <w:rsid w:val="0071574D"/>
    <w:rsid w:val="007158C1"/>
    <w:rsid w:val="00716292"/>
    <w:rsid w:val="00716BEB"/>
    <w:rsid w:val="00716FC3"/>
    <w:rsid w:val="0071754C"/>
    <w:rsid w:val="00717723"/>
    <w:rsid w:val="00717D8B"/>
    <w:rsid w:val="00717F1C"/>
    <w:rsid w:val="0072024F"/>
    <w:rsid w:val="00721160"/>
    <w:rsid w:val="007211E5"/>
    <w:rsid w:val="0072126F"/>
    <w:rsid w:val="0072145F"/>
    <w:rsid w:val="007219F1"/>
    <w:rsid w:val="00721A0E"/>
    <w:rsid w:val="00721FCA"/>
    <w:rsid w:val="007224F3"/>
    <w:rsid w:val="0072280C"/>
    <w:rsid w:val="007228B4"/>
    <w:rsid w:val="00722B6B"/>
    <w:rsid w:val="00722F65"/>
    <w:rsid w:val="0072318C"/>
    <w:rsid w:val="007233E7"/>
    <w:rsid w:val="007235EA"/>
    <w:rsid w:val="0072361F"/>
    <w:rsid w:val="00723B5C"/>
    <w:rsid w:val="00723C77"/>
    <w:rsid w:val="00723DD1"/>
    <w:rsid w:val="007240BB"/>
    <w:rsid w:val="007245A3"/>
    <w:rsid w:val="00724752"/>
    <w:rsid w:val="00724B2C"/>
    <w:rsid w:val="00725080"/>
    <w:rsid w:val="007255FF"/>
    <w:rsid w:val="00725729"/>
    <w:rsid w:val="00725A2C"/>
    <w:rsid w:val="00725E25"/>
    <w:rsid w:val="0072601F"/>
    <w:rsid w:val="0072605A"/>
    <w:rsid w:val="0072620E"/>
    <w:rsid w:val="007262E2"/>
    <w:rsid w:val="0072632A"/>
    <w:rsid w:val="0072656B"/>
    <w:rsid w:val="007265AC"/>
    <w:rsid w:val="00726FDA"/>
    <w:rsid w:val="00727145"/>
    <w:rsid w:val="00727150"/>
    <w:rsid w:val="00727B0F"/>
    <w:rsid w:val="00727DD3"/>
    <w:rsid w:val="007301F2"/>
    <w:rsid w:val="00730200"/>
    <w:rsid w:val="00730321"/>
    <w:rsid w:val="00730422"/>
    <w:rsid w:val="0073071E"/>
    <w:rsid w:val="00730BE9"/>
    <w:rsid w:val="00730C60"/>
    <w:rsid w:val="00731064"/>
    <w:rsid w:val="007313AE"/>
    <w:rsid w:val="007313D2"/>
    <w:rsid w:val="007313F3"/>
    <w:rsid w:val="00731765"/>
    <w:rsid w:val="007317B0"/>
    <w:rsid w:val="00731E4F"/>
    <w:rsid w:val="007320B9"/>
    <w:rsid w:val="007322AA"/>
    <w:rsid w:val="0073293B"/>
    <w:rsid w:val="00732EB8"/>
    <w:rsid w:val="00732FF6"/>
    <w:rsid w:val="0073323A"/>
    <w:rsid w:val="007334EF"/>
    <w:rsid w:val="0073356D"/>
    <w:rsid w:val="00733CEC"/>
    <w:rsid w:val="00734029"/>
    <w:rsid w:val="007340EB"/>
    <w:rsid w:val="0073424B"/>
    <w:rsid w:val="00734622"/>
    <w:rsid w:val="00734A4B"/>
    <w:rsid w:val="00734DE8"/>
    <w:rsid w:val="0073530D"/>
    <w:rsid w:val="00735667"/>
    <w:rsid w:val="00735765"/>
    <w:rsid w:val="00735D69"/>
    <w:rsid w:val="00735F75"/>
    <w:rsid w:val="007361DB"/>
    <w:rsid w:val="007366AB"/>
    <w:rsid w:val="0073681C"/>
    <w:rsid w:val="00736D62"/>
    <w:rsid w:val="007371B5"/>
    <w:rsid w:val="0073725D"/>
    <w:rsid w:val="0073733D"/>
    <w:rsid w:val="00737A24"/>
    <w:rsid w:val="00737DE9"/>
    <w:rsid w:val="00740047"/>
    <w:rsid w:val="007400CC"/>
    <w:rsid w:val="007401B0"/>
    <w:rsid w:val="0074079E"/>
    <w:rsid w:val="0074088B"/>
    <w:rsid w:val="007409DB"/>
    <w:rsid w:val="007410BF"/>
    <w:rsid w:val="00741728"/>
    <w:rsid w:val="00741A16"/>
    <w:rsid w:val="00741EDA"/>
    <w:rsid w:val="00742913"/>
    <w:rsid w:val="00742F53"/>
    <w:rsid w:val="00743041"/>
    <w:rsid w:val="00743360"/>
    <w:rsid w:val="007438F1"/>
    <w:rsid w:val="00743C9D"/>
    <w:rsid w:val="00743EB3"/>
    <w:rsid w:val="00743F33"/>
    <w:rsid w:val="00744ACA"/>
    <w:rsid w:val="00745BBE"/>
    <w:rsid w:val="00745ED6"/>
    <w:rsid w:val="00745F5B"/>
    <w:rsid w:val="00746098"/>
    <w:rsid w:val="0074642F"/>
    <w:rsid w:val="0074662C"/>
    <w:rsid w:val="00746739"/>
    <w:rsid w:val="00746905"/>
    <w:rsid w:val="00746A86"/>
    <w:rsid w:val="00746CD8"/>
    <w:rsid w:val="007471D9"/>
    <w:rsid w:val="00747874"/>
    <w:rsid w:val="00747CEE"/>
    <w:rsid w:val="00747D75"/>
    <w:rsid w:val="00747EAD"/>
    <w:rsid w:val="00750120"/>
    <w:rsid w:val="007503EB"/>
    <w:rsid w:val="00750669"/>
    <w:rsid w:val="007507B4"/>
    <w:rsid w:val="007509FA"/>
    <w:rsid w:val="00750E36"/>
    <w:rsid w:val="007511D5"/>
    <w:rsid w:val="007514DC"/>
    <w:rsid w:val="00751584"/>
    <w:rsid w:val="00751982"/>
    <w:rsid w:val="00751FA0"/>
    <w:rsid w:val="00752132"/>
    <w:rsid w:val="007523FF"/>
    <w:rsid w:val="00752741"/>
    <w:rsid w:val="007528C1"/>
    <w:rsid w:val="00752FC0"/>
    <w:rsid w:val="007531A2"/>
    <w:rsid w:val="007532D2"/>
    <w:rsid w:val="00753392"/>
    <w:rsid w:val="00753781"/>
    <w:rsid w:val="0075394B"/>
    <w:rsid w:val="00753A5B"/>
    <w:rsid w:val="00753B6A"/>
    <w:rsid w:val="0075410E"/>
    <w:rsid w:val="007544D3"/>
    <w:rsid w:val="007545C2"/>
    <w:rsid w:val="00754657"/>
    <w:rsid w:val="007546B1"/>
    <w:rsid w:val="0075483D"/>
    <w:rsid w:val="00754F95"/>
    <w:rsid w:val="0075527D"/>
    <w:rsid w:val="00755686"/>
    <w:rsid w:val="0075577B"/>
    <w:rsid w:val="00755A2F"/>
    <w:rsid w:val="00755BE3"/>
    <w:rsid w:val="007563AD"/>
    <w:rsid w:val="0075642F"/>
    <w:rsid w:val="007567EE"/>
    <w:rsid w:val="0075696C"/>
    <w:rsid w:val="007569AC"/>
    <w:rsid w:val="00757BEF"/>
    <w:rsid w:val="00757E74"/>
    <w:rsid w:val="00760720"/>
    <w:rsid w:val="00760DB0"/>
    <w:rsid w:val="00760F5F"/>
    <w:rsid w:val="007612C6"/>
    <w:rsid w:val="007616A9"/>
    <w:rsid w:val="00761706"/>
    <w:rsid w:val="007617D8"/>
    <w:rsid w:val="00761B86"/>
    <w:rsid w:val="00762340"/>
    <w:rsid w:val="0076248F"/>
    <w:rsid w:val="0076261E"/>
    <w:rsid w:val="0076291D"/>
    <w:rsid w:val="007629B6"/>
    <w:rsid w:val="00762F89"/>
    <w:rsid w:val="007632FB"/>
    <w:rsid w:val="007636CA"/>
    <w:rsid w:val="00763FAD"/>
    <w:rsid w:val="0076483D"/>
    <w:rsid w:val="0076490E"/>
    <w:rsid w:val="0076565D"/>
    <w:rsid w:val="00765987"/>
    <w:rsid w:val="0076601D"/>
    <w:rsid w:val="0076677F"/>
    <w:rsid w:val="007667AF"/>
    <w:rsid w:val="00767674"/>
    <w:rsid w:val="007679EE"/>
    <w:rsid w:val="00767C09"/>
    <w:rsid w:val="00767D5E"/>
    <w:rsid w:val="00767DE7"/>
    <w:rsid w:val="00767DFC"/>
    <w:rsid w:val="007700A9"/>
    <w:rsid w:val="00770E12"/>
    <w:rsid w:val="00770FF3"/>
    <w:rsid w:val="0077128E"/>
    <w:rsid w:val="00771490"/>
    <w:rsid w:val="007719B2"/>
    <w:rsid w:val="00771A80"/>
    <w:rsid w:val="00771B9F"/>
    <w:rsid w:val="00771CE0"/>
    <w:rsid w:val="00771FE2"/>
    <w:rsid w:val="007721FC"/>
    <w:rsid w:val="00772357"/>
    <w:rsid w:val="007723FC"/>
    <w:rsid w:val="00772B83"/>
    <w:rsid w:val="007735A9"/>
    <w:rsid w:val="00773ED3"/>
    <w:rsid w:val="00774094"/>
    <w:rsid w:val="0077426D"/>
    <w:rsid w:val="00774450"/>
    <w:rsid w:val="0077481A"/>
    <w:rsid w:val="0077494E"/>
    <w:rsid w:val="00774C7A"/>
    <w:rsid w:val="00774D3B"/>
    <w:rsid w:val="0077504E"/>
    <w:rsid w:val="00775642"/>
    <w:rsid w:val="007757F3"/>
    <w:rsid w:val="00775995"/>
    <w:rsid w:val="00775C02"/>
    <w:rsid w:val="00775E71"/>
    <w:rsid w:val="00776182"/>
    <w:rsid w:val="00776397"/>
    <w:rsid w:val="00776451"/>
    <w:rsid w:val="00776555"/>
    <w:rsid w:val="00776BBA"/>
    <w:rsid w:val="00776D94"/>
    <w:rsid w:val="00776DE8"/>
    <w:rsid w:val="00777432"/>
    <w:rsid w:val="007775D3"/>
    <w:rsid w:val="0077788B"/>
    <w:rsid w:val="00777B51"/>
    <w:rsid w:val="00780087"/>
    <w:rsid w:val="0078030B"/>
    <w:rsid w:val="00780360"/>
    <w:rsid w:val="00780AE9"/>
    <w:rsid w:val="007811E5"/>
    <w:rsid w:val="00781433"/>
    <w:rsid w:val="00781957"/>
    <w:rsid w:val="007819E3"/>
    <w:rsid w:val="00781A2A"/>
    <w:rsid w:val="00781D44"/>
    <w:rsid w:val="00781D4C"/>
    <w:rsid w:val="00782352"/>
    <w:rsid w:val="00782A04"/>
    <w:rsid w:val="00782B26"/>
    <w:rsid w:val="00782C91"/>
    <w:rsid w:val="00783694"/>
    <w:rsid w:val="0078376F"/>
    <w:rsid w:val="00783BAD"/>
    <w:rsid w:val="00783C40"/>
    <w:rsid w:val="007844E8"/>
    <w:rsid w:val="007846EB"/>
    <w:rsid w:val="00784A00"/>
    <w:rsid w:val="00784AEB"/>
    <w:rsid w:val="00784B64"/>
    <w:rsid w:val="00784C2F"/>
    <w:rsid w:val="00785237"/>
    <w:rsid w:val="00785261"/>
    <w:rsid w:val="007858C4"/>
    <w:rsid w:val="007859CF"/>
    <w:rsid w:val="00786549"/>
    <w:rsid w:val="007865B1"/>
    <w:rsid w:val="0078678B"/>
    <w:rsid w:val="0078683A"/>
    <w:rsid w:val="00786F7B"/>
    <w:rsid w:val="0078770C"/>
    <w:rsid w:val="007877CC"/>
    <w:rsid w:val="00787A8A"/>
    <w:rsid w:val="0079026C"/>
    <w:rsid w:val="0079072C"/>
    <w:rsid w:val="007909AF"/>
    <w:rsid w:val="00790D97"/>
    <w:rsid w:val="0079143F"/>
    <w:rsid w:val="00791E00"/>
    <w:rsid w:val="00791E30"/>
    <w:rsid w:val="00792685"/>
    <w:rsid w:val="00792E35"/>
    <w:rsid w:val="0079343D"/>
    <w:rsid w:val="007936A7"/>
    <w:rsid w:val="0079388D"/>
    <w:rsid w:val="00793B30"/>
    <w:rsid w:val="00793CB9"/>
    <w:rsid w:val="00794083"/>
    <w:rsid w:val="0079435D"/>
    <w:rsid w:val="00794795"/>
    <w:rsid w:val="007949A4"/>
    <w:rsid w:val="00794BB9"/>
    <w:rsid w:val="00794D48"/>
    <w:rsid w:val="007953FC"/>
    <w:rsid w:val="007955C4"/>
    <w:rsid w:val="0079593F"/>
    <w:rsid w:val="00795BFA"/>
    <w:rsid w:val="00795F26"/>
    <w:rsid w:val="00796CD5"/>
    <w:rsid w:val="00796CDE"/>
    <w:rsid w:val="00796F5E"/>
    <w:rsid w:val="007975CD"/>
    <w:rsid w:val="00797773"/>
    <w:rsid w:val="00797997"/>
    <w:rsid w:val="00797A5B"/>
    <w:rsid w:val="00797D02"/>
    <w:rsid w:val="00797D22"/>
    <w:rsid w:val="00797FD1"/>
    <w:rsid w:val="007A0210"/>
    <w:rsid w:val="007A0655"/>
    <w:rsid w:val="007A0A3F"/>
    <w:rsid w:val="007A1003"/>
    <w:rsid w:val="007A1EB0"/>
    <w:rsid w:val="007A21B6"/>
    <w:rsid w:val="007A284F"/>
    <w:rsid w:val="007A286E"/>
    <w:rsid w:val="007A2C41"/>
    <w:rsid w:val="007A2F38"/>
    <w:rsid w:val="007A33C9"/>
    <w:rsid w:val="007A3A16"/>
    <w:rsid w:val="007A3A19"/>
    <w:rsid w:val="007A41C4"/>
    <w:rsid w:val="007A4239"/>
    <w:rsid w:val="007A4D94"/>
    <w:rsid w:val="007A51BE"/>
    <w:rsid w:val="007A5267"/>
    <w:rsid w:val="007A573A"/>
    <w:rsid w:val="007A59BB"/>
    <w:rsid w:val="007A5EAE"/>
    <w:rsid w:val="007A5F64"/>
    <w:rsid w:val="007A62D4"/>
    <w:rsid w:val="007A6C14"/>
    <w:rsid w:val="007A7013"/>
    <w:rsid w:val="007A7090"/>
    <w:rsid w:val="007A75E0"/>
    <w:rsid w:val="007B0042"/>
    <w:rsid w:val="007B0256"/>
    <w:rsid w:val="007B047C"/>
    <w:rsid w:val="007B0A8A"/>
    <w:rsid w:val="007B0DB2"/>
    <w:rsid w:val="007B146A"/>
    <w:rsid w:val="007B148F"/>
    <w:rsid w:val="007B14AE"/>
    <w:rsid w:val="007B161B"/>
    <w:rsid w:val="007B180E"/>
    <w:rsid w:val="007B1E7B"/>
    <w:rsid w:val="007B2093"/>
    <w:rsid w:val="007B26A6"/>
    <w:rsid w:val="007B2A8D"/>
    <w:rsid w:val="007B2F76"/>
    <w:rsid w:val="007B320D"/>
    <w:rsid w:val="007B322E"/>
    <w:rsid w:val="007B363F"/>
    <w:rsid w:val="007B3789"/>
    <w:rsid w:val="007B41CA"/>
    <w:rsid w:val="007B427A"/>
    <w:rsid w:val="007B436B"/>
    <w:rsid w:val="007B538E"/>
    <w:rsid w:val="007B5F09"/>
    <w:rsid w:val="007B609F"/>
    <w:rsid w:val="007B6123"/>
    <w:rsid w:val="007B690D"/>
    <w:rsid w:val="007B6F36"/>
    <w:rsid w:val="007B7475"/>
    <w:rsid w:val="007B74F5"/>
    <w:rsid w:val="007B75E5"/>
    <w:rsid w:val="007B7906"/>
    <w:rsid w:val="007B795B"/>
    <w:rsid w:val="007C0249"/>
    <w:rsid w:val="007C0B77"/>
    <w:rsid w:val="007C134D"/>
    <w:rsid w:val="007C1631"/>
    <w:rsid w:val="007C17F5"/>
    <w:rsid w:val="007C1853"/>
    <w:rsid w:val="007C19FA"/>
    <w:rsid w:val="007C1A8B"/>
    <w:rsid w:val="007C1B58"/>
    <w:rsid w:val="007C1CB4"/>
    <w:rsid w:val="007C21A2"/>
    <w:rsid w:val="007C2565"/>
    <w:rsid w:val="007C297F"/>
    <w:rsid w:val="007C2A68"/>
    <w:rsid w:val="007C2C30"/>
    <w:rsid w:val="007C2EC0"/>
    <w:rsid w:val="007C3123"/>
    <w:rsid w:val="007C344D"/>
    <w:rsid w:val="007C380F"/>
    <w:rsid w:val="007C390B"/>
    <w:rsid w:val="007C404A"/>
    <w:rsid w:val="007C43B7"/>
    <w:rsid w:val="007C4565"/>
    <w:rsid w:val="007C4805"/>
    <w:rsid w:val="007C4A21"/>
    <w:rsid w:val="007C4C47"/>
    <w:rsid w:val="007C4EC1"/>
    <w:rsid w:val="007C51B8"/>
    <w:rsid w:val="007C621F"/>
    <w:rsid w:val="007C637E"/>
    <w:rsid w:val="007C6712"/>
    <w:rsid w:val="007C6FF9"/>
    <w:rsid w:val="007C7238"/>
    <w:rsid w:val="007C75F2"/>
    <w:rsid w:val="007D0A31"/>
    <w:rsid w:val="007D0EDA"/>
    <w:rsid w:val="007D0FFB"/>
    <w:rsid w:val="007D112A"/>
    <w:rsid w:val="007D15AF"/>
    <w:rsid w:val="007D1805"/>
    <w:rsid w:val="007D189E"/>
    <w:rsid w:val="007D1DB3"/>
    <w:rsid w:val="007D21DA"/>
    <w:rsid w:val="007D226B"/>
    <w:rsid w:val="007D27AF"/>
    <w:rsid w:val="007D281C"/>
    <w:rsid w:val="007D2CB6"/>
    <w:rsid w:val="007D2D73"/>
    <w:rsid w:val="007D30F4"/>
    <w:rsid w:val="007D3202"/>
    <w:rsid w:val="007D3231"/>
    <w:rsid w:val="007D32B7"/>
    <w:rsid w:val="007D3482"/>
    <w:rsid w:val="007D34E6"/>
    <w:rsid w:val="007D391A"/>
    <w:rsid w:val="007D3BCA"/>
    <w:rsid w:val="007D3BE2"/>
    <w:rsid w:val="007D42C4"/>
    <w:rsid w:val="007D4423"/>
    <w:rsid w:val="007D468A"/>
    <w:rsid w:val="007D4786"/>
    <w:rsid w:val="007D487F"/>
    <w:rsid w:val="007D4B8A"/>
    <w:rsid w:val="007D4C92"/>
    <w:rsid w:val="007D4D44"/>
    <w:rsid w:val="007D4EBC"/>
    <w:rsid w:val="007D526D"/>
    <w:rsid w:val="007D53C5"/>
    <w:rsid w:val="007D5403"/>
    <w:rsid w:val="007D5CD1"/>
    <w:rsid w:val="007D5D40"/>
    <w:rsid w:val="007D6055"/>
    <w:rsid w:val="007D68D2"/>
    <w:rsid w:val="007D717F"/>
    <w:rsid w:val="007D72FF"/>
    <w:rsid w:val="007D77FA"/>
    <w:rsid w:val="007D7D47"/>
    <w:rsid w:val="007E0E67"/>
    <w:rsid w:val="007E0EFE"/>
    <w:rsid w:val="007E10B2"/>
    <w:rsid w:val="007E15DD"/>
    <w:rsid w:val="007E1C24"/>
    <w:rsid w:val="007E1CBA"/>
    <w:rsid w:val="007E2035"/>
    <w:rsid w:val="007E2518"/>
    <w:rsid w:val="007E2540"/>
    <w:rsid w:val="007E29C9"/>
    <w:rsid w:val="007E2ABF"/>
    <w:rsid w:val="007E330C"/>
    <w:rsid w:val="007E36F3"/>
    <w:rsid w:val="007E3C9D"/>
    <w:rsid w:val="007E4294"/>
    <w:rsid w:val="007E430A"/>
    <w:rsid w:val="007E430F"/>
    <w:rsid w:val="007E4AF9"/>
    <w:rsid w:val="007E4B8B"/>
    <w:rsid w:val="007E4DE9"/>
    <w:rsid w:val="007E4F47"/>
    <w:rsid w:val="007E514D"/>
    <w:rsid w:val="007E51AB"/>
    <w:rsid w:val="007E531D"/>
    <w:rsid w:val="007E5531"/>
    <w:rsid w:val="007E5577"/>
    <w:rsid w:val="007E59EB"/>
    <w:rsid w:val="007E5A17"/>
    <w:rsid w:val="007E5BD9"/>
    <w:rsid w:val="007E5C77"/>
    <w:rsid w:val="007E5FE8"/>
    <w:rsid w:val="007E6A0D"/>
    <w:rsid w:val="007E6FB2"/>
    <w:rsid w:val="007E7228"/>
    <w:rsid w:val="007E73A5"/>
    <w:rsid w:val="007E7479"/>
    <w:rsid w:val="007E7A71"/>
    <w:rsid w:val="007E7C8D"/>
    <w:rsid w:val="007F005F"/>
    <w:rsid w:val="007F08C2"/>
    <w:rsid w:val="007F0940"/>
    <w:rsid w:val="007F1605"/>
    <w:rsid w:val="007F1ACA"/>
    <w:rsid w:val="007F1BBB"/>
    <w:rsid w:val="007F2074"/>
    <w:rsid w:val="007F25ED"/>
    <w:rsid w:val="007F266D"/>
    <w:rsid w:val="007F2921"/>
    <w:rsid w:val="007F2C18"/>
    <w:rsid w:val="007F2E84"/>
    <w:rsid w:val="007F3047"/>
    <w:rsid w:val="007F39FB"/>
    <w:rsid w:val="007F3C1F"/>
    <w:rsid w:val="007F3EE9"/>
    <w:rsid w:val="007F4030"/>
    <w:rsid w:val="007F42C5"/>
    <w:rsid w:val="007F4344"/>
    <w:rsid w:val="007F4347"/>
    <w:rsid w:val="007F45E3"/>
    <w:rsid w:val="007F48FB"/>
    <w:rsid w:val="007F4CE9"/>
    <w:rsid w:val="007F51E9"/>
    <w:rsid w:val="007F53BB"/>
    <w:rsid w:val="007F595A"/>
    <w:rsid w:val="007F5AEA"/>
    <w:rsid w:val="007F658E"/>
    <w:rsid w:val="007F692F"/>
    <w:rsid w:val="007F6C10"/>
    <w:rsid w:val="007F70FA"/>
    <w:rsid w:val="007F7CD6"/>
    <w:rsid w:val="00800C1C"/>
    <w:rsid w:val="00800E2C"/>
    <w:rsid w:val="00800EC7"/>
    <w:rsid w:val="008013E3"/>
    <w:rsid w:val="008017D0"/>
    <w:rsid w:val="008018FB"/>
    <w:rsid w:val="00801E0F"/>
    <w:rsid w:val="00802415"/>
    <w:rsid w:val="00802643"/>
    <w:rsid w:val="00802A76"/>
    <w:rsid w:val="00802ED7"/>
    <w:rsid w:val="00802F6B"/>
    <w:rsid w:val="0080336A"/>
    <w:rsid w:val="0080339D"/>
    <w:rsid w:val="00803824"/>
    <w:rsid w:val="00803C72"/>
    <w:rsid w:val="008043E7"/>
    <w:rsid w:val="008044C8"/>
    <w:rsid w:val="0080492C"/>
    <w:rsid w:val="00804930"/>
    <w:rsid w:val="00804A39"/>
    <w:rsid w:val="00804CE2"/>
    <w:rsid w:val="008053F3"/>
    <w:rsid w:val="00805497"/>
    <w:rsid w:val="008056C8"/>
    <w:rsid w:val="00805A87"/>
    <w:rsid w:val="00805BC0"/>
    <w:rsid w:val="00806B24"/>
    <w:rsid w:val="00806C89"/>
    <w:rsid w:val="0080700F"/>
    <w:rsid w:val="008071C7"/>
    <w:rsid w:val="00807559"/>
    <w:rsid w:val="00807A3C"/>
    <w:rsid w:val="00810478"/>
    <w:rsid w:val="00810881"/>
    <w:rsid w:val="00810E8D"/>
    <w:rsid w:val="00810F5C"/>
    <w:rsid w:val="00811094"/>
    <w:rsid w:val="008110FB"/>
    <w:rsid w:val="0081142A"/>
    <w:rsid w:val="00811944"/>
    <w:rsid w:val="00811ED2"/>
    <w:rsid w:val="00812627"/>
    <w:rsid w:val="00812B4E"/>
    <w:rsid w:val="008131AB"/>
    <w:rsid w:val="00813463"/>
    <w:rsid w:val="0081397A"/>
    <w:rsid w:val="00813B0A"/>
    <w:rsid w:val="00813E8C"/>
    <w:rsid w:val="00814234"/>
    <w:rsid w:val="0081442E"/>
    <w:rsid w:val="00814CB2"/>
    <w:rsid w:val="008150BF"/>
    <w:rsid w:val="008155F0"/>
    <w:rsid w:val="00815665"/>
    <w:rsid w:val="008157B0"/>
    <w:rsid w:val="00815DEA"/>
    <w:rsid w:val="0081629E"/>
    <w:rsid w:val="008163FF"/>
    <w:rsid w:val="0081660B"/>
    <w:rsid w:val="00816A34"/>
    <w:rsid w:val="00816CB5"/>
    <w:rsid w:val="0081738E"/>
    <w:rsid w:val="00817390"/>
    <w:rsid w:val="0081753D"/>
    <w:rsid w:val="0081765E"/>
    <w:rsid w:val="00817869"/>
    <w:rsid w:val="008179B6"/>
    <w:rsid w:val="00820F36"/>
    <w:rsid w:val="00821911"/>
    <w:rsid w:val="0082204F"/>
    <w:rsid w:val="00822126"/>
    <w:rsid w:val="008226FC"/>
    <w:rsid w:val="00822C15"/>
    <w:rsid w:val="00822C41"/>
    <w:rsid w:val="00823118"/>
    <w:rsid w:val="008233EA"/>
    <w:rsid w:val="008236D1"/>
    <w:rsid w:val="00823C4A"/>
    <w:rsid w:val="00824C00"/>
    <w:rsid w:val="00824CF6"/>
    <w:rsid w:val="00824DE6"/>
    <w:rsid w:val="00825144"/>
    <w:rsid w:val="0082553D"/>
    <w:rsid w:val="00825554"/>
    <w:rsid w:val="008256E9"/>
    <w:rsid w:val="008258EC"/>
    <w:rsid w:val="00825A03"/>
    <w:rsid w:val="00825C9B"/>
    <w:rsid w:val="00825D57"/>
    <w:rsid w:val="00826318"/>
    <w:rsid w:val="00826B31"/>
    <w:rsid w:val="00826D04"/>
    <w:rsid w:val="00827017"/>
    <w:rsid w:val="0082759B"/>
    <w:rsid w:val="00827921"/>
    <w:rsid w:val="00827940"/>
    <w:rsid w:val="00827D67"/>
    <w:rsid w:val="00827DA5"/>
    <w:rsid w:val="00827E3B"/>
    <w:rsid w:val="00827F02"/>
    <w:rsid w:val="0083025B"/>
    <w:rsid w:val="00830665"/>
    <w:rsid w:val="00830928"/>
    <w:rsid w:val="00830A52"/>
    <w:rsid w:val="00830C11"/>
    <w:rsid w:val="0083149E"/>
    <w:rsid w:val="00831EA8"/>
    <w:rsid w:val="00832646"/>
    <w:rsid w:val="00832A41"/>
    <w:rsid w:val="00832ABA"/>
    <w:rsid w:val="00832B78"/>
    <w:rsid w:val="00832E3B"/>
    <w:rsid w:val="008334DD"/>
    <w:rsid w:val="00833A6B"/>
    <w:rsid w:val="00833D04"/>
    <w:rsid w:val="0083446A"/>
    <w:rsid w:val="0083475B"/>
    <w:rsid w:val="008360D1"/>
    <w:rsid w:val="0083618B"/>
    <w:rsid w:val="0083635D"/>
    <w:rsid w:val="008364D7"/>
    <w:rsid w:val="00836715"/>
    <w:rsid w:val="008368B2"/>
    <w:rsid w:val="00836984"/>
    <w:rsid w:val="00836B56"/>
    <w:rsid w:val="00836C89"/>
    <w:rsid w:val="0083715C"/>
    <w:rsid w:val="00837807"/>
    <w:rsid w:val="008379B6"/>
    <w:rsid w:val="00837BE8"/>
    <w:rsid w:val="00837CB3"/>
    <w:rsid w:val="00840432"/>
    <w:rsid w:val="00840D85"/>
    <w:rsid w:val="008413A9"/>
    <w:rsid w:val="00841521"/>
    <w:rsid w:val="00841588"/>
    <w:rsid w:val="0084160C"/>
    <w:rsid w:val="00841A5B"/>
    <w:rsid w:val="00841F35"/>
    <w:rsid w:val="00841F66"/>
    <w:rsid w:val="0084218F"/>
    <w:rsid w:val="00842347"/>
    <w:rsid w:val="008423F3"/>
    <w:rsid w:val="0084248C"/>
    <w:rsid w:val="00842519"/>
    <w:rsid w:val="008426F3"/>
    <w:rsid w:val="00842AF3"/>
    <w:rsid w:val="00842B7E"/>
    <w:rsid w:val="00842BF7"/>
    <w:rsid w:val="00842F66"/>
    <w:rsid w:val="00842F88"/>
    <w:rsid w:val="00842FC7"/>
    <w:rsid w:val="00843005"/>
    <w:rsid w:val="00843149"/>
    <w:rsid w:val="00843896"/>
    <w:rsid w:val="00844078"/>
    <w:rsid w:val="008440B3"/>
    <w:rsid w:val="00844B65"/>
    <w:rsid w:val="00844C47"/>
    <w:rsid w:val="008450D1"/>
    <w:rsid w:val="00845335"/>
    <w:rsid w:val="00845553"/>
    <w:rsid w:val="0084580E"/>
    <w:rsid w:val="00845C4D"/>
    <w:rsid w:val="00845F95"/>
    <w:rsid w:val="0084647E"/>
    <w:rsid w:val="00846A01"/>
    <w:rsid w:val="008474E6"/>
    <w:rsid w:val="0084781F"/>
    <w:rsid w:val="008478AE"/>
    <w:rsid w:val="00847AE5"/>
    <w:rsid w:val="00847B89"/>
    <w:rsid w:val="008502D8"/>
    <w:rsid w:val="0085032E"/>
    <w:rsid w:val="008508A0"/>
    <w:rsid w:val="00850928"/>
    <w:rsid w:val="00850ADC"/>
    <w:rsid w:val="00851166"/>
    <w:rsid w:val="0085145D"/>
    <w:rsid w:val="008517FC"/>
    <w:rsid w:val="00852260"/>
    <w:rsid w:val="0085238E"/>
    <w:rsid w:val="00852530"/>
    <w:rsid w:val="008529AD"/>
    <w:rsid w:val="008529FC"/>
    <w:rsid w:val="00852DBE"/>
    <w:rsid w:val="00853578"/>
    <w:rsid w:val="0085364C"/>
    <w:rsid w:val="0085372F"/>
    <w:rsid w:val="0085381B"/>
    <w:rsid w:val="0085447C"/>
    <w:rsid w:val="008545C1"/>
    <w:rsid w:val="00854749"/>
    <w:rsid w:val="00854864"/>
    <w:rsid w:val="00854C6F"/>
    <w:rsid w:val="00854E6F"/>
    <w:rsid w:val="00854F13"/>
    <w:rsid w:val="008553A6"/>
    <w:rsid w:val="00855954"/>
    <w:rsid w:val="00855A0E"/>
    <w:rsid w:val="00855DFB"/>
    <w:rsid w:val="00856205"/>
    <w:rsid w:val="008563F0"/>
    <w:rsid w:val="00856469"/>
    <w:rsid w:val="0085659F"/>
    <w:rsid w:val="00856632"/>
    <w:rsid w:val="008568AB"/>
    <w:rsid w:val="008573EC"/>
    <w:rsid w:val="00857F85"/>
    <w:rsid w:val="0086019F"/>
    <w:rsid w:val="008605F1"/>
    <w:rsid w:val="00860D03"/>
    <w:rsid w:val="00861004"/>
    <w:rsid w:val="00861259"/>
    <w:rsid w:val="0086194C"/>
    <w:rsid w:val="00861EE4"/>
    <w:rsid w:val="008621B3"/>
    <w:rsid w:val="0086263A"/>
    <w:rsid w:val="00862AFF"/>
    <w:rsid w:val="00862B99"/>
    <w:rsid w:val="00862C28"/>
    <w:rsid w:val="00862E1F"/>
    <w:rsid w:val="00862EA5"/>
    <w:rsid w:val="00862EC1"/>
    <w:rsid w:val="0086358D"/>
    <w:rsid w:val="0086391F"/>
    <w:rsid w:val="00863BE1"/>
    <w:rsid w:val="00864244"/>
    <w:rsid w:val="0086483F"/>
    <w:rsid w:val="00864DFB"/>
    <w:rsid w:val="008653A4"/>
    <w:rsid w:val="008654CE"/>
    <w:rsid w:val="00865816"/>
    <w:rsid w:val="00865A9B"/>
    <w:rsid w:val="00866084"/>
    <w:rsid w:val="00866156"/>
    <w:rsid w:val="00866371"/>
    <w:rsid w:val="008666E3"/>
    <w:rsid w:val="00866AE1"/>
    <w:rsid w:val="00867456"/>
    <w:rsid w:val="00867599"/>
    <w:rsid w:val="00867925"/>
    <w:rsid w:val="00867ADB"/>
    <w:rsid w:val="00867C08"/>
    <w:rsid w:val="00867E83"/>
    <w:rsid w:val="008701FC"/>
    <w:rsid w:val="00870302"/>
    <w:rsid w:val="008709E1"/>
    <w:rsid w:val="00870A44"/>
    <w:rsid w:val="00870B30"/>
    <w:rsid w:val="00870D15"/>
    <w:rsid w:val="00870D9E"/>
    <w:rsid w:val="00870DEC"/>
    <w:rsid w:val="008712CD"/>
    <w:rsid w:val="00871A12"/>
    <w:rsid w:val="00871AA0"/>
    <w:rsid w:val="008722A1"/>
    <w:rsid w:val="0087236F"/>
    <w:rsid w:val="008728FB"/>
    <w:rsid w:val="00872AF9"/>
    <w:rsid w:val="00872EFE"/>
    <w:rsid w:val="00872FC5"/>
    <w:rsid w:val="00873005"/>
    <w:rsid w:val="008732F5"/>
    <w:rsid w:val="008732F7"/>
    <w:rsid w:val="008735B4"/>
    <w:rsid w:val="008735E2"/>
    <w:rsid w:val="0087360E"/>
    <w:rsid w:val="00873632"/>
    <w:rsid w:val="00873C1B"/>
    <w:rsid w:val="008743D3"/>
    <w:rsid w:val="00874461"/>
    <w:rsid w:val="00874775"/>
    <w:rsid w:val="008748CF"/>
    <w:rsid w:val="008749ED"/>
    <w:rsid w:val="00875070"/>
    <w:rsid w:val="00875649"/>
    <w:rsid w:val="00876450"/>
    <w:rsid w:val="00876659"/>
    <w:rsid w:val="008767A6"/>
    <w:rsid w:val="00876BB1"/>
    <w:rsid w:val="00876BEB"/>
    <w:rsid w:val="00876DDC"/>
    <w:rsid w:val="008777B5"/>
    <w:rsid w:val="00877F80"/>
    <w:rsid w:val="00880058"/>
    <w:rsid w:val="00880886"/>
    <w:rsid w:val="008808E2"/>
    <w:rsid w:val="00880EAE"/>
    <w:rsid w:val="0088285A"/>
    <w:rsid w:val="00882927"/>
    <w:rsid w:val="008830C1"/>
    <w:rsid w:val="0088324D"/>
    <w:rsid w:val="00883349"/>
    <w:rsid w:val="00883D73"/>
    <w:rsid w:val="008848A2"/>
    <w:rsid w:val="00884C24"/>
    <w:rsid w:val="00884D03"/>
    <w:rsid w:val="00884D9B"/>
    <w:rsid w:val="00884EC9"/>
    <w:rsid w:val="00885346"/>
    <w:rsid w:val="00885611"/>
    <w:rsid w:val="00885AFF"/>
    <w:rsid w:val="00885B82"/>
    <w:rsid w:val="0088623D"/>
    <w:rsid w:val="00886494"/>
    <w:rsid w:val="008868CE"/>
    <w:rsid w:val="00886965"/>
    <w:rsid w:val="00886C2F"/>
    <w:rsid w:val="00887867"/>
    <w:rsid w:val="00887869"/>
    <w:rsid w:val="00887BE4"/>
    <w:rsid w:val="00887DE8"/>
    <w:rsid w:val="00887F4D"/>
    <w:rsid w:val="00890FE4"/>
    <w:rsid w:val="00891118"/>
    <w:rsid w:val="008912C1"/>
    <w:rsid w:val="0089132A"/>
    <w:rsid w:val="00891538"/>
    <w:rsid w:val="0089172F"/>
    <w:rsid w:val="0089179E"/>
    <w:rsid w:val="00891825"/>
    <w:rsid w:val="00891D98"/>
    <w:rsid w:val="00891F13"/>
    <w:rsid w:val="0089247D"/>
    <w:rsid w:val="0089268A"/>
    <w:rsid w:val="008926C6"/>
    <w:rsid w:val="00892C32"/>
    <w:rsid w:val="00892F43"/>
    <w:rsid w:val="00892FCB"/>
    <w:rsid w:val="008930AF"/>
    <w:rsid w:val="008936FB"/>
    <w:rsid w:val="00893BBA"/>
    <w:rsid w:val="00893CEF"/>
    <w:rsid w:val="00894143"/>
    <w:rsid w:val="0089424A"/>
    <w:rsid w:val="008952CE"/>
    <w:rsid w:val="008953EE"/>
    <w:rsid w:val="0089551D"/>
    <w:rsid w:val="008955AF"/>
    <w:rsid w:val="00895977"/>
    <w:rsid w:val="00895A3E"/>
    <w:rsid w:val="00895E39"/>
    <w:rsid w:val="0089612A"/>
    <w:rsid w:val="00896226"/>
    <w:rsid w:val="008962E4"/>
    <w:rsid w:val="0089634C"/>
    <w:rsid w:val="0089639C"/>
    <w:rsid w:val="00897074"/>
    <w:rsid w:val="0089718A"/>
    <w:rsid w:val="00897218"/>
    <w:rsid w:val="00897562"/>
    <w:rsid w:val="008A010A"/>
    <w:rsid w:val="008A045D"/>
    <w:rsid w:val="008A0C89"/>
    <w:rsid w:val="008A0DAE"/>
    <w:rsid w:val="008A0E45"/>
    <w:rsid w:val="008A1016"/>
    <w:rsid w:val="008A127C"/>
    <w:rsid w:val="008A1356"/>
    <w:rsid w:val="008A1CEA"/>
    <w:rsid w:val="008A2A82"/>
    <w:rsid w:val="008A2BD4"/>
    <w:rsid w:val="008A3299"/>
    <w:rsid w:val="008A355F"/>
    <w:rsid w:val="008A3B11"/>
    <w:rsid w:val="008A3C9D"/>
    <w:rsid w:val="008A3CE6"/>
    <w:rsid w:val="008A4494"/>
    <w:rsid w:val="008A4E96"/>
    <w:rsid w:val="008A5096"/>
    <w:rsid w:val="008A559B"/>
    <w:rsid w:val="008A566C"/>
    <w:rsid w:val="008A580F"/>
    <w:rsid w:val="008A5C67"/>
    <w:rsid w:val="008A5E21"/>
    <w:rsid w:val="008A6B43"/>
    <w:rsid w:val="008A716C"/>
    <w:rsid w:val="008A7566"/>
    <w:rsid w:val="008A7B46"/>
    <w:rsid w:val="008A7F68"/>
    <w:rsid w:val="008B0783"/>
    <w:rsid w:val="008B0842"/>
    <w:rsid w:val="008B0A9E"/>
    <w:rsid w:val="008B0F72"/>
    <w:rsid w:val="008B0FBB"/>
    <w:rsid w:val="008B12D4"/>
    <w:rsid w:val="008B1695"/>
    <w:rsid w:val="008B19EC"/>
    <w:rsid w:val="008B1A23"/>
    <w:rsid w:val="008B1AB6"/>
    <w:rsid w:val="008B1D33"/>
    <w:rsid w:val="008B1F97"/>
    <w:rsid w:val="008B24BF"/>
    <w:rsid w:val="008B270D"/>
    <w:rsid w:val="008B2C2F"/>
    <w:rsid w:val="008B31E4"/>
    <w:rsid w:val="008B372C"/>
    <w:rsid w:val="008B395A"/>
    <w:rsid w:val="008B3C97"/>
    <w:rsid w:val="008B3CAB"/>
    <w:rsid w:val="008B41AF"/>
    <w:rsid w:val="008B4383"/>
    <w:rsid w:val="008B45DB"/>
    <w:rsid w:val="008B4682"/>
    <w:rsid w:val="008B4A1E"/>
    <w:rsid w:val="008B4A3B"/>
    <w:rsid w:val="008B4BA5"/>
    <w:rsid w:val="008B594C"/>
    <w:rsid w:val="008B5C69"/>
    <w:rsid w:val="008B5D38"/>
    <w:rsid w:val="008B7161"/>
    <w:rsid w:val="008B7433"/>
    <w:rsid w:val="008B75BA"/>
    <w:rsid w:val="008B7B6B"/>
    <w:rsid w:val="008C00F5"/>
    <w:rsid w:val="008C0109"/>
    <w:rsid w:val="008C0475"/>
    <w:rsid w:val="008C0788"/>
    <w:rsid w:val="008C0DCA"/>
    <w:rsid w:val="008C151A"/>
    <w:rsid w:val="008C18E9"/>
    <w:rsid w:val="008C1E38"/>
    <w:rsid w:val="008C25DF"/>
    <w:rsid w:val="008C269C"/>
    <w:rsid w:val="008C27CB"/>
    <w:rsid w:val="008C3D86"/>
    <w:rsid w:val="008C45CF"/>
    <w:rsid w:val="008C4907"/>
    <w:rsid w:val="008C52DD"/>
    <w:rsid w:val="008C5FB1"/>
    <w:rsid w:val="008C6717"/>
    <w:rsid w:val="008C677B"/>
    <w:rsid w:val="008C697C"/>
    <w:rsid w:val="008C6B46"/>
    <w:rsid w:val="008C70E5"/>
    <w:rsid w:val="008C764B"/>
    <w:rsid w:val="008C7BD3"/>
    <w:rsid w:val="008D02D7"/>
    <w:rsid w:val="008D0FA6"/>
    <w:rsid w:val="008D1236"/>
    <w:rsid w:val="008D175B"/>
    <w:rsid w:val="008D1A30"/>
    <w:rsid w:val="008D1EA2"/>
    <w:rsid w:val="008D2092"/>
    <w:rsid w:val="008D20DA"/>
    <w:rsid w:val="008D21F1"/>
    <w:rsid w:val="008D2227"/>
    <w:rsid w:val="008D244A"/>
    <w:rsid w:val="008D253A"/>
    <w:rsid w:val="008D281B"/>
    <w:rsid w:val="008D2D52"/>
    <w:rsid w:val="008D300A"/>
    <w:rsid w:val="008D31D9"/>
    <w:rsid w:val="008D32C5"/>
    <w:rsid w:val="008D32D5"/>
    <w:rsid w:val="008D33CF"/>
    <w:rsid w:val="008D3646"/>
    <w:rsid w:val="008D3B83"/>
    <w:rsid w:val="008D3D30"/>
    <w:rsid w:val="008D4AEC"/>
    <w:rsid w:val="008D4B76"/>
    <w:rsid w:val="008D4D37"/>
    <w:rsid w:val="008D4E0B"/>
    <w:rsid w:val="008D4F42"/>
    <w:rsid w:val="008D50E1"/>
    <w:rsid w:val="008D530E"/>
    <w:rsid w:val="008D559B"/>
    <w:rsid w:val="008D5697"/>
    <w:rsid w:val="008D585C"/>
    <w:rsid w:val="008D5E07"/>
    <w:rsid w:val="008D63F3"/>
    <w:rsid w:val="008D6EEB"/>
    <w:rsid w:val="008D724D"/>
    <w:rsid w:val="008D7AC0"/>
    <w:rsid w:val="008D7B7C"/>
    <w:rsid w:val="008D7D9E"/>
    <w:rsid w:val="008D7E2D"/>
    <w:rsid w:val="008D7EE9"/>
    <w:rsid w:val="008D7F80"/>
    <w:rsid w:val="008E002B"/>
    <w:rsid w:val="008E011B"/>
    <w:rsid w:val="008E05B4"/>
    <w:rsid w:val="008E08DF"/>
    <w:rsid w:val="008E0E8D"/>
    <w:rsid w:val="008E0E94"/>
    <w:rsid w:val="008E1913"/>
    <w:rsid w:val="008E234E"/>
    <w:rsid w:val="008E2461"/>
    <w:rsid w:val="008E248A"/>
    <w:rsid w:val="008E2521"/>
    <w:rsid w:val="008E3EAD"/>
    <w:rsid w:val="008E3EE2"/>
    <w:rsid w:val="008E3F9A"/>
    <w:rsid w:val="008E4060"/>
    <w:rsid w:val="008E414F"/>
    <w:rsid w:val="008E4290"/>
    <w:rsid w:val="008E486C"/>
    <w:rsid w:val="008E4DBE"/>
    <w:rsid w:val="008E5361"/>
    <w:rsid w:val="008E5A69"/>
    <w:rsid w:val="008E5B2F"/>
    <w:rsid w:val="008E5B7F"/>
    <w:rsid w:val="008E5D25"/>
    <w:rsid w:val="008E5DF9"/>
    <w:rsid w:val="008E628F"/>
    <w:rsid w:val="008E637B"/>
    <w:rsid w:val="008E651C"/>
    <w:rsid w:val="008E68C6"/>
    <w:rsid w:val="008E6B55"/>
    <w:rsid w:val="008E71E3"/>
    <w:rsid w:val="008E7CDB"/>
    <w:rsid w:val="008F065F"/>
    <w:rsid w:val="008F0946"/>
    <w:rsid w:val="008F0ADC"/>
    <w:rsid w:val="008F1212"/>
    <w:rsid w:val="008F1433"/>
    <w:rsid w:val="008F14CE"/>
    <w:rsid w:val="008F172F"/>
    <w:rsid w:val="008F18B2"/>
    <w:rsid w:val="008F1B32"/>
    <w:rsid w:val="008F24DA"/>
    <w:rsid w:val="008F25E0"/>
    <w:rsid w:val="008F265B"/>
    <w:rsid w:val="008F27FB"/>
    <w:rsid w:val="008F29B7"/>
    <w:rsid w:val="008F2A02"/>
    <w:rsid w:val="008F2A7D"/>
    <w:rsid w:val="008F2A7E"/>
    <w:rsid w:val="008F2BE9"/>
    <w:rsid w:val="008F2E8D"/>
    <w:rsid w:val="008F3340"/>
    <w:rsid w:val="008F3E91"/>
    <w:rsid w:val="008F4216"/>
    <w:rsid w:val="008F44FD"/>
    <w:rsid w:val="008F4600"/>
    <w:rsid w:val="008F470C"/>
    <w:rsid w:val="008F475B"/>
    <w:rsid w:val="008F4784"/>
    <w:rsid w:val="008F479A"/>
    <w:rsid w:val="008F4A80"/>
    <w:rsid w:val="008F522E"/>
    <w:rsid w:val="008F544D"/>
    <w:rsid w:val="008F54B8"/>
    <w:rsid w:val="008F54C3"/>
    <w:rsid w:val="008F5CE7"/>
    <w:rsid w:val="008F5F4D"/>
    <w:rsid w:val="008F6852"/>
    <w:rsid w:val="008F6C3F"/>
    <w:rsid w:val="008F6FA8"/>
    <w:rsid w:val="008F7383"/>
    <w:rsid w:val="008F75CB"/>
    <w:rsid w:val="008F76C5"/>
    <w:rsid w:val="008F76E3"/>
    <w:rsid w:val="00900361"/>
    <w:rsid w:val="00901549"/>
    <w:rsid w:val="009017F2"/>
    <w:rsid w:val="00901D6B"/>
    <w:rsid w:val="00901D78"/>
    <w:rsid w:val="009026EA"/>
    <w:rsid w:val="00902B00"/>
    <w:rsid w:val="00902C3D"/>
    <w:rsid w:val="0090315C"/>
    <w:rsid w:val="0090334C"/>
    <w:rsid w:val="00903403"/>
    <w:rsid w:val="009035B1"/>
    <w:rsid w:val="00903D0B"/>
    <w:rsid w:val="00904055"/>
    <w:rsid w:val="009044BD"/>
    <w:rsid w:val="009047FB"/>
    <w:rsid w:val="00904DDE"/>
    <w:rsid w:val="00904F6A"/>
    <w:rsid w:val="00905249"/>
    <w:rsid w:val="00905783"/>
    <w:rsid w:val="009057FC"/>
    <w:rsid w:val="009067BB"/>
    <w:rsid w:val="00906E85"/>
    <w:rsid w:val="00906EFC"/>
    <w:rsid w:val="00906F3A"/>
    <w:rsid w:val="009070C0"/>
    <w:rsid w:val="00907CE2"/>
    <w:rsid w:val="00907D5C"/>
    <w:rsid w:val="00907D6F"/>
    <w:rsid w:val="00907E9C"/>
    <w:rsid w:val="009109D5"/>
    <w:rsid w:val="00910B15"/>
    <w:rsid w:val="00910C4C"/>
    <w:rsid w:val="00910C86"/>
    <w:rsid w:val="00910D0E"/>
    <w:rsid w:val="00910FE7"/>
    <w:rsid w:val="00911396"/>
    <w:rsid w:val="009113BF"/>
    <w:rsid w:val="00911556"/>
    <w:rsid w:val="00911571"/>
    <w:rsid w:val="00911C77"/>
    <w:rsid w:val="00911CC2"/>
    <w:rsid w:val="00911FCD"/>
    <w:rsid w:val="0091222B"/>
    <w:rsid w:val="009122C3"/>
    <w:rsid w:val="009123CE"/>
    <w:rsid w:val="0091280E"/>
    <w:rsid w:val="00913617"/>
    <w:rsid w:val="0091369F"/>
    <w:rsid w:val="009136AB"/>
    <w:rsid w:val="009139F3"/>
    <w:rsid w:val="00913C1B"/>
    <w:rsid w:val="00913E54"/>
    <w:rsid w:val="009149A2"/>
    <w:rsid w:val="00914B5F"/>
    <w:rsid w:val="0091517D"/>
    <w:rsid w:val="00915477"/>
    <w:rsid w:val="00915790"/>
    <w:rsid w:val="00915EBF"/>
    <w:rsid w:val="00915F26"/>
    <w:rsid w:val="00915F45"/>
    <w:rsid w:val="00915F85"/>
    <w:rsid w:val="00915FC1"/>
    <w:rsid w:val="009163E9"/>
    <w:rsid w:val="0091674A"/>
    <w:rsid w:val="00916DBB"/>
    <w:rsid w:val="00916E43"/>
    <w:rsid w:val="00916F79"/>
    <w:rsid w:val="00917498"/>
    <w:rsid w:val="0091785D"/>
    <w:rsid w:val="009178B0"/>
    <w:rsid w:val="00917B53"/>
    <w:rsid w:val="00920E7A"/>
    <w:rsid w:val="0092196A"/>
    <w:rsid w:val="009219BF"/>
    <w:rsid w:val="00921FCE"/>
    <w:rsid w:val="009225F0"/>
    <w:rsid w:val="009227D7"/>
    <w:rsid w:val="00922F84"/>
    <w:rsid w:val="0092319C"/>
    <w:rsid w:val="0092322D"/>
    <w:rsid w:val="009237E6"/>
    <w:rsid w:val="00923ED2"/>
    <w:rsid w:val="009243AB"/>
    <w:rsid w:val="009251BC"/>
    <w:rsid w:val="0092528D"/>
    <w:rsid w:val="009254CB"/>
    <w:rsid w:val="00925836"/>
    <w:rsid w:val="00925B59"/>
    <w:rsid w:val="00925CC6"/>
    <w:rsid w:val="00925DDD"/>
    <w:rsid w:val="00926A4A"/>
    <w:rsid w:val="0092722A"/>
    <w:rsid w:val="00927DBD"/>
    <w:rsid w:val="00927DFB"/>
    <w:rsid w:val="00927F92"/>
    <w:rsid w:val="0093008F"/>
    <w:rsid w:val="009301D4"/>
    <w:rsid w:val="009303AA"/>
    <w:rsid w:val="0093054C"/>
    <w:rsid w:val="009305A3"/>
    <w:rsid w:val="009312D6"/>
    <w:rsid w:val="00931326"/>
    <w:rsid w:val="009318E5"/>
    <w:rsid w:val="00931AC3"/>
    <w:rsid w:val="00931D34"/>
    <w:rsid w:val="00931F76"/>
    <w:rsid w:val="00932629"/>
    <w:rsid w:val="009338B9"/>
    <w:rsid w:val="00933DA9"/>
    <w:rsid w:val="00933F85"/>
    <w:rsid w:val="009344CC"/>
    <w:rsid w:val="009344D6"/>
    <w:rsid w:val="0093452C"/>
    <w:rsid w:val="009350AF"/>
    <w:rsid w:val="009350DD"/>
    <w:rsid w:val="009351B6"/>
    <w:rsid w:val="00935593"/>
    <w:rsid w:val="00935A6C"/>
    <w:rsid w:val="00935FFC"/>
    <w:rsid w:val="009365B4"/>
    <w:rsid w:val="00936810"/>
    <w:rsid w:val="00936914"/>
    <w:rsid w:val="00936DB0"/>
    <w:rsid w:val="00936EEE"/>
    <w:rsid w:val="009373E3"/>
    <w:rsid w:val="00937DE0"/>
    <w:rsid w:val="00937EB0"/>
    <w:rsid w:val="0094038D"/>
    <w:rsid w:val="0094074F"/>
    <w:rsid w:val="009409B1"/>
    <w:rsid w:val="00940A46"/>
    <w:rsid w:val="00940D20"/>
    <w:rsid w:val="00940DCE"/>
    <w:rsid w:val="009412EB"/>
    <w:rsid w:val="0094158F"/>
    <w:rsid w:val="00941BF0"/>
    <w:rsid w:val="00942274"/>
    <w:rsid w:val="009423FE"/>
    <w:rsid w:val="00942CC5"/>
    <w:rsid w:val="00943050"/>
    <w:rsid w:val="009434DF"/>
    <w:rsid w:val="0094351B"/>
    <w:rsid w:val="00943B99"/>
    <w:rsid w:val="009440BC"/>
    <w:rsid w:val="0094465B"/>
    <w:rsid w:val="009448F0"/>
    <w:rsid w:val="009449B0"/>
    <w:rsid w:val="00944E0F"/>
    <w:rsid w:val="00944E25"/>
    <w:rsid w:val="00944EA5"/>
    <w:rsid w:val="00944F47"/>
    <w:rsid w:val="00944FD9"/>
    <w:rsid w:val="0094502F"/>
    <w:rsid w:val="0094557D"/>
    <w:rsid w:val="00945ACF"/>
    <w:rsid w:val="00945D6E"/>
    <w:rsid w:val="00946172"/>
    <w:rsid w:val="009467C9"/>
    <w:rsid w:val="00946A16"/>
    <w:rsid w:val="00947438"/>
    <w:rsid w:val="009479F1"/>
    <w:rsid w:val="00947B73"/>
    <w:rsid w:val="00947C92"/>
    <w:rsid w:val="00947F7D"/>
    <w:rsid w:val="0095071B"/>
    <w:rsid w:val="0095095B"/>
    <w:rsid w:val="00950D71"/>
    <w:rsid w:val="00950F57"/>
    <w:rsid w:val="0095100A"/>
    <w:rsid w:val="0095150D"/>
    <w:rsid w:val="00951688"/>
    <w:rsid w:val="00952032"/>
    <w:rsid w:val="00952226"/>
    <w:rsid w:val="00952490"/>
    <w:rsid w:val="009524B5"/>
    <w:rsid w:val="00952651"/>
    <w:rsid w:val="009532A8"/>
    <w:rsid w:val="009536CC"/>
    <w:rsid w:val="00953A57"/>
    <w:rsid w:val="00953FB9"/>
    <w:rsid w:val="009559FD"/>
    <w:rsid w:val="00955A96"/>
    <w:rsid w:val="00956849"/>
    <w:rsid w:val="009568C8"/>
    <w:rsid w:val="00956BD8"/>
    <w:rsid w:val="00957502"/>
    <w:rsid w:val="00957804"/>
    <w:rsid w:val="00957E2B"/>
    <w:rsid w:val="00957E9E"/>
    <w:rsid w:val="00957FE3"/>
    <w:rsid w:val="00960057"/>
    <w:rsid w:val="009604CC"/>
    <w:rsid w:val="00960763"/>
    <w:rsid w:val="00960E66"/>
    <w:rsid w:val="0096101D"/>
    <w:rsid w:val="00961124"/>
    <w:rsid w:val="009612FF"/>
    <w:rsid w:val="009615CF"/>
    <w:rsid w:val="009616E1"/>
    <w:rsid w:val="009619AE"/>
    <w:rsid w:val="00961BB9"/>
    <w:rsid w:val="00962137"/>
    <w:rsid w:val="009624B8"/>
    <w:rsid w:val="00962856"/>
    <w:rsid w:val="00962898"/>
    <w:rsid w:val="00962A74"/>
    <w:rsid w:val="00962AA3"/>
    <w:rsid w:val="00962AA7"/>
    <w:rsid w:val="00962D0B"/>
    <w:rsid w:val="009630AB"/>
    <w:rsid w:val="00963323"/>
    <w:rsid w:val="00965612"/>
    <w:rsid w:val="00965AAA"/>
    <w:rsid w:val="00965C91"/>
    <w:rsid w:val="00965D8F"/>
    <w:rsid w:val="0096675D"/>
    <w:rsid w:val="00966FA2"/>
    <w:rsid w:val="009670A7"/>
    <w:rsid w:val="009670D2"/>
    <w:rsid w:val="009671BC"/>
    <w:rsid w:val="0096747B"/>
    <w:rsid w:val="009678B2"/>
    <w:rsid w:val="009679B3"/>
    <w:rsid w:val="0097070F"/>
    <w:rsid w:val="00970B42"/>
    <w:rsid w:val="0097113C"/>
    <w:rsid w:val="00971257"/>
    <w:rsid w:val="00971B9B"/>
    <w:rsid w:val="00972495"/>
    <w:rsid w:val="0097249B"/>
    <w:rsid w:val="00972628"/>
    <w:rsid w:val="009726E2"/>
    <w:rsid w:val="00973A89"/>
    <w:rsid w:val="00973B17"/>
    <w:rsid w:val="0097433E"/>
    <w:rsid w:val="00974412"/>
    <w:rsid w:val="00974434"/>
    <w:rsid w:val="00974448"/>
    <w:rsid w:val="009745AD"/>
    <w:rsid w:val="009746B9"/>
    <w:rsid w:val="00974D7D"/>
    <w:rsid w:val="009754E7"/>
    <w:rsid w:val="009757FC"/>
    <w:rsid w:val="00975A26"/>
    <w:rsid w:val="00975BD5"/>
    <w:rsid w:val="00975D5A"/>
    <w:rsid w:val="00976651"/>
    <w:rsid w:val="00976B12"/>
    <w:rsid w:val="00976C1F"/>
    <w:rsid w:val="00976C94"/>
    <w:rsid w:val="00976EA8"/>
    <w:rsid w:val="00976F08"/>
    <w:rsid w:val="00976F8A"/>
    <w:rsid w:val="00976FB9"/>
    <w:rsid w:val="00977122"/>
    <w:rsid w:val="009771AC"/>
    <w:rsid w:val="00977237"/>
    <w:rsid w:val="009773E4"/>
    <w:rsid w:val="009774D3"/>
    <w:rsid w:val="00977930"/>
    <w:rsid w:val="00977E37"/>
    <w:rsid w:val="009800A6"/>
    <w:rsid w:val="00980100"/>
    <w:rsid w:val="0098011E"/>
    <w:rsid w:val="0098027A"/>
    <w:rsid w:val="00980B17"/>
    <w:rsid w:val="00980E53"/>
    <w:rsid w:val="00980F79"/>
    <w:rsid w:val="009812E7"/>
    <w:rsid w:val="00981516"/>
    <w:rsid w:val="00981821"/>
    <w:rsid w:val="00981E75"/>
    <w:rsid w:val="009825A7"/>
    <w:rsid w:val="00982B47"/>
    <w:rsid w:val="00982BD1"/>
    <w:rsid w:val="00982DE2"/>
    <w:rsid w:val="00982FD5"/>
    <w:rsid w:val="009839FE"/>
    <w:rsid w:val="00984627"/>
    <w:rsid w:val="00984652"/>
    <w:rsid w:val="00984831"/>
    <w:rsid w:val="00984885"/>
    <w:rsid w:val="00984B9A"/>
    <w:rsid w:val="00984BD6"/>
    <w:rsid w:val="00985990"/>
    <w:rsid w:val="00985FF7"/>
    <w:rsid w:val="009861DF"/>
    <w:rsid w:val="0098642F"/>
    <w:rsid w:val="009864EC"/>
    <w:rsid w:val="0098676F"/>
    <w:rsid w:val="0098677F"/>
    <w:rsid w:val="009867E0"/>
    <w:rsid w:val="00986817"/>
    <w:rsid w:val="00986B2D"/>
    <w:rsid w:val="00986DA2"/>
    <w:rsid w:val="0098717C"/>
    <w:rsid w:val="009872E2"/>
    <w:rsid w:val="009873D3"/>
    <w:rsid w:val="00987414"/>
    <w:rsid w:val="0098785D"/>
    <w:rsid w:val="0098789C"/>
    <w:rsid w:val="00987FC3"/>
    <w:rsid w:val="00990073"/>
    <w:rsid w:val="00990A3D"/>
    <w:rsid w:val="00990B34"/>
    <w:rsid w:val="0099112B"/>
    <w:rsid w:val="00991683"/>
    <w:rsid w:val="00991A81"/>
    <w:rsid w:val="00991CFA"/>
    <w:rsid w:val="00991EF0"/>
    <w:rsid w:val="00991FB9"/>
    <w:rsid w:val="009923A6"/>
    <w:rsid w:val="00992467"/>
    <w:rsid w:val="00992C2A"/>
    <w:rsid w:val="00992D37"/>
    <w:rsid w:val="00992ED8"/>
    <w:rsid w:val="00992FBF"/>
    <w:rsid w:val="00993DF3"/>
    <w:rsid w:val="0099450E"/>
    <w:rsid w:val="00994617"/>
    <w:rsid w:val="0099470E"/>
    <w:rsid w:val="0099471F"/>
    <w:rsid w:val="00994833"/>
    <w:rsid w:val="00994A5D"/>
    <w:rsid w:val="00994ED3"/>
    <w:rsid w:val="0099516A"/>
    <w:rsid w:val="009952EC"/>
    <w:rsid w:val="00995341"/>
    <w:rsid w:val="009953C9"/>
    <w:rsid w:val="0099554E"/>
    <w:rsid w:val="00995701"/>
    <w:rsid w:val="009959AF"/>
    <w:rsid w:val="00995B38"/>
    <w:rsid w:val="0099606D"/>
    <w:rsid w:val="00996118"/>
    <w:rsid w:val="009961D0"/>
    <w:rsid w:val="00996211"/>
    <w:rsid w:val="0099658A"/>
    <w:rsid w:val="00997507"/>
    <w:rsid w:val="00997933"/>
    <w:rsid w:val="009979DB"/>
    <w:rsid w:val="00997A27"/>
    <w:rsid w:val="00997D30"/>
    <w:rsid w:val="009A098D"/>
    <w:rsid w:val="009A0BBC"/>
    <w:rsid w:val="009A0C76"/>
    <w:rsid w:val="009A141D"/>
    <w:rsid w:val="009A16C4"/>
    <w:rsid w:val="009A1B0C"/>
    <w:rsid w:val="009A1BD1"/>
    <w:rsid w:val="009A1C14"/>
    <w:rsid w:val="009A22C0"/>
    <w:rsid w:val="009A23DD"/>
    <w:rsid w:val="009A29D8"/>
    <w:rsid w:val="009A2D0D"/>
    <w:rsid w:val="009A306C"/>
    <w:rsid w:val="009A334A"/>
    <w:rsid w:val="009A35EF"/>
    <w:rsid w:val="009A3973"/>
    <w:rsid w:val="009A3C6F"/>
    <w:rsid w:val="009A3DC7"/>
    <w:rsid w:val="009A429B"/>
    <w:rsid w:val="009A4340"/>
    <w:rsid w:val="009A4479"/>
    <w:rsid w:val="009A4773"/>
    <w:rsid w:val="009A4996"/>
    <w:rsid w:val="009A5006"/>
    <w:rsid w:val="009A51C8"/>
    <w:rsid w:val="009A51FF"/>
    <w:rsid w:val="009A5410"/>
    <w:rsid w:val="009A5665"/>
    <w:rsid w:val="009A5BE8"/>
    <w:rsid w:val="009A5C50"/>
    <w:rsid w:val="009A5DD3"/>
    <w:rsid w:val="009A5FB6"/>
    <w:rsid w:val="009A62BE"/>
    <w:rsid w:val="009A6AE5"/>
    <w:rsid w:val="009A6B1B"/>
    <w:rsid w:val="009A7790"/>
    <w:rsid w:val="009A7D6F"/>
    <w:rsid w:val="009A7E1A"/>
    <w:rsid w:val="009A7EC8"/>
    <w:rsid w:val="009B02C2"/>
    <w:rsid w:val="009B0343"/>
    <w:rsid w:val="009B0515"/>
    <w:rsid w:val="009B0754"/>
    <w:rsid w:val="009B0ACC"/>
    <w:rsid w:val="009B1337"/>
    <w:rsid w:val="009B1752"/>
    <w:rsid w:val="009B1CD6"/>
    <w:rsid w:val="009B1D93"/>
    <w:rsid w:val="009B2113"/>
    <w:rsid w:val="009B22FA"/>
    <w:rsid w:val="009B24D5"/>
    <w:rsid w:val="009B24EB"/>
    <w:rsid w:val="009B2788"/>
    <w:rsid w:val="009B2BB1"/>
    <w:rsid w:val="009B2E23"/>
    <w:rsid w:val="009B2ECA"/>
    <w:rsid w:val="009B3261"/>
    <w:rsid w:val="009B355A"/>
    <w:rsid w:val="009B3723"/>
    <w:rsid w:val="009B3A41"/>
    <w:rsid w:val="009B3C79"/>
    <w:rsid w:val="009B4889"/>
    <w:rsid w:val="009B48E0"/>
    <w:rsid w:val="009B4AE5"/>
    <w:rsid w:val="009B4FB9"/>
    <w:rsid w:val="009B4FEA"/>
    <w:rsid w:val="009B5243"/>
    <w:rsid w:val="009B55DD"/>
    <w:rsid w:val="009B5768"/>
    <w:rsid w:val="009B577F"/>
    <w:rsid w:val="009B5825"/>
    <w:rsid w:val="009B5AA5"/>
    <w:rsid w:val="009B5CCE"/>
    <w:rsid w:val="009B5EE8"/>
    <w:rsid w:val="009B65D6"/>
    <w:rsid w:val="009B666B"/>
    <w:rsid w:val="009B6B8F"/>
    <w:rsid w:val="009B6C0F"/>
    <w:rsid w:val="009B7299"/>
    <w:rsid w:val="009B747A"/>
    <w:rsid w:val="009B74A0"/>
    <w:rsid w:val="009B74BB"/>
    <w:rsid w:val="009B7609"/>
    <w:rsid w:val="009B7795"/>
    <w:rsid w:val="009B77C0"/>
    <w:rsid w:val="009B797F"/>
    <w:rsid w:val="009B7C35"/>
    <w:rsid w:val="009B7EAB"/>
    <w:rsid w:val="009C01CA"/>
    <w:rsid w:val="009C024C"/>
    <w:rsid w:val="009C0309"/>
    <w:rsid w:val="009C04D2"/>
    <w:rsid w:val="009C0555"/>
    <w:rsid w:val="009C0CFA"/>
    <w:rsid w:val="009C0E0D"/>
    <w:rsid w:val="009C15FD"/>
    <w:rsid w:val="009C1806"/>
    <w:rsid w:val="009C1F74"/>
    <w:rsid w:val="009C2228"/>
    <w:rsid w:val="009C256A"/>
    <w:rsid w:val="009C2613"/>
    <w:rsid w:val="009C266D"/>
    <w:rsid w:val="009C2731"/>
    <w:rsid w:val="009C2A40"/>
    <w:rsid w:val="009C2B68"/>
    <w:rsid w:val="009C2D0A"/>
    <w:rsid w:val="009C2D73"/>
    <w:rsid w:val="009C2F1E"/>
    <w:rsid w:val="009C377D"/>
    <w:rsid w:val="009C459B"/>
    <w:rsid w:val="009C4EB3"/>
    <w:rsid w:val="009C4EDC"/>
    <w:rsid w:val="009C4FB0"/>
    <w:rsid w:val="009C5047"/>
    <w:rsid w:val="009C543C"/>
    <w:rsid w:val="009C5B0C"/>
    <w:rsid w:val="009C5E71"/>
    <w:rsid w:val="009C6796"/>
    <w:rsid w:val="009C6A60"/>
    <w:rsid w:val="009C6E9D"/>
    <w:rsid w:val="009C70D0"/>
    <w:rsid w:val="009C7771"/>
    <w:rsid w:val="009C7DB9"/>
    <w:rsid w:val="009C7E36"/>
    <w:rsid w:val="009D0008"/>
    <w:rsid w:val="009D04FC"/>
    <w:rsid w:val="009D0805"/>
    <w:rsid w:val="009D0C6B"/>
    <w:rsid w:val="009D0D63"/>
    <w:rsid w:val="009D1397"/>
    <w:rsid w:val="009D1C8E"/>
    <w:rsid w:val="009D2084"/>
    <w:rsid w:val="009D22A6"/>
    <w:rsid w:val="009D2650"/>
    <w:rsid w:val="009D2B4C"/>
    <w:rsid w:val="009D2D75"/>
    <w:rsid w:val="009D2DF4"/>
    <w:rsid w:val="009D3323"/>
    <w:rsid w:val="009D3AFE"/>
    <w:rsid w:val="009D4264"/>
    <w:rsid w:val="009D44FD"/>
    <w:rsid w:val="009D4F92"/>
    <w:rsid w:val="009D565F"/>
    <w:rsid w:val="009D591F"/>
    <w:rsid w:val="009D59F7"/>
    <w:rsid w:val="009D5B31"/>
    <w:rsid w:val="009D5C36"/>
    <w:rsid w:val="009D5CA9"/>
    <w:rsid w:val="009D66C8"/>
    <w:rsid w:val="009D6994"/>
    <w:rsid w:val="009D6B4E"/>
    <w:rsid w:val="009D6EA4"/>
    <w:rsid w:val="009D7700"/>
    <w:rsid w:val="009D78EE"/>
    <w:rsid w:val="009D7DB3"/>
    <w:rsid w:val="009D7EC5"/>
    <w:rsid w:val="009E078A"/>
    <w:rsid w:val="009E0864"/>
    <w:rsid w:val="009E0DB9"/>
    <w:rsid w:val="009E1088"/>
    <w:rsid w:val="009E161C"/>
    <w:rsid w:val="009E18D0"/>
    <w:rsid w:val="009E1902"/>
    <w:rsid w:val="009E1D0C"/>
    <w:rsid w:val="009E1E6A"/>
    <w:rsid w:val="009E2449"/>
    <w:rsid w:val="009E2741"/>
    <w:rsid w:val="009E2E29"/>
    <w:rsid w:val="009E2EB3"/>
    <w:rsid w:val="009E2F90"/>
    <w:rsid w:val="009E30C4"/>
    <w:rsid w:val="009E32CC"/>
    <w:rsid w:val="009E337D"/>
    <w:rsid w:val="009E38A6"/>
    <w:rsid w:val="009E3B81"/>
    <w:rsid w:val="009E4205"/>
    <w:rsid w:val="009E4272"/>
    <w:rsid w:val="009E4362"/>
    <w:rsid w:val="009E43D4"/>
    <w:rsid w:val="009E4561"/>
    <w:rsid w:val="009E4620"/>
    <w:rsid w:val="009E4743"/>
    <w:rsid w:val="009E475B"/>
    <w:rsid w:val="009E48B9"/>
    <w:rsid w:val="009E4911"/>
    <w:rsid w:val="009E4955"/>
    <w:rsid w:val="009E4A23"/>
    <w:rsid w:val="009E4D07"/>
    <w:rsid w:val="009E4F77"/>
    <w:rsid w:val="009E5BEC"/>
    <w:rsid w:val="009E6077"/>
    <w:rsid w:val="009E6877"/>
    <w:rsid w:val="009E6A31"/>
    <w:rsid w:val="009E6A6B"/>
    <w:rsid w:val="009E6BC2"/>
    <w:rsid w:val="009E6FFF"/>
    <w:rsid w:val="009E715F"/>
    <w:rsid w:val="009E7161"/>
    <w:rsid w:val="009E7294"/>
    <w:rsid w:val="009E739A"/>
    <w:rsid w:val="009E7553"/>
    <w:rsid w:val="009E755A"/>
    <w:rsid w:val="009E7D0D"/>
    <w:rsid w:val="009F035B"/>
    <w:rsid w:val="009F06A7"/>
    <w:rsid w:val="009F0813"/>
    <w:rsid w:val="009F082F"/>
    <w:rsid w:val="009F08D4"/>
    <w:rsid w:val="009F0B1D"/>
    <w:rsid w:val="009F0E5B"/>
    <w:rsid w:val="009F115C"/>
    <w:rsid w:val="009F13F6"/>
    <w:rsid w:val="009F2BD2"/>
    <w:rsid w:val="009F2E1F"/>
    <w:rsid w:val="009F32FA"/>
    <w:rsid w:val="009F3958"/>
    <w:rsid w:val="009F39A5"/>
    <w:rsid w:val="009F3A8F"/>
    <w:rsid w:val="009F4AFF"/>
    <w:rsid w:val="009F4B28"/>
    <w:rsid w:val="009F4C0D"/>
    <w:rsid w:val="009F4FE1"/>
    <w:rsid w:val="009F550B"/>
    <w:rsid w:val="009F5758"/>
    <w:rsid w:val="009F58F6"/>
    <w:rsid w:val="009F5905"/>
    <w:rsid w:val="009F5980"/>
    <w:rsid w:val="009F5B2D"/>
    <w:rsid w:val="009F5F53"/>
    <w:rsid w:val="009F600D"/>
    <w:rsid w:val="009F66A3"/>
    <w:rsid w:val="009F6A0E"/>
    <w:rsid w:val="009F6EDA"/>
    <w:rsid w:val="009F6F00"/>
    <w:rsid w:val="009F7490"/>
    <w:rsid w:val="009F7D8F"/>
    <w:rsid w:val="009F7E8E"/>
    <w:rsid w:val="009F7ECC"/>
    <w:rsid w:val="00A0024A"/>
    <w:rsid w:val="00A00990"/>
    <w:rsid w:val="00A00D31"/>
    <w:rsid w:val="00A00D67"/>
    <w:rsid w:val="00A010BA"/>
    <w:rsid w:val="00A010EB"/>
    <w:rsid w:val="00A012D3"/>
    <w:rsid w:val="00A01587"/>
    <w:rsid w:val="00A016CC"/>
    <w:rsid w:val="00A017F3"/>
    <w:rsid w:val="00A01A54"/>
    <w:rsid w:val="00A01B47"/>
    <w:rsid w:val="00A01D18"/>
    <w:rsid w:val="00A02114"/>
    <w:rsid w:val="00A022C3"/>
    <w:rsid w:val="00A02419"/>
    <w:rsid w:val="00A034B4"/>
    <w:rsid w:val="00A0366C"/>
    <w:rsid w:val="00A03B17"/>
    <w:rsid w:val="00A03BF0"/>
    <w:rsid w:val="00A04198"/>
    <w:rsid w:val="00A04295"/>
    <w:rsid w:val="00A047DE"/>
    <w:rsid w:val="00A04ECF"/>
    <w:rsid w:val="00A05991"/>
    <w:rsid w:val="00A05B46"/>
    <w:rsid w:val="00A05E0C"/>
    <w:rsid w:val="00A05E42"/>
    <w:rsid w:val="00A0627D"/>
    <w:rsid w:val="00A069CB"/>
    <w:rsid w:val="00A06C6B"/>
    <w:rsid w:val="00A06E48"/>
    <w:rsid w:val="00A06EED"/>
    <w:rsid w:val="00A0745C"/>
    <w:rsid w:val="00A079E4"/>
    <w:rsid w:val="00A10374"/>
    <w:rsid w:val="00A103BC"/>
    <w:rsid w:val="00A1078B"/>
    <w:rsid w:val="00A1112F"/>
    <w:rsid w:val="00A111A7"/>
    <w:rsid w:val="00A11252"/>
    <w:rsid w:val="00A11685"/>
    <w:rsid w:val="00A118C2"/>
    <w:rsid w:val="00A11EF2"/>
    <w:rsid w:val="00A12184"/>
    <w:rsid w:val="00A1321A"/>
    <w:rsid w:val="00A140A3"/>
    <w:rsid w:val="00A14453"/>
    <w:rsid w:val="00A14A51"/>
    <w:rsid w:val="00A15643"/>
    <w:rsid w:val="00A15B22"/>
    <w:rsid w:val="00A15C22"/>
    <w:rsid w:val="00A15DD4"/>
    <w:rsid w:val="00A161B0"/>
    <w:rsid w:val="00A166DA"/>
    <w:rsid w:val="00A167AD"/>
    <w:rsid w:val="00A167DB"/>
    <w:rsid w:val="00A16971"/>
    <w:rsid w:val="00A16CF9"/>
    <w:rsid w:val="00A172AF"/>
    <w:rsid w:val="00A177B3"/>
    <w:rsid w:val="00A17A73"/>
    <w:rsid w:val="00A17D82"/>
    <w:rsid w:val="00A17E4A"/>
    <w:rsid w:val="00A202D2"/>
    <w:rsid w:val="00A202D6"/>
    <w:rsid w:val="00A20314"/>
    <w:rsid w:val="00A203CF"/>
    <w:rsid w:val="00A20740"/>
    <w:rsid w:val="00A207DC"/>
    <w:rsid w:val="00A20AAF"/>
    <w:rsid w:val="00A21351"/>
    <w:rsid w:val="00A21513"/>
    <w:rsid w:val="00A217D7"/>
    <w:rsid w:val="00A2238A"/>
    <w:rsid w:val="00A22A25"/>
    <w:rsid w:val="00A22EF4"/>
    <w:rsid w:val="00A23115"/>
    <w:rsid w:val="00A23487"/>
    <w:rsid w:val="00A23754"/>
    <w:rsid w:val="00A237C7"/>
    <w:rsid w:val="00A23BB5"/>
    <w:rsid w:val="00A24107"/>
    <w:rsid w:val="00A24118"/>
    <w:rsid w:val="00A24241"/>
    <w:rsid w:val="00A24358"/>
    <w:rsid w:val="00A246BF"/>
    <w:rsid w:val="00A249A6"/>
    <w:rsid w:val="00A24D30"/>
    <w:rsid w:val="00A24F57"/>
    <w:rsid w:val="00A24FB7"/>
    <w:rsid w:val="00A2529B"/>
    <w:rsid w:val="00A25923"/>
    <w:rsid w:val="00A2593B"/>
    <w:rsid w:val="00A25C17"/>
    <w:rsid w:val="00A25C19"/>
    <w:rsid w:val="00A25E0E"/>
    <w:rsid w:val="00A26464"/>
    <w:rsid w:val="00A26657"/>
    <w:rsid w:val="00A268D7"/>
    <w:rsid w:val="00A2691C"/>
    <w:rsid w:val="00A26B47"/>
    <w:rsid w:val="00A26B83"/>
    <w:rsid w:val="00A27238"/>
    <w:rsid w:val="00A27359"/>
    <w:rsid w:val="00A27817"/>
    <w:rsid w:val="00A27DF6"/>
    <w:rsid w:val="00A27E27"/>
    <w:rsid w:val="00A30702"/>
    <w:rsid w:val="00A30821"/>
    <w:rsid w:val="00A30A1B"/>
    <w:rsid w:val="00A30D2D"/>
    <w:rsid w:val="00A31218"/>
    <w:rsid w:val="00A3136D"/>
    <w:rsid w:val="00A31786"/>
    <w:rsid w:val="00A317B2"/>
    <w:rsid w:val="00A31CF9"/>
    <w:rsid w:val="00A3234E"/>
    <w:rsid w:val="00A32405"/>
    <w:rsid w:val="00A3274A"/>
    <w:rsid w:val="00A32E1E"/>
    <w:rsid w:val="00A33670"/>
    <w:rsid w:val="00A33EDE"/>
    <w:rsid w:val="00A33F5B"/>
    <w:rsid w:val="00A345E1"/>
    <w:rsid w:val="00A345F3"/>
    <w:rsid w:val="00A3472D"/>
    <w:rsid w:val="00A349FA"/>
    <w:rsid w:val="00A3543A"/>
    <w:rsid w:val="00A35834"/>
    <w:rsid w:val="00A359D5"/>
    <w:rsid w:val="00A35A7C"/>
    <w:rsid w:val="00A35F14"/>
    <w:rsid w:val="00A362E0"/>
    <w:rsid w:val="00A36B73"/>
    <w:rsid w:val="00A36B75"/>
    <w:rsid w:val="00A378EA"/>
    <w:rsid w:val="00A37954"/>
    <w:rsid w:val="00A37D44"/>
    <w:rsid w:val="00A4002E"/>
    <w:rsid w:val="00A40214"/>
    <w:rsid w:val="00A405AA"/>
    <w:rsid w:val="00A40753"/>
    <w:rsid w:val="00A4076C"/>
    <w:rsid w:val="00A408E8"/>
    <w:rsid w:val="00A40E54"/>
    <w:rsid w:val="00A41636"/>
    <w:rsid w:val="00A4195F"/>
    <w:rsid w:val="00A41A05"/>
    <w:rsid w:val="00A41DA8"/>
    <w:rsid w:val="00A421B6"/>
    <w:rsid w:val="00A421E7"/>
    <w:rsid w:val="00A421ED"/>
    <w:rsid w:val="00A42217"/>
    <w:rsid w:val="00A42C0B"/>
    <w:rsid w:val="00A42D4A"/>
    <w:rsid w:val="00A42F04"/>
    <w:rsid w:val="00A43258"/>
    <w:rsid w:val="00A432BB"/>
    <w:rsid w:val="00A4348D"/>
    <w:rsid w:val="00A4361C"/>
    <w:rsid w:val="00A4376D"/>
    <w:rsid w:val="00A441ED"/>
    <w:rsid w:val="00A44409"/>
    <w:rsid w:val="00A44C29"/>
    <w:rsid w:val="00A44D9A"/>
    <w:rsid w:val="00A45013"/>
    <w:rsid w:val="00A451E5"/>
    <w:rsid w:val="00A4557B"/>
    <w:rsid w:val="00A4558A"/>
    <w:rsid w:val="00A45638"/>
    <w:rsid w:val="00A460EE"/>
    <w:rsid w:val="00A4619A"/>
    <w:rsid w:val="00A47174"/>
    <w:rsid w:val="00A47410"/>
    <w:rsid w:val="00A475F5"/>
    <w:rsid w:val="00A47738"/>
    <w:rsid w:val="00A47884"/>
    <w:rsid w:val="00A4794F"/>
    <w:rsid w:val="00A479CE"/>
    <w:rsid w:val="00A47F8D"/>
    <w:rsid w:val="00A500FA"/>
    <w:rsid w:val="00A5018D"/>
    <w:rsid w:val="00A506C9"/>
    <w:rsid w:val="00A50A9D"/>
    <w:rsid w:val="00A50B04"/>
    <w:rsid w:val="00A50D55"/>
    <w:rsid w:val="00A50E9C"/>
    <w:rsid w:val="00A5127D"/>
    <w:rsid w:val="00A512F6"/>
    <w:rsid w:val="00A5174A"/>
    <w:rsid w:val="00A51B09"/>
    <w:rsid w:val="00A51C96"/>
    <w:rsid w:val="00A520CA"/>
    <w:rsid w:val="00A522B5"/>
    <w:rsid w:val="00A52467"/>
    <w:rsid w:val="00A52476"/>
    <w:rsid w:val="00A52576"/>
    <w:rsid w:val="00A5257B"/>
    <w:rsid w:val="00A52A02"/>
    <w:rsid w:val="00A52A76"/>
    <w:rsid w:val="00A52B74"/>
    <w:rsid w:val="00A52CE9"/>
    <w:rsid w:val="00A52D6C"/>
    <w:rsid w:val="00A53414"/>
    <w:rsid w:val="00A53552"/>
    <w:rsid w:val="00A536A0"/>
    <w:rsid w:val="00A53BE0"/>
    <w:rsid w:val="00A53C9F"/>
    <w:rsid w:val="00A549FA"/>
    <w:rsid w:val="00A54A98"/>
    <w:rsid w:val="00A556AA"/>
    <w:rsid w:val="00A55D21"/>
    <w:rsid w:val="00A55E78"/>
    <w:rsid w:val="00A562DC"/>
    <w:rsid w:val="00A565DF"/>
    <w:rsid w:val="00A571D1"/>
    <w:rsid w:val="00A5724E"/>
    <w:rsid w:val="00A57344"/>
    <w:rsid w:val="00A6020B"/>
    <w:rsid w:val="00A605F9"/>
    <w:rsid w:val="00A60C6E"/>
    <w:rsid w:val="00A60CE7"/>
    <w:rsid w:val="00A61396"/>
    <w:rsid w:val="00A613DB"/>
    <w:rsid w:val="00A61529"/>
    <w:rsid w:val="00A620C3"/>
    <w:rsid w:val="00A62153"/>
    <w:rsid w:val="00A622C4"/>
    <w:rsid w:val="00A62580"/>
    <w:rsid w:val="00A62D4C"/>
    <w:rsid w:val="00A63117"/>
    <w:rsid w:val="00A631E9"/>
    <w:rsid w:val="00A6337C"/>
    <w:rsid w:val="00A63763"/>
    <w:rsid w:val="00A63769"/>
    <w:rsid w:val="00A63DE2"/>
    <w:rsid w:val="00A63ED1"/>
    <w:rsid w:val="00A64009"/>
    <w:rsid w:val="00A65225"/>
    <w:rsid w:val="00A6592D"/>
    <w:rsid w:val="00A65A73"/>
    <w:rsid w:val="00A65B20"/>
    <w:rsid w:val="00A65EF4"/>
    <w:rsid w:val="00A660FA"/>
    <w:rsid w:val="00A66427"/>
    <w:rsid w:val="00A66756"/>
    <w:rsid w:val="00A668EC"/>
    <w:rsid w:val="00A66E15"/>
    <w:rsid w:val="00A67C75"/>
    <w:rsid w:val="00A67FB2"/>
    <w:rsid w:val="00A67FF1"/>
    <w:rsid w:val="00A706F7"/>
    <w:rsid w:val="00A7093D"/>
    <w:rsid w:val="00A70A63"/>
    <w:rsid w:val="00A71682"/>
    <w:rsid w:val="00A71D5E"/>
    <w:rsid w:val="00A71E8A"/>
    <w:rsid w:val="00A72088"/>
    <w:rsid w:val="00A72130"/>
    <w:rsid w:val="00A7278E"/>
    <w:rsid w:val="00A72A1B"/>
    <w:rsid w:val="00A73090"/>
    <w:rsid w:val="00A739E1"/>
    <w:rsid w:val="00A73BE3"/>
    <w:rsid w:val="00A73C34"/>
    <w:rsid w:val="00A73CD7"/>
    <w:rsid w:val="00A744B5"/>
    <w:rsid w:val="00A744DB"/>
    <w:rsid w:val="00A744EA"/>
    <w:rsid w:val="00A74582"/>
    <w:rsid w:val="00A74875"/>
    <w:rsid w:val="00A75850"/>
    <w:rsid w:val="00A75A63"/>
    <w:rsid w:val="00A75CE0"/>
    <w:rsid w:val="00A75E19"/>
    <w:rsid w:val="00A75F93"/>
    <w:rsid w:val="00A7632E"/>
    <w:rsid w:val="00A76716"/>
    <w:rsid w:val="00A76844"/>
    <w:rsid w:val="00A77194"/>
    <w:rsid w:val="00A77307"/>
    <w:rsid w:val="00A77388"/>
    <w:rsid w:val="00A7787E"/>
    <w:rsid w:val="00A77969"/>
    <w:rsid w:val="00A77985"/>
    <w:rsid w:val="00A77ABC"/>
    <w:rsid w:val="00A77E25"/>
    <w:rsid w:val="00A77F4A"/>
    <w:rsid w:val="00A77F5D"/>
    <w:rsid w:val="00A80187"/>
    <w:rsid w:val="00A805F3"/>
    <w:rsid w:val="00A80857"/>
    <w:rsid w:val="00A81333"/>
    <w:rsid w:val="00A81ACE"/>
    <w:rsid w:val="00A81DA7"/>
    <w:rsid w:val="00A821F3"/>
    <w:rsid w:val="00A826C7"/>
    <w:rsid w:val="00A827E6"/>
    <w:rsid w:val="00A8334D"/>
    <w:rsid w:val="00A834A9"/>
    <w:rsid w:val="00A836B9"/>
    <w:rsid w:val="00A83700"/>
    <w:rsid w:val="00A83DF4"/>
    <w:rsid w:val="00A83F7A"/>
    <w:rsid w:val="00A8435C"/>
    <w:rsid w:val="00A848FA"/>
    <w:rsid w:val="00A84CAE"/>
    <w:rsid w:val="00A85108"/>
    <w:rsid w:val="00A85530"/>
    <w:rsid w:val="00A860D5"/>
    <w:rsid w:val="00A86134"/>
    <w:rsid w:val="00A863E8"/>
    <w:rsid w:val="00A87287"/>
    <w:rsid w:val="00A873B9"/>
    <w:rsid w:val="00A876FD"/>
    <w:rsid w:val="00A87890"/>
    <w:rsid w:val="00A87A35"/>
    <w:rsid w:val="00A87A44"/>
    <w:rsid w:val="00A87B1C"/>
    <w:rsid w:val="00A87CCE"/>
    <w:rsid w:val="00A87CF0"/>
    <w:rsid w:val="00A87DDF"/>
    <w:rsid w:val="00A87FA6"/>
    <w:rsid w:val="00A908DF"/>
    <w:rsid w:val="00A90A09"/>
    <w:rsid w:val="00A90B50"/>
    <w:rsid w:val="00A90EAF"/>
    <w:rsid w:val="00A91005"/>
    <w:rsid w:val="00A91341"/>
    <w:rsid w:val="00A913B2"/>
    <w:rsid w:val="00A91AD3"/>
    <w:rsid w:val="00A9208F"/>
    <w:rsid w:val="00A923A4"/>
    <w:rsid w:val="00A92618"/>
    <w:rsid w:val="00A926D0"/>
    <w:rsid w:val="00A9288C"/>
    <w:rsid w:val="00A92BAD"/>
    <w:rsid w:val="00A92D3D"/>
    <w:rsid w:val="00A932B8"/>
    <w:rsid w:val="00A9393C"/>
    <w:rsid w:val="00A93A6E"/>
    <w:rsid w:val="00A9413B"/>
    <w:rsid w:val="00A944A8"/>
    <w:rsid w:val="00A94650"/>
    <w:rsid w:val="00A947E1"/>
    <w:rsid w:val="00A94A18"/>
    <w:rsid w:val="00A94CCE"/>
    <w:rsid w:val="00A95053"/>
    <w:rsid w:val="00A9539D"/>
    <w:rsid w:val="00A953D3"/>
    <w:rsid w:val="00A953D8"/>
    <w:rsid w:val="00A9593C"/>
    <w:rsid w:val="00A95C61"/>
    <w:rsid w:val="00A95D5D"/>
    <w:rsid w:val="00A960BB"/>
    <w:rsid w:val="00A96268"/>
    <w:rsid w:val="00A9645D"/>
    <w:rsid w:val="00A9686D"/>
    <w:rsid w:val="00A96EB7"/>
    <w:rsid w:val="00A974F0"/>
    <w:rsid w:val="00A9775A"/>
    <w:rsid w:val="00A97D36"/>
    <w:rsid w:val="00A97EAD"/>
    <w:rsid w:val="00AA06ED"/>
    <w:rsid w:val="00AA08C1"/>
    <w:rsid w:val="00AA0B4A"/>
    <w:rsid w:val="00AA0DF8"/>
    <w:rsid w:val="00AA114C"/>
    <w:rsid w:val="00AA11AC"/>
    <w:rsid w:val="00AA142C"/>
    <w:rsid w:val="00AA14A7"/>
    <w:rsid w:val="00AA1CA6"/>
    <w:rsid w:val="00AA22AE"/>
    <w:rsid w:val="00AA2B89"/>
    <w:rsid w:val="00AA2FBF"/>
    <w:rsid w:val="00AA3002"/>
    <w:rsid w:val="00AA3426"/>
    <w:rsid w:val="00AA37C7"/>
    <w:rsid w:val="00AA471B"/>
    <w:rsid w:val="00AA498B"/>
    <w:rsid w:val="00AA541A"/>
    <w:rsid w:val="00AA54C1"/>
    <w:rsid w:val="00AA5506"/>
    <w:rsid w:val="00AA5D88"/>
    <w:rsid w:val="00AA5E80"/>
    <w:rsid w:val="00AA5ED1"/>
    <w:rsid w:val="00AA616D"/>
    <w:rsid w:val="00AA64FF"/>
    <w:rsid w:val="00AA672D"/>
    <w:rsid w:val="00AA6762"/>
    <w:rsid w:val="00AA713A"/>
    <w:rsid w:val="00AA7167"/>
    <w:rsid w:val="00AA72B3"/>
    <w:rsid w:val="00AA765F"/>
    <w:rsid w:val="00AA7824"/>
    <w:rsid w:val="00AA7CC8"/>
    <w:rsid w:val="00AA7D06"/>
    <w:rsid w:val="00AB04BA"/>
    <w:rsid w:val="00AB053F"/>
    <w:rsid w:val="00AB05AB"/>
    <w:rsid w:val="00AB0876"/>
    <w:rsid w:val="00AB0D44"/>
    <w:rsid w:val="00AB0E0E"/>
    <w:rsid w:val="00AB0F9A"/>
    <w:rsid w:val="00AB11B2"/>
    <w:rsid w:val="00AB12E5"/>
    <w:rsid w:val="00AB1802"/>
    <w:rsid w:val="00AB1C64"/>
    <w:rsid w:val="00AB1DBE"/>
    <w:rsid w:val="00AB1E55"/>
    <w:rsid w:val="00AB224B"/>
    <w:rsid w:val="00AB2640"/>
    <w:rsid w:val="00AB3127"/>
    <w:rsid w:val="00AB3726"/>
    <w:rsid w:val="00AB3ACF"/>
    <w:rsid w:val="00AB3D33"/>
    <w:rsid w:val="00AB3D3B"/>
    <w:rsid w:val="00AB3F2E"/>
    <w:rsid w:val="00AB3FDC"/>
    <w:rsid w:val="00AB408F"/>
    <w:rsid w:val="00AB4134"/>
    <w:rsid w:val="00AB4380"/>
    <w:rsid w:val="00AB45A2"/>
    <w:rsid w:val="00AB4811"/>
    <w:rsid w:val="00AB4B35"/>
    <w:rsid w:val="00AB4CE2"/>
    <w:rsid w:val="00AB5392"/>
    <w:rsid w:val="00AB5C4B"/>
    <w:rsid w:val="00AB624B"/>
    <w:rsid w:val="00AB64F3"/>
    <w:rsid w:val="00AB6599"/>
    <w:rsid w:val="00AB6BD2"/>
    <w:rsid w:val="00AB6E69"/>
    <w:rsid w:val="00AB6F59"/>
    <w:rsid w:val="00AB6FAE"/>
    <w:rsid w:val="00AB7166"/>
    <w:rsid w:val="00AB7710"/>
    <w:rsid w:val="00AB7976"/>
    <w:rsid w:val="00AC040D"/>
    <w:rsid w:val="00AC04D7"/>
    <w:rsid w:val="00AC05A6"/>
    <w:rsid w:val="00AC0929"/>
    <w:rsid w:val="00AC0D51"/>
    <w:rsid w:val="00AC0D62"/>
    <w:rsid w:val="00AC0D91"/>
    <w:rsid w:val="00AC1163"/>
    <w:rsid w:val="00AC1345"/>
    <w:rsid w:val="00AC1726"/>
    <w:rsid w:val="00AC187F"/>
    <w:rsid w:val="00AC19ED"/>
    <w:rsid w:val="00AC2556"/>
    <w:rsid w:val="00AC2833"/>
    <w:rsid w:val="00AC2A60"/>
    <w:rsid w:val="00AC2D13"/>
    <w:rsid w:val="00AC3244"/>
    <w:rsid w:val="00AC3B3E"/>
    <w:rsid w:val="00AC3EC2"/>
    <w:rsid w:val="00AC4431"/>
    <w:rsid w:val="00AC4A4E"/>
    <w:rsid w:val="00AC4A58"/>
    <w:rsid w:val="00AC4C7E"/>
    <w:rsid w:val="00AC4DA4"/>
    <w:rsid w:val="00AC5ABF"/>
    <w:rsid w:val="00AC6C1D"/>
    <w:rsid w:val="00AC6D3A"/>
    <w:rsid w:val="00AC719A"/>
    <w:rsid w:val="00AC734A"/>
    <w:rsid w:val="00AC7974"/>
    <w:rsid w:val="00AC7EB0"/>
    <w:rsid w:val="00AD0011"/>
    <w:rsid w:val="00AD04B7"/>
    <w:rsid w:val="00AD0592"/>
    <w:rsid w:val="00AD0D4E"/>
    <w:rsid w:val="00AD0DF7"/>
    <w:rsid w:val="00AD0F00"/>
    <w:rsid w:val="00AD0F45"/>
    <w:rsid w:val="00AD1058"/>
    <w:rsid w:val="00AD18B6"/>
    <w:rsid w:val="00AD1DB4"/>
    <w:rsid w:val="00AD23D1"/>
    <w:rsid w:val="00AD2487"/>
    <w:rsid w:val="00AD3052"/>
    <w:rsid w:val="00AD3465"/>
    <w:rsid w:val="00AD39E6"/>
    <w:rsid w:val="00AD3C46"/>
    <w:rsid w:val="00AD3CF7"/>
    <w:rsid w:val="00AD460B"/>
    <w:rsid w:val="00AD4780"/>
    <w:rsid w:val="00AD47E6"/>
    <w:rsid w:val="00AD4840"/>
    <w:rsid w:val="00AD49DD"/>
    <w:rsid w:val="00AD4BA3"/>
    <w:rsid w:val="00AD66F4"/>
    <w:rsid w:val="00AD6FFF"/>
    <w:rsid w:val="00AD73EB"/>
    <w:rsid w:val="00AD7410"/>
    <w:rsid w:val="00AD756C"/>
    <w:rsid w:val="00AD759C"/>
    <w:rsid w:val="00AD76B5"/>
    <w:rsid w:val="00AD7D42"/>
    <w:rsid w:val="00AE00BC"/>
    <w:rsid w:val="00AE00C6"/>
    <w:rsid w:val="00AE064D"/>
    <w:rsid w:val="00AE0719"/>
    <w:rsid w:val="00AE081B"/>
    <w:rsid w:val="00AE091C"/>
    <w:rsid w:val="00AE0960"/>
    <w:rsid w:val="00AE1043"/>
    <w:rsid w:val="00AE1197"/>
    <w:rsid w:val="00AE11C3"/>
    <w:rsid w:val="00AE14B5"/>
    <w:rsid w:val="00AE152A"/>
    <w:rsid w:val="00AE1535"/>
    <w:rsid w:val="00AE1BC3"/>
    <w:rsid w:val="00AE1D2F"/>
    <w:rsid w:val="00AE1EFB"/>
    <w:rsid w:val="00AE27B0"/>
    <w:rsid w:val="00AE28CF"/>
    <w:rsid w:val="00AE2944"/>
    <w:rsid w:val="00AE2A0B"/>
    <w:rsid w:val="00AE2C24"/>
    <w:rsid w:val="00AE326A"/>
    <w:rsid w:val="00AE3336"/>
    <w:rsid w:val="00AE3DA6"/>
    <w:rsid w:val="00AE3F83"/>
    <w:rsid w:val="00AE412E"/>
    <w:rsid w:val="00AE576A"/>
    <w:rsid w:val="00AE5B63"/>
    <w:rsid w:val="00AE5C48"/>
    <w:rsid w:val="00AE6150"/>
    <w:rsid w:val="00AE61B4"/>
    <w:rsid w:val="00AE6436"/>
    <w:rsid w:val="00AE737A"/>
    <w:rsid w:val="00AE7802"/>
    <w:rsid w:val="00AE78D0"/>
    <w:rsid w:val="00AE7A03"/>
    <w:rsid w:val="00AE7B6D"/>
    <w:rsid w:val="00AE7BBB"/>
    <w:rsid w:val="00AF0475"/>
    <w:rsid w:val="00AF0574"/>
    <w:rsid w:val="00AF0B54"/>
    <w:rsid w:val="00AF0BE9"/>
    <w:rsid w:val="00AF0E55"/>
    <w:rsid w:val="00AF10EF"/>
    <w:rsid w:val="00AF1E73"/>
    <w:rsid w:val="00AF1E80"/>
    <w:rsid w:val="00AF2045"/>
    <w:rsid w:val="00AF2292"/>
    <w:rsid w:val="00AF269A"/>
    <w:rsid w:val="00AF2792"/>
    <w:rsid w:val="00AF2799"/>
    <w:rsid w:val="00AF279F"/>
    <w:rsid w:val="00AF2997"/>
    <w:rsid w:val="00AF2EF2"/>
    <w:rsid w:val="00AF300D"/>
    <w:rsid w:val="00AF30E0"/>
    <w:rsid w:val="00AF3157"/>
    <w:rsid w:val="00AF31AF"/>
    <w:rsid w:val="00AF34F2"/>
    <w:rsid w:val="00AF397D"/>
    <w:rsid w:val="00AF3F84"/>
    <w:rsid w:val="00AF3FF5"/>
    <w:rsid w:val="00AF40D3"/>
    <w:rsid w:val="00AF42F3"/>
    <w:rsid w:val="00AF47A9"/>
    <w:rsid w:val="00AF47AD"/>
    <w:rsid w:val="00AF4943"/>
    <w:rsid w:val="00AF49B7"/>
    <w:rsid w:val="00AF4B35"/>
    <w:rsid w:val="00AF4D2F"/>
    <w:rsid w:val="00AF5078"/>
    <w:rsid w:val="00AF5E8C"/>
    <w:rsid w:val="00AF6042"/>
    <w:rsid w:val="00AF6077"/>
    <w:rsid w:val="00AF6212"/>
    <w:rsid w:val="00AF6574"/>
    <w:rsid w:val="00AF6B2F"/>
    <w:rsid w:val="00AF6C6C"/>
    <w:rsid w:val="00AF6C81"/>
    <w:rsid w:val="00AF7083"/>
    <w:rsid w:val="00AF710B"/>
    <w:rsid w:val="00AF7437"/>
    <w:rsid w:val="00AF75DC"/>
    <w:rsid w:val="00AF7655"/>
    <w:rsid w:val="00AF7849"/>
    <w:rsid w:val="00AF78A6"/>
    <w:rsid w:val="00AF7C6E"/>
    <w:rsid w:val="00AF7FDD"/>
    <w:rsid w:val="00B001DC"/>
    <w:rsid w:val="00B00905"/>
    <w:rsid w:val="00B00B24"/>
    <w:rsid w:val="00B00B39"/>
    <w:rsid w:val="00B00E65"/>
    <w:rsid w:val="00B00FCA"/>
    <w:rsid w:val="00B01578"/>
    <w:rsid w:val="00B0172E"/>
    <w:rsid w:val="00B01BCC"/>
    <w:rsid w:val="00B01C2E"/>
    <w:rsid w:val="00B01DF6"/>
    <w:rsid w:val="00B0237B"/>
    <w:rsid w:val="00B023CF"/>
    <w:rsid w:val="00B02A76"/>
    <w:rsid w:val="00B02BDB"/>
    <w:rsid w:val="00B02C29"/>
    <w:rsid w:val="00B02DAF"/>
    <w:rsid w:val="00B033C3"/>
    <w:rsid w:val="00B039E8"/>
    <w:rsid w:val="00B043AA"/>
    <w:rsid w:val="00B0457D"/>
    <w:rsid w:val="00B04C54"/>
    <w:rsid w:val="00B04DC7"/>
    <w:rsid w:val="00B04F3F"/>
    <w:rsid w:val="00B0503C"/>
    <w:rsid w:val="00B0515A"/>
    <w:rsid w:val="00B05168"/>
    <w:rsid w:val="00B05198"/>
    <w:rsid w:val="00B05325"/>
    <w:rsid w:val="00B05338"/>
    <w:rsid w:val="00B05418"/>
    <w:rsid w:val="00B0563C"/>
    <w:rsid w:val="00B063F4"/>
    <w:rsid w:val="00B06CEC"/>
    <w:rsid w:val="00B06F7D"/>
    <w:rsid w:val="00B0711A"/>
    <w:rsid w:val="00B07179"/>
    <w:rsid w:val="00B074B6"/>
    <w:rsid w:val="00B074EA"/>
    <w:rsid w:val="00B07551"/>
    <w:rsid w:val="00B07582"/>
    <w:rsid w:val="00B078E1"/>
    <w:rsid w:val="00B108F7"/>
    <w:rsid w:val="00B10A32"/>
    <w:rsid w:val="00B10D84"/>
    <w:rsid w:val="00B10ECA"/>
    <w:rsid w:val="00B111AE"/>
    <w:rsid w:val="00B111C4"/>
    <w:rsid w:val="00B1152A"/>
    <w:rsid w:val="00B11569"/>
    <w:rsid w:val="00B11638"/>
    <w:rsid w:val="00B116B3"/>
    <w:rsid w:val="00B11712"/>
    <w:rsid w:val="00B12880"/>
    <w:rsid w:val="00B1295A"/>
    <w:rsid w:val="00B12F2C"/>
    <w:rsid w:val="00B136E4"/>
    <w:rsid w:val="00B1394E"/>
    <w:rsid w:val="00B13C2B"/>
    <w:rsid w:val="00B144AE"/>
    <w:rsid w:val="00B14981"/>
    <w:rsid w:val="00B1520C"/>
    <w:rsid w:val="00B152D2"/>
    <w:rsid w:val="00B1537B"/>
    <w:rsid w:val="00B157F3"/>
    <w:rsid w:val="00B159F0"/>
    <w:rsid w:val="00B161B5"/>
    <w:rsid w:val="00B16829"/>
    <w:rsid w:val="00B16892"/>
    <w:rsid w:val="00B16F1E"/>
    <w:rsid w:val="00B17298"/>
    <w:rsid w:val="00B174CC"/>
    <w:rsid w:val="00B17586"/>
    <w:rsid w:val="00B177D7"/>
    <w:rsid w:val="00B179D9"/>
    <w:rsid w:val="00B17D36"/>
    <w:rsid w:val="00B20103"/>
    <w:rsid w:val="00B20EB8"/>
    <w:rsid w:val="00B2124D"/>
    <w:rsid w:val="00B2139B"/>
    <w:rsid w:val="00B21981"/>
    <w:rsid w:val="00B21A88"/>
    <w:rsid w:val="00B21B57"/>
    <w:rsid w:val="00B21B9F"/>
    <w:rsid w:val="00B22C22"/>
    <w:rsid w:val="00B22C56"/>
    <w:rsid w:val="00B22EA5"/>
    <w:rsid w:val="00B231BB"/>
    <w:rsid w:val="00B237C6"/>
    <w:rsid w:val="00B23AA0"/>
    <w:rsid w:val="00B2432B"/>
    <w:rsid w:val="00B24638"/>
    <w:rsid w:val="00B247CA"/>
    <w:rsid w:val="00B248CA"/>
    <w:rsid w:val="00B24BA5"/>
    <w:rsid w:val="00B24E4C"/>
    <w:rsid w:val="00B25572"/>
    <w:rsid w:val="00B258C3"/>
    <w:rsid w:val="00B25B95"/>
    <w:rsid w:val="00B26383"/>
    <w:rsid w:val="00B26500"/>
    <w:rsid w:val="00B26597"/>
    <w:rsid w:val="00B269B6"/>
    <w:rsid w:val="00B26ADB"/>
    <w:rsid w:val="00B26D43"/>
    <w:rsid w:val="00B26E57"/>
    <w:rsid w:val="00B26F48"/>
    <w:rsid w:val="00B27326"/>
    <w:rsid w:val="00B2747E"/>
    <w:rsid w:val="00B27662"/>
    <w:rsid w:val="00B27862"/>
    <w:rsid w:val="00B278B1"/>
    <w:rsid w:val="00B30610"/>
    <w:rsid w:val="00B30B17"/>
    <w:rsid w:val="00B30DB7"/>
    <w:rsid w:val="00B31D71"/>
    <w:rsid w:val="00B32166"/>
    <w:rsid w:val="00B321A9"/>
    <w:rsid w:val="00B327B3"/>
    <w:rsid w:val="00B32A2F"/>
    <w:rsid w:val="00B32BC7"/>
    <w:rsid w:val="00B32D69"/>
    <w:rsid w:val="00B32F05"/>
    <w:rsid w:val="00B334DC"/>
    <w:rsid w:val="00B33E16"/>
    <w:rsid w:val="00B33EB1"/>
    <w:rsid w:val="00B340F5"/>
    <w:rsid w:val="00B34195"/>
    <w:rsid w:val="00B34211"/>
    <w:rsid w:val="00B3424C"/>
    <w:rsid w:val="00B3459E"/>
    <w:rsid w:val="00B34655"/>
    <w:rsid w:val="00B34682"/>
    <w:rsid w:val="00B3493F"/>
    <w:rsid w:val="00B34C4D"/>
    <w:rsid w:val="00B356FD"/>
    <w:rsid w:val="00B35B1D"/>
    <w:rsid w:val="00B36191"/>
    <w:rsid w:val="00B363F8"/>
    <w:rsid w:val="00B364EA"/>
    <w:rsid w:val="00B365E3"/>
    <w:rsid w:val="00B36801"/>
    <w:rsid w:val="00B36889"/>
    <w:rsid w:val="00B36B92"/>
    <w:rsid w:val="00B3700C"/>
    <w:rsid w:val="00B37E78"/>
    <w:rsid w:val="00B40520"/>
    <w:rsid w:val="00B40579"/>
    <w:rsid w:val="00B40676"/>
    <w:rsid w:val="00B406A4"/>
    <w:rsid w:val="00B406A7"/>
    <w:rsid w:val="00B4076A"/>
    <w:rsid w:val="00B40942"/>
    <w:rsid w:val="00B40B15"/>
    <w:rsid w:val="00B40E36"/>
    <w:rsid w:val="00B4159E"/>
    <w:rsid w:val="00B41778"/>
    <w:rsid w:val="00B41AEA"/>
    <w:rsid w:val="00B41EF5"/>
    <w:rsid w:val="00B42078"/>
    <w:rsid w:val="00B4249A"/>
    <w:rsid w:val="00B426B6"/>
    <w:rsid w:val="00B427D5"/>
    <w:rsid w:val="00B42AA9"/>
    <w:rsid w:val="00B42B74"/>
    <w:rsid w:val="00B42BCC"/>
    <w:rsid w:val="00B4304B"/>
    <w:rsid w:val="00B430D3"/>
    <w:rsid w:val="00B439E2"/>
    <w:rsid w:val="00B439F1"/>
    <w:rsid w:val="00B43CD6"/>
    <w:rsid w:val="00B44140"/>
    <w:rsid w:val="00B44699"/>
    <w:rsid w:val="00B453C2"/>
    <w:rsid w:val="00B45553"/>
    <w:rsid w:val="00B45B2C"/>
    <w:rsid w:val="00B45EDC"/>
    <w:rsid w:val="00B4601F"/>
    <w:rsid w:val="00B46469"/>
    <w:rsid w:val="00B46572"/>
    <w:rsid w:val="00B465AE"/>
    <w:rsid w:val="00B465BD"/>
    <w:rsid w:val="00B468E1"/>
    <w:rsid w:val="00B469EB"/>
    <w:rsid w:val="00B471AB"/>
    <w:rsid w:val="00B478D9"/>
    <w:rsid w:val="00B47C97"/>
    <w:rsid w:val="00B50269"/>
    <w:rsid w:val="00B50B9C"/>
    <w:rsid w:val="00B50DDA"/>
    <w:rsid w:val="00B513B7"/>
    <w:rsid w:val="00B5140B"/>
    <w:rsid w:val="00B51868"/>
    <w:rsid w:val="00B5188B"/>
    <w:rsid w:val="00B51AFF"/>
    <w:rsid w:val="00B51B79"/>
    <w:rsid w:val="00B51E71"/>
    <w:rsid w:val="00B51FDC"/>
    <w:rsid w:val="00B520B6"/>
    <w:rsid w:val="00B52105"/>
    <w:rsid w:val="00B524BF"/>
    <w:rsid w:val="00B5253B"/>
    <w:rsid w:val="00B5293C"/>
    <w:rsid w:val="00B52AED"/>
    <w:rsid w:val="00B52AFF"/>
    <w:rsid w:val="00B52BEE"/>
    <w:rsid w:val="00B52E23"/>
    <w:rsid w:val="00B5327A"/>
    <w:rsid w:val="00B532CF"/>
    <w:rsid w:val="00B5345B"/>
    <w:rsid w:val="00B53661"/>
    <w:rsid w:val="00B53929"/>
    <w:rsid w:val="00B5426A"/>
    <w:rsid w:val="00B54290"/>
    <w:rsid w:val="00B54408"/>
    <w:rsid w:val="00B54607"/>
    <w:rsid w:val="00B549A3"/>
    <w:rsid w:val="00B552E1"/>
    <w:rsid w:val="00B553CA"/>
    <w:rsid w:val="00B559A9"/>
    <w:rsid w:val="00B55AAC"/>
    <w:rsid w:val="00B55DCE"/>
    <w:rsid w:val="00B5613D"/>
    <w:rsid w:val="00B56252"/>
    <w:rsid w:val="00B565B7"/>
    <w:rsid w:val="00B5684B"/>
    <w:rsid w:val="00B5698A"/>
    <w:rsid w:val="00B56C0D"/>
    <w:rsid w:val="00B570BF"/>
    <w:rsid w:val="00B57192"/>
    <w:rsid w:val="00B572E6"/>
    <w:rsid w:val="00B578A6"/>
    <w:rsid w:val="00B57A88"/>
    <w:rsid w:val="00B57B34"/>
    <w:rsid w:val="00B57DDA"/>
    <w:rsid w:val="00B57E05"/>
    <w:rsid w:val="00B601C4"/>
    <w:rsid w:val="00B607C9"/>
    <w:rsid w:val="00B60ACF"/>
    <w:rsid w:val="00B60FFA"/>
    <w:rsid w:val="00B61082"/>
    <w:rsid w:val="00B61C8D"/>
    <w:rsid w:val="00B6211C"/>
    <w:rsid w:val="00B62276"/>
    <w:rsid w:val="00B626D8"/>
    <w:rsid w:val="00B62E70"/>
    <w:rsid w:val="00B62F76"/>
    <w:rsid w:val="00B635C6"/>
    <w:rsid w:val="00B6397C"/>
    <w:rsid w:val="00B63A11"/>
    <w:rsid w:val="00B63B8A"/>
    <w:rsid w:val="00B63E24"/>
    <w:rsid w:val="00B643B8"/>
    <w:rsid w:val="00B64955"/>
    <w:rsid w:val="00B649A8"/>
    <w:rsid w:val="00B64CC1"/>
    <w:rsid w:val="00B65046"/>
    <w:rsid w:val="00B6534D"/>
    <w:rsid w:val="00B6537D"/>
    <w:rsid w:val="00B654D7"/>
    <w:rsid w:val="00B656AC"/>
    <w:rsid w:val="00B65742"/>
    <w:rsid w:val="00B65B6B"/>
    <w:rsid w:val="00B662E3"/>
    <w:rsid w:val="00B663C9"/>
    <w:rsid w:val="00B6666B"/>
    <w:rsid w:val="00B66771"/>
    <w:rsid w:val="00B6709E"/>
    <w:rsid w:val="00B6710D"/>
    <w:rsid w:val="00B67231"/>
    <w:rsid w:val="00B673AF"/>
    <w:rsid w:val="00B676B7"/>
    <w:rsid w:val="00B67856"/>
    <w:rsid w:val="00B67E4D"/>
    <w:rsid w:val="00B70356"/>
    <w:rsid w:val="00B70562"/>
    <w:rsid w:val="00B7064B"/>
    <w:rsid w:val="00B70AC0"/>
    <w:rsid w:val="00B710FA"/>
    <w:rsid w:val="00B714B7"/>
    <w:rsid w:val="00B71D66"/>
    <w:rsid w:val="00B72165"/>
    <w:rsid w:val="00B724D7"/>
    <w:rsid w:val="00B72668"/>
    <w:rsid w:val="00B727C3"/>
    <w:rsid w:val="00B728FA"/>
    <w:rsid w:val="00B72A57"/>
    <w:rsid w:val="00B72B6F"/>
    <w:rsid w:val="00B72EE4"/>
    <w:rsid w:val="00B7361F"/>
    <w:rsid w:val="00B737A8"/>
    <w:rsid w:val="00B737AD"/>
    <w:rsid w:val="00B73B03"/>
    <w:rsid w:val="00B73DA2"/>
    <w:rsid w:val="00B74333"/>
    <w:rsid w:val="00B74500"/>
    <w:rsid w:val="00B74A99"/>
    <w:rsid w:val="00B74BF1"/>
    <w:rsid w:val="00B74E3C"/>
    <w:rsid w:val="00B74E4B"/>
    <w:rsid w:val="00B750CE"/>
    <w:rsid w:val="00B7540A"/>
    <w:rsid w:val="00B7564F"/>
    <w:rsid w:val="00B75708"/>
    <w:rsid w:val="00B7617A"/>
    <w:rsid w:val="00B7664D"/>
    <w:rsid w:val="00B76763"/>
    <w:rsid w:val="00B76B4F"/>
    <w:rsid w:val="00B7734F"/>
    <w:rsid w:val="00B773AF"/>
    <w:rsid w:val="00B77410"/>
    <w:rsid w:val="00B7747C"/>
    <w:rsid w:val="00B7781B"/>
    <w:rsid w:val="00B7783B"/>
    <w:rsid w:val="00B77D17"/>
    <w:rsid w:val="00B800A6"/>
    <w:rsid w:val="00B80633"/>
    <w:rsid w:val="00B80740"/>
    <w:rsid w:val="00B807F6"/>
    <w:rsid w:val="00B8091F"/>
    <w:rsid w:val="00B80957"/>
    <w:rsid w:val="00B81707"/>
    <w:rsid w:val="00B81B84"/>
    <w:rsid w:val="00B81CD1"/>
    <w:rsid w:val="00B81D2A"/>
    <w:rsid w:val="00B81FA7"/>
    <w:rsid w:val="00B81FF0"/>
    <w:rsid w:val="00B8208A"/>
    <w:rsid w:val="00B82695"/>
    <w:rsid w:val="00B82803"/>
    <w:rsid w:val="00B82A4E"/>
    <w:rsid w:val="00B82A7B"/>
    <w:rsid w:val="00B82E3F"/>
    <w:rsid w:val="00B8305D"/>
    <w:rsid w:val="00B833CA"/>
    <w:rsid w:val="00B846C4"/>
    <w:rsid w:val="00B84764"/>
    <w:rsid w:val="00B84DFE"/>
    <w:rsid w:val="00B85417"/>
    <w:rsid w:val="00B85476"/>
    <w:rsid w:val="00B85984"/>
    <w:rsid w:val="00B85BD1"/>
    <w:rsid w:val="00B860CB"/>
    <w:rsid w:val="00B8611A"/>
    <w:rsid w:val="00B8647A"/>
    <w:rsid w:val="00B866B3"/>
    <w:rsid w:val="00B8675D"/>
    <w:rsid w:val="00B86AD0"/>
    <w:rsid w:val="00B87083"/>
    <w:rsid w:val="00B87420"/>
    <w:rsid w:val="00B87545"/>
    <w:rsid w:val="00B878A9"/>
    <w:rsid w:val="00B87AC2"/>
    <w:rsid w:val="00B87BB0"/>
    <w:rsid w:val="00B87C1B"/>
    <w:rsid w:val="00B87FDE"/>
    <w:rsid w:val="00B9007A"/>
    <w:rsid w:val="00B90397"/>
    <w:rsid w:val="00B90C54"/>
    <w:rsid w:val="00B90D4E"/>
    <w:rsid w:val="00B91FFF"/>
    <w:rsid w:val="00B920B1"/>
    <w:rsid w:val="00B927E7"/>
    <w:rsid w:val="00B92839"/>
    <w:rsid w:val="00B92D7D"/>
    <w:rsid w:val="00B9315D"/>
    <w:rsid w:val="00B932E5"/>
    <w:rsid w:val="00B933E9"/>
    <w:rsid w:val="00B93435"/>
    <w:rsid w:val="00B93781"/>
    <w:rsid w:val="00B938D0"/>
    <w:rsid w:val="00B94159"/>
    <w:rsid w:val="00B942A0"/>
    <w:rsid w:val="00B9447D"/>
    <w:rsid w:val="00B94547"/>
    <w:rsid w:val="00B94F1F"/>
    <w:rsid w:val="00B95319"/>
    <w:rsid w:val="00B95409"/>
    <w:rsid w:val="00B95788"/>
    <w:rsid w:val="00B957F7"/>
    <w:rsid w:val="00B95859"/>
    <w:rsid w:val="00B96031"/>
    <w:rsid w:val="00B960EB"/>
    <w:rsid w:val="00B961B2"/>
    <w:rsid w:val="00B96355"/>
    <w:rsid w:val="00B965A2"/>
    <w:rsid w:val="00B96833"/>
    <w:rsid w:val="00B969CF"/>
    <w:rsid w:val="00B969E0"/>
    <w:rsid w:val="00B96A3B"/>
    <w:rsid w:val="00B96DA6"/>
    <w:rsid w:val="00B96F51"/>
    <w:rsid w:val="00B971B8"/>
    <w:rsid w:val="00B973BD"/>
    <w:rsid w:val="00B973FE"/>
    <w:rsid w:val="00B9777A"/>
    <w:rsid w:val="00B97A26"/>
    <w:rsid w:val="00B97C63"/>
    <w:rsid w:val="00BA09B7"/>
    <w:rsid w:val="00BA0C93"/>
    <w:rsid w:val="00BA10ED"/>
    <w:rsid w:val="00BA1534"/>
    <w:rsid w:val="00BA199A"/>
    <w:rsid w:val="00BA1DCF"/>
    <w:rsid w:val="00BA209D"/>
    <w:rsid w:val="00BA2155"/>
    <w:rsid w:val="00BA2522"/>
    <w:rsid w:val="00BA27D4"/>
    <w:rsid w:val="00BA2BC7"/>
    <w:rsid w:val="00BA2DB9"/>
    <w:rsid w:val="00BA3146"/>
    <w:rsid w:val="00BA38CD"/>
    <w:rsid w:val="00BA38FD"/>
    <w:rsid w:val="00BA407A"/>
    <w:rsid w:val="00BA4724"/>
    <w:rsid w:val="00BA4959"/>
    <w:rsid w:val="00BA608A"/>
    <w:rsid w:val="00BA6763"/>
    <w:rsid w:val="00BA68C2"/>
    <w:rsid w:val="00BA6BAB"/>
    <w:rsid w:val="00BA7044"/>
    <w:rsid w:val="00BA70CA"/>
    <w:rsid w:val="00BA7266"/>
    <w:rsid w:val="00BA75A3"/>
    <w:rsid w:val="00BA773D"/>
    <w:rsid w:val="00BA7785"/>
    <w:rsid w:val="00BA788B"/>
    <w:rsid w:val="00BA7EEC"/>
    <w:rsid w:val="00BB0157"/>
    <w:rsid w:val="00BB01AE"/>
    <w:rsid w:val="00BB08EA"/>
    <w:rsid w:val="00BB0A20"/>
    <w:rsid w:val="00BB13C5"/>
    <w:rsid w:val="00BB143D"/>
    <w:rsid w:val="00BB1604"/>
    <w:rsid w:val="00BB16B3"/>
    <w:rsid w:val="00BB19AC"/>
    <w:rsid w:val="00BB1AB7"/>
    <w:rsid w:val="00BB1D1F"/>
    <w:rsid w:val="00BB1F01"/>
    <w:rsid w:val="00BB22EB"/>
    <w:rsid w:val="00BB24AE"/>
    <w:rsid w:val="00BB2816"/>
    <w:rsid w:val="00BB2A91"/>
    <w:rsid w:val="00BB2D05"/>
    <w:rsid w:val="00BB2E9E"/>
    <w:rsid w:val="00BB34E5"/>
    <w:rsid w:val="00BB3617"/>
    <w:rsid w:val="00BB3681"/>
    <w:rsid w:val="00BB3908"/>
    <w:rsid w:val="00BB394C"/>
    <w:rsid w:val="00BB3DD0"/>
    <w:rsid w:val="00BB3E8E"/>
    <w:rsid w:val="00BB3EA4"/>
    <w:rsid w:val="00BB409B"/>
    <w:rsid w:val="00BB4307"/>
    <w:rsid w:val="00BB4362"/>
    <w:rsid w:val="00BB471C"/>
    <w:rsid w:val="00BB494B"/>
    <w:rsid w:val="00BB518B"/>
    <w:rsid w:val="00BB53AB"/>
    <w:rsid w:val="00BB57C0"/>
    <w:rsid w:val="00BB5BCC"/>
    <w:rsid w:val="00BB5F74"/>
    <w:rsid w:val="00BB6167"/>
    <w:rsid w:val="00BB61EB"/>
    <w:rsid w:val="00BB6BE7"/>
    <w:rsid w:val="00BB6E62"/>
    <w:rsid w:val="00BB6FE2"/>
    <w:rsid w:val="00BB7022"/>
    <w:rsid w:val="00BB7096"/>
    <w:rsid w:val="00BB7480"/>
    <w:rsid w:val="00BB7720"/>
    <w:rsid w:val="00BB7ACE"/>
    <w:rsid w:val="00BC0037"/>
    <w:rsid w:val="00BC0109"/>
    <w:rsid w:val="00BC0182"/>
    <w:rsid w:val="00BC0215"/>
    <w:rsid w:val="00BC0446"/>
    <w:rsid w:val="00BC093D"/>
    <w:rsid w:val="00BC0B65"/>
    <w:rsid w:val="00BC0ECF"/>
    <w:rsid w:val="00BC0F31"/>
    <w:rsid w:val="00BC10FB"/>
    <w:rsid w:val="00BC12A6"/>
    <w:rsid w:val="00BC1379"/>
    <w:rsid w:val="00BC13CE"/>
    <w:rsid w:val="00BC1B73"/>
    <w:rsid w:val="00BC1D49"/>
    <w:rsid w:val="00BC1E48"/>
    <w:rsid w:val="00BC2323"/>
    <w:rsid w:val="00BC28E4"/>
    <w:rsid w:val="00BC2A2D"/>
    <w:rsid w:val="00BC31B0"/>
    <w:rsid w:val="00BC3296"/>
    <w:rsid w:val="00BC3A6E"/>
    <w:rsid w:val="00BC437C"/>
    <w:rsid w:val="00BC474E"/>
    <w:rsid w:val="00BC4AFD"/>
    <w:rsid w:val="00BC4D95"/>
    <w:rsid w:val="00BC4FA4"/>
    <w:rsid w:val="00BC56B1"/>
    <w:rsid w:val="00BC5961"/>
    <w:rsid w:val="00BC5C82"/>
    <w:rsid w:val="00BC5F13"/>
    <w:rsid w:val="00BC6911"/>
    <w:rsid w:val="00BC69E2"/>
    <w:rsid w:val="00BC6E14"/>
    <w:rsid w:val="00BC72C0"/>
    <w:rsid w:val="00BC7A82"/>
    <w:rsid w:val="00BC7B4C"/>
    <w:rsid w:val="00BC7C40"/>
    <w:rsid w:val="00BC7D29"/>
    <w:rsid w:val="00BD07DB"/>
    <w:rsid w:val="00BD147B"/>
    <w:rsid w:val="00BD1C3E"/>
    <w:rsid w:val="00BD1C66"/>
    <w:rsid w:val="00BD1FBF"/>
    <w:rsid w:val="00BD2159"/>
    <w:rsid w:val="00BD2ACF"/>
    <w:rsid w:val="00BD2C8F"/>
    <w:rsid w:val="00BD2DBB"/>
    <w:rsid w:val="00BD2E02"/>
    <w:rsid w:val="00BD3612"/>
    <w:rsid w:val="00BD4480"/>
    <w:rsid w:val="00BD4938"/>
    <w:rsid w:val="00BD4C89"/>
    <w:rsid w:val="00BD5FF4"/>
    <w:rsid w:val="00BD64A5"/>
    <w:rsid w:val="00BD70E3"/>
    <w:rsid w:val="00BD7618"/>
    <w:rsid w:val="00BD7857"/>
    <w:rsid w:val="00BD7921"/>
    <w:rsid w:val="00BD7AD7"/>
    <w:rsid w:val="00BE01C4"/>
    <w:rsid w:val="00BE09BB"/>
    <w:rsid w:val="00BE0CA9"/>
    <w:rsid w:val="00BE0DE9"/>
    <w:rsid w:val="00BE0F5F"/>
    <w:rsid w:val="00BE16BB"/>
    <w:rsid w:val="00BE177D"/>
    <w:rsid w:val="00BE17F3"/>
    <w:rsid w:val="00BE1CC8"/>
    <w:rsid w:val="00BE2089"/>
    <w:rsid w:val="00BE2558"/>
    <w:rsid w:val="00BE2712"/>
    <w:rsid w:val="00BE2818"/>
    <w:rsid w:val="00BE2A48"/>
    <w:rsid w:val="00BE2BC6"/>
    <w:rsid w:val="00BE2D8D"/>
    <w:rsid w:val="00BE2F66"/>
    <w:rsid w:val="00BE37E8"/>
    <w:rsid w:val="00BE3FAF"/>
    <w:rsid w:val="00BE3FC2"/>
    <w:rsid w:val="00BE4866"/>
    <w:rsid w:val="00BE5189"/>
    <w:rsid w:val="00BE5326"/>
    <w:rsid w:val="00BE5C91"/>
    <w:rsid w:val="00BE5E88"/>
    <w:rsid w:val="00BE629B"/>
    <w:rsid w:val="00BE632A"/>
    <w:rsid w:val="00BE647B"/>
    <w:rsid w:val="00BE6867"/>
    <w:rsid w:val="00BE686F"/>
    <w:rsid w:val="00BE68F5"/>
    <w:rsid w:val="00BE6D3D"/>
    <w:rsid w:val="00BE7111"/>
    <w:rsid w:val="00BE7148"/>
    <w:rsid w:val="00BE772D"/>
    <w:rsid w:val="00BE7A4E"/>
    <w:rsid w:val="00BE7BC6"/>
    <w:rsid w:val="00BF03F3"/>
    <w:rsid w:val="00BF0981"/>
    <w:rsid w:val="00BF0C11"/>
    <w:rsid w:val="00BF112B"/>
    <w:rsid w:val="00BF17D0"/>
    <w:rsid w:val="00BF1A38"/>
    <w:rsid w:val="00BF2098"/>
    <w:rsid w:val="00BF286C"/>
    <w:rsid w:val="00BF30B6"/>
    <w:rsid w:val="00BF31C7"/>
    <w:rsid w:val="00BF39FA"/>
    <w:rsid w:val="00BF3F64"/>
    <w:rsid w:val="00BF3F75"/>
    <w:rsid w:val="00BF4048"/>
    <w:rsid w:val="00BF4116"/>
    <w:rsid w:val="00BF4243"/>
    <w:rsid w:val="00BF4C16"/>
    <w:rsid w:val="00BF4E99"/>
    <w:rsid w:val="00BF5B69"/>
    <w:rsid w:val="00BF6432"/>
    <w:rsid w:val="00BF68CE"/>
    <w:rsid w:val="00BF69A6"/>
    <w:rsid w:val="00BF7620"/>
    <w:rsid w:val="00BF7983"/>
    <w:rsid w:val="00BF7CA0"/>
    <w:rsid w:val="00BF7D6A"/>
    <w:rsid w:val="00BF7E0F"/>
    <w:rsid w:val="00BF7F65"/>
    <w:rsid w:val="00C004BB"/>
    <w:rsid w:val="00C00729"/>
    <w:rsid w:val="00C00874"/>
    <w:rsid w:val="00C0128D"/>
    <w:rsid w:val="00C01F21"/>
    <w:rsid w:val="00C02149"/>
    <w:rsid w:val="00C02590"/>
    <w:rsid w:val="00C0264F"/>
    <w:rsid w:val="00C027C5"/>
    <w:rsid w:val="00C02EDD"/>
    <w:rsid w:val="00C03225"/>
    <w:rsid w:val="00C03302"/>
    <w:rsid w:val="00C03409"/>
    <w:rsid w:val="00C034E4"/>
    <w:rsid w:val="00C03929"/>
    <w:rsid w:val="00C03AEC"/>
    <w:rsid w:val="00C043A0"/>
    <w:rsid w:val="00C043A9"/>
    <w:rsid w:val="00C04787"/>
    <w:rsid w:val="00C04B3B"/>
    <w:rsid w:val="00C04CFD"/>
    <w:rsid w:val="00C053A9"/>
    <w:rsid w:val="00C05856"/>
    <w:rsid w:val="00C0594F"/>
    <w:rsid w:val="00C05C1E"/>
    <w:rsid w:val="00C060A1"/>
    <w:rsid w:val="00C0628E"/>
    <w:rsid w:val="00C06342"/>
    <w:rsid w:val="00C064E5"/>
    <w:rsid w:val="00C0665D"/>
    <w:rsid w:val="00C068AE"/>
    <w:rsid w:val="00C06A42"/>
    <w:rsid w:val="00C06B60"/>
    <w:rsid w:val="00C06D1E"/>
    <w:rsid w:val="00C06DB0"/>
    <w:rsid w:val="00C0755E"/>
    <w:rsid w:val="00C07787"/>
    <w:rsid w:val="00C07EFE"/>
    <w:rsid w:val="00C07FDE"/>
    <w:rsid w:val="00C10097"/>
    <w:rsid w:val="00C1024B"/>
    <w:rsid w:val="00C107E1"/>
    <w:rsid w:val="00C10CF3"/>
    <w:rsid w:val="00C10E53"/>
    <w:rsid w:val="00C110AF"/>
    <w:rsid w:val="00C1122B"/>
    <w:rsid w:val="00C11250"/>
    <w:rsid w:val="00C11374"/>
    <w:rsid w:val="00C11D3A"/>
    <w:rsid w:val="00C11D9B"/>
    <w:rsid w:val="00C1237A"/>
    <w:rsid w:val="00C1263F"/>
    <w:rsid w:val="00C127D6"/>
    <w:rsid w:val="00C12CD7"/>
    <w:rsid w:val="00C1308C"/>
    <w:rsid w:val="00C1369E"/>
    <w:rsid w:val="00C138AE"/>
    <w:rsid w:val="00C13FC6"/>
    <w:rsid w:val="00C142BF"/>
    <w:rsid w:val="00C14594"/>
    <w:rsid w:val="00C145CC"/>
    <w:rsid w:val="00C14967"/>
    <w:rsid w:val="00C14FFE"/>
    <w:rsid w:val="00C154CF"/>
    <w:rsid w:val="00C1572C"/>
    <w:rsid w:val="00C15A2A"/>
    <w:rsid w:val="00C15EB9"/>
    <w:rsid w:val="00C1616C"/>
    <w:rsid w:val="00C1617F"/>
    <w:rsid w:val="00C16954"/>
    <w:rsid w:val="00C16CF9"/>
    <w:rsid w:val="00C17346"/>
    <w:rsid w:val="00C173F7"/>
    <w:rsid w:val="00C176AF"/>
    <w:rsid w:val="00C17A51"/>
    <w:rsid w:val="00C17B87"/>
    <w:rsid w:val="00C17CE6"/>
    <w:rsid w:val="00C17EF3"/>
    <w:rsid w:val="00C17F8A"/>
    <w:rsid w:val="00C2051B"/>
    <w:rsid w:val="00C2089A"/>
    <w:rsid w:val="00C20F68"/>
    <w:rsid w:val="00C21126"/>
    <w:rsid w:val="00C21196"/>
    <w:rsid w:val="00C21406"/>
    <w:rsid w:val="00C2160B"/>
    <w:rsid w:val="00C21728"/>
    <w:rsid w:val="00C2199F"/>
    <w:rsid w:val="00C21AA6"/>
    <w:rsid w:val="00C21CE9"/>
    <w:rsid w:val="00C2212E"/>
    <w:rsid w:val="00C22600"/>
    <w:rsid w:val="00C22FE6"/>
    <w:rsid w:val="00C23613"/>
    <w:rsid w:val="00C23655"/>
    <w:rsid w:val="00C239B0"/>
    <w:rsid w:val="00C24000"/>
    <w:rsid w:val="00C242D8"/>
    <w:rsid w:val="00C243AC"/>
    <w:rsid w:val="00C24458"/>
    <w:rsid w:val="00C2475C"/>
    <w:rsid w:val="00C24996"/>
    <w:rsid w:val="00C24AA3"/>
    <w:rsid w:val="00C2500E"/>
    <w:rsid w:val="00C25037"/>
    <w:rsid w:val="00C251BA"/>
    <w:rsid w:val="00C254CF"/>
    <w:rsid w:val="00C260E2"/>
    <w:rsid w:val="00C2651D"/>
    <w:rsid w:val="00C266F7"/>
    <w:rsid w:val="00C26B8B"/>
    <w:rsid w:val="00C26FB2"/>
    <w:rsid w:val="00C26FC3"/>
    <w:rsid w:val="00C270B9"/>
    <w:rsid w:val="00C27497"/>
    <w:rsid w:val="00C277E2"/>
    <w:rsid w:val="00C27878"/>
    <w:rsid w:val="00C27992"/>
    <w:rsid w:val="00C305AC"/>
    <w:rsid w:val="00C307C2"/>
    <w:rsid w:val="00C31025"/>
    <w:rsid w:val="00C313AB"/>
    <w:rsid w:val="00C321DB"/>
    <w:rsid w:val="00C32735"/>
    <w:rsid w:val="00C3299E"/>
    <w:rsid w:val="00C329C3"/>
    <w:rsid w:val="00C32D84"/>
    <w:rsid w:val="00C33066"/>
    <w:rsid w:val="00C33C41"/>
    <w:rsid w:val="00C33DCB"/>
    <w:rsid w:val="00C34106"/>
    <w:rsid w:val="00C342C3"/>
    <w:rsid w:val="00C3459D"/>
    <w:rsid w:val="00C34B9C"/>
    <w:rsid w:val="00C34CD9"/>
    <w:rsid w:val="00C34D2C"/>
    <w:rsid w:val="00C34DEA"/>
    <w:rsid w:val="00C351BB"/>
    <w:rsid w:val="00C354FD"/>
    <w:rsid w:val="00C35A68"/>
    <w:rsid w:val="00C35C0B"/>
    <w:rsid w:val="00C361DE"/>
    <w:rsid w:val="00C37B22"/>
    <w:rsid w:val="00C40150"/>
    <w:rsid w:val="00C40A05"/>
    <w:rsid w:val="00C40E63"/>
    <w:rsid w:val="00C40F0E"/>
    <w:rsid w:val="00C410DF"/>
    <w:rsid w:val="00C41AB7"/>
    <w:rsid w:val="00C41AF2"/>
    <w:rsid w:val="00C4234D"/>
    <w:rsid w:val="00C4237D"/>
    <w:rsid w:val="00C4259A"/>
    <w:rsid w:val="00C42623"/>
    <w:rsid w:val="00C42645"/>
    <w:rsid w:val="00C428D9"/>
    <w:rsid w:val="00C42F2B"/>
    <w:rsid w:val="00C42FB8"/>
    <w:rsid w:val="00C42FBB"/>
    <w:rsid w:val="00C43384"/>
    <w:rsid w:val="00C4384C"/>
    <w:rsid w:val="00C43A12"/>
    <w:rsid w:val="00C43C41"/>
    <w:rsid w:val="00C43C72"/>
    <w:rsid w:val="00C44741"/>
    <w:rsid w:val="00C44E90"/>
    <w:rsid w:val="00C44FC6"/>
    <w:rsid w:val="00C4535A"/>
    <w:rsid w:val="00C45A90"/>
    <w:rsid w:val="00C45E70"/>
    <w:rsid w:val="00C461ED"/>
    <w:rsid w:val="00C4626D"/>
    <w:rsid w:val="00C462B6"/>
    <w:rsid w:val="00C462FF"/>
    <w:rsid w:val="00C465EA"/>
    <w:rsid w:val="00C4680E"/>
    <w:rsid w:val="00C46BAC"/>
    <w:rsid w:val="00C46C57"/>
    <w:rsid w:val="00C46E2E"/>
    <w:rsid w:val="00C4713B"/>
    <w:rsid w:val="00C471CA"/>
    <w:rsid w:val="00C476A9"/>
    <w:rsid w:val="00C47726"/>
    <w:rsid w:val="00C47E7A"/>
    <w:rsid w:val="00C505C0"/>
    <w:rsid w:val="00C507C1"/>
    <w:rsid w:val="00C50BBA"/>
    <w:rsid w:val="00C50DE3"/>
    <w:rsid w:val="00C50DFC"/>
    <w:rsid w:val="00C51096"/>
    <w:rsid w:val="00C51121"/>
    <w:rsid w:val="00C51287"/>
    <w:rsid w:val="00C5143E"/>
    <w:rsid w:val="00C517F6"/>
    <w:rsid w:val="00C51D5C"/>
    <w:rsid w:val="00C51DFF"/>
    <w:rsid w:val="00C51E87"/>
    <w:rsid w:val="00C524C9"/>
    <w:rsid w:val="00C52772"/>
    <w:rsid w:val="00C52869"/>
    <w:rsid w:val="00C52D75"/>
    <w:rsid w:val="00C53C9B"/>
    <w:rsid w:val="00C543D6"/>
    <w:rsid w:val="00C54985"/>
    <w:rsid w:val="00C54B10"/>
    <w:rsid w:val="00C54B33"/>
    <w:rsid w:val="00C54E9C"/>
    <w:rsid w:val="00C55580"/>
    <w:rsid w:val="00C5564C"/>
    <w:rsid w:val="00C56583"/>
    <w:rsid w:val="00C567F9"/>
    <w:rsid w:val="00C575EC"/>
    <w:rsid w:val="00C57639"/>
    <w:rsid w:val="00C57694"/>
    <w:rsid w:val="00C57866"/>
    <w:rsid w:val="00C57976"/>
    <w:rsid w:val="00C57C04"/>
    <w:rsid w:val="00C57C14"/>
    <w:rsid w:val="00C60629"/>
    <w:rsid w:val="00C60668"/>
    <w:rsid w:val="00C609AE"/>
    <w:rsid w:val="00C60B6B"/>
    <w:rsid w:val="00C6107F"/>
    <w:rsid w:val="00C615F5"/>
    <w:rsid w:val="00C61BE5"/>
    <w:rsid w:val="00C61DC3"/>
    <w:rsid w:val="00C61E58"/>
    <w:rsid w:val="00C61F9D"/>
    <w:rsid w:val="00C62583"/>
    <w:rsid w:val="00C62C57"/>
    <w:rsid w:val="00C63492"/>
    <w:rsid w:val="00C6365E"/>
    <w:rsid w:val="00C639DB"/>
    <w:rsid w:val="00C642BE"/>
    <w:rsid w:val="00C64339"/>
    <w:rsid w:val="00C646AA"/>
    <w:rsid w:val="00C64A17"/>
    <w:rsid w:val="00C64C13"/>
    <w:rsid w:val="00C65376"/>
    <w:rsid w:val="00C65924"/>
    <w:rsid w:val="00C659FF"/>
    <w:rsid w:val="00C65F4D"/>
    <w:rsid w:val="00C66343"/>
    <w:rsid w:val="00C6657C"/>
    <w:rsid w:val="00C66AAF"/>
    <w:rsid w:val="00C67143"/>
    <w:rsid w:val="00C675C8"/>
    <w:rsid w:val="00C67810"/>
    <w:rsid w:val="00C67E89"/>
    <w:rsid w:val="00C7039E"/>
    <w:rsid w:val="00C70516"/>
    <w:rsid w:val="00C70602"/>
    <w:rsid w:val="00C70F05"/>
    <w:rsid w:val="00C71212"/>
    <w:rsid w:val="00C724B5"/>
    <w:rsid w:val="00C724B6"/>
    <w:rsid w:val="00C725B1"/>
    <w:rsid w:val="00C72E88"/>
    <w:rsid w:val="00C72FBA"/>
    <w:rsid w:val="00C74270"/>
    <w:rsid w:val="00C74F83"/>
    <w:rsid w:val="00C758F1"/>
    <w:rsid w:val="00C759FD"/>
    <w:rsid w:val="00C75D70"/>
    <w:rsid w:val="00C75DC5"/>
    <w:rsid w:val="00C7618B"/>
    <w:rsid w:val="00C768F4"/>
    <w:rsid w:val="00C76970"/>
    <w:rsid w:val="00C76B36"/>
    <w:rsid w:val="00C76EDA"/>
    <w:rsid w:val="00C778C3"/>
    <w:rsid w:val="00C77C3D"/>
    <w:rsid w:val="00C77F67"/>
    <w:rsid w:val="00C77FEE"/>
    <w:rsid w:val="00C80650"/>
    <w:rsid w:val="00C80E0B"/>
    <w:rsid w:val="00C810D8"/>
    <w:rsid w:val="00C813CA"/>
    <w:rsid w:val="00C8163E"/>
    <w:rsid w:val="00C81837"/>
    <w:rsid w:val="00C81840"/>
    <w:rsid w:val="00C8191E"/>
    <w:rsid w:val="00C81E8C"/>
    <w:rsid w:val="00C81F59"/>
    <w:rsid w:val="00C8207D"/>
    <w:rsid w:val="00C82AD8"/>
    <w:rsid w:val="00C83442"/>
    <w:rsid w:val="00C8358D"/>
    <w:rsid w:val="00C8374B"/>
    <w:rsid w:val="00C838A0"/>
    <w:rsid w:val="00C83C96"/>
    <w:rsid w:val="00C83E75"/>
    <w:rsid w:val="00C84DAF"/>
    <w:rsid w:val="00C84E9E"/>
    <w:rsid w:val="00C85351"/>
    <w:rsid w:val="00C85717"/>
    <w:rsid w:val="00C857B7"/>
    <w:rsid w:val="00C85851"/>
    <w:rsid w:val="00C859CD"/>
    <w:rsid w:val="00C860D5"/>
    <w:rsid w:val="00C86142"/>
    <w:rsid w:val="00C86B6B"/>
    <w:rsid w:val="00C8710D"/>
    <w:rsid w:val="00C87190"/>
    <w:rsid w:val="00C87672"/>
    <w:rsid w:val="00C877F2"/>
    <w:rsid w:val="00C87A54"/>
    <w:rsid w:val="00C87E96"/>
    <w:rsid w:val="00C900CF"/>
    <w:rsid w:val="00C901D1"/>
    <w:rsid w:val="00C901EB"/>
    <w:rsid w:val="00C9039E"/>
    <w:rsid w:val="00C906E6"/>
    <w:rsid w:val="00C90823"/>
    <w:rsid w:val="00C9087D"/>
    <w:rsid w:val="00C90E59"/>
    <w:rsid w:val="00C91428"/>
    <w:rsid w:val="00C9149B"/>
    <w:rsid w:val="00C9171E"/>
    <w:rsid w:val="00C919F7"/>
    <w:rsid w:val="00C91A30"/>
    <w:rsid w:val="00C91ACA"/>
    <w:rsid w:val="00C91C78"/>
    <w:rsid w:val="00C91F45"/>
    <w:rsid w:val="00C9205A"/>
    <w:rsid w:val="00C92312"/>
    <w:rsid w:val="00C93468"/>
    <w:rsid w:val="00C94165"/>
    <w:rsid w:val="00C9425C"/>
    <w:rsid w:val="00C947FD"/>
    <w:rsid w:val="00C94854"/>
    <w:rsid w:val="00C94B0D"/>
    <w:rsid w:val="00C94E61"/>
    <w:rsid w:val="00C94EEB"/>
    <w:rsid w:val="00C94F58"/>
    <w:rsid w:val="00C95348"/>
    <w:rsid w:val="00C9540A"/>
    <w:rsid w:val="00C95805"/>
    <w:rsid w:val="00C95850"/>
    <w:rsid w:val="00C959C7"/>
    <w:rsid w:val="00C95AE8"/>
    <w:rsid w:val="00C95D63"/>
    <w:rsid w:val="00C96376"/>
    <w:rsid w:val="00C966EF"/>
    <w:rsid w:val="00C96CC4"/>
    <w:rsid w:val="00C97095"/>
    <w:rsid w:val="00C972CF"/>
    <w:rsid w:val="00C974FA"/>
    <w:rsid w:val="00C97B7A"/>
    <w:rsid w:val="00C97D30"/>
    <w:rsid w:val="00C97EE8"/>
    <w:rsid w:val="00CA0060"/>
    <w:rsid w:val="00CA0810"/>
    <w:rsid w:val="00CA15D8"/>
    <w:rsid w:val="00CA1752"/>
    <w:rsid w:val="00CA18AD"/>
    <w:rsid w:val="00CA1A1B"/>
    <w:rsid w:val="00CA1E00"/>
    <w:rsid w:val="00CA2393"/>
    <w:rsid w:val="00CA249B"/>
    <w:rsid w:val="00CA25ED"/>
    <w:rsid w:val="00CA26EF"/>
    <w:rsid w:val="00CA2F73"/>
    <w:rsid w:val="00CA35A8"/>
    <w:rsid w:val="00CA3645"/>
    <w:rsid w:val="00CA38A4"/>
    <w:rsid w:val="00CA3D0E"/>
    <w:rsid w:val="00CA435A"/>
    <w:rsid w:val="00CA472D"/>
    <w:rsid w:val="00CA4A45"/>
    <w:rsid w:val="00CA52BA"/>
    <w:rsid w:val="00CA53DC"/>
    <w:rsid w:val="00CA5611"/>
    <w:rsid w:val="00CA5DD5"/>
    <w:rsid w:val="00CA61E8"/>
    <w:rsid w:val="00CA6456"/>
    <w:rsid w:val="00CA6519"/>
    <w:rsid w:val="00CA6868"/>
    <w:rsid w:val="00CA6910"/>
    <w:rsid w:val="00CA693E"/>
    <w:rsid w:val="00CA6DB3"/>
    <w:rsid w:val="00CA7067"/>
    <w:rsid w:val="00CA773B"/>
    <w:rsid w:val="00CA7AEC"/>
    <w:rsid w:val="00CB028E"/>
    <w:rsid w:val="00CB04AA"/>
    <w:rsid w:val="00CB05DC"/>
    <w:rsid w:val="00CB08BB"/>
    <w:rsid w:val="00CB0A83"/>
    <w:rsid w:val="00CB0B10"/>
    <w:rsid w:val="00CB0CBC"/>
    <w:rsid w:val="00CB11BE"/>
    <w:rsid w:val="00CB1395"/>
    <w:rsid w:val="00CB146C"/>
    <w:rsid w:val="00CB1A82"/>
    <w:rsid w:val="00CB1B3A"/>
    <w:rsid w:val="00CB2433"/>
    <w:rsid w:val="00CB2835"/>
    <w:rsid w:val="00CB2F71"/>
    <w:rsid w:val="00CB3088"/>
    <w:rsid w:val="00CB36F6"/>
    <w:rsid w:val="00CB3F56"/>
    <w:rsid w:val="00CB4133"/>
    <w:rsid w:val="00CB4209"/>
    <w:rsid w:val="00CB4AAB"/>
    <w:rsid w:val="00CB51A2"/>
    <w:rsid w:val="00CB5376"/>
    <w:rsid w:val="00CB5498"/>
    <w:rsid w:val="00CB583E"/>
    <w:rsid w:val="00CB697B"/>
    <w:rsid w:val="00CB6A8E"/>
    <w:rsid w:val="00CB6AF2"/>
    <w:rsid w:val="00CB6CB4"/>
    <w:rsid w:val="00CB75BB"/>
    <w:rsid w:val="00CB7B01"/>
    <w:rsid w:val="00CB7F1B"/>
    <w:rsid w:val="00CC004A"/>
    <w:rsid w:val="00CC025F"/>
    <w:rsid w:val="00CC0816"/>
    <w:rsid w:val="00CC081B"/>
    <w:rsid w:val="00CC0E79"/>
    <w:rsid w:val="00CC128D"/>
    <w:rsid w:val="00CC14E0"/>
    <w:rsid w:val="00CC1681"/>
    <w:rsid w:val="00CC23D9"/>
    <w:rsid w:val="00CC25A5"/>
    <w:rsid w:val="00CC2870"/>
    <w:rsid w:val="00CC3262"/>
    <w:rsid w:val="00CC365A"/>
    <w:rsid w:val="00CC3877"/>
    <w:rsid w:val="00CC3B61"/>
    <w:rsid w:val="00CC3B7F"/>
    <w:rsid w:val="00CC4032"/>
    <w:rsid w:val="00CC4A65"/>
    <w:rsid w:val="00CC4BB6"/>
    <w:rsid w:val="00CC4D49"/>
    <w:rsid w:val="00CC51BD"/>
    <w:rsid w:val="00CC549E"/>
    <w:rsid w:val="00CC552D"/>
    <w:rsid w:val="00CC5B5A"/>
    <w:rsid w:val="00CC5D78"/>
    <w:rsid w:val="00CC5D84"/>
    <w:rsid w:val="00CC5F60"/>
    <w:rsid w:val="00CC6049"/>
    <w:rsid w:val="00CC63F0"/>
    <w:rsid w:val="00CC64B6"/>
    <w:rsid w:val="00CC6D07"/>
    <w:rsid w:val="00CC6D2C"/>
    <w:rsid w:val="00CC6D5E"/>
    <w:rsid w:val="00CC7150"/>
    <w:rsid w:val="00CC745D"/>
    <w:rsid w:val="00CC76F6"/>
    <w:rsid w:val="00CC7A96"/>
    <w:rsid w:val="00CC7B83"/>
    <w:rsid w:val="00CC7CFB"/>
    <w:rsid w:val="00CD0539"/>
    <w:rsid w:val="00CD0650"/>
    <w:rsid w:val="00CD06E6"/>
    <w:rsid w:val="00CD076A"/>
    <w:rsid w:val="00CD134B"/>
    <w:rsid w:val="00CD17E5"/>
    <w:rsid w:val="00CD1CAF"/>
    <w:rsid w:val="00CD1F22"/>
    <w:rsid w:val="00CD229F"/>
    <w:rsid w:val="00CD2560"/>
    <w:rsid w:val="00CD2816"/>
    <w:rsid w:val="00CD2DC4"/>
    <w:rsid w:val="00CD2F64"/>
    <w:rsid w:val="00CD336F"/>
    <w:rsid w:val="00CD34C6"/>
    <w:rsid w:val="00CD3DF5"/>
    <w:rsid w:val="00CD42A1"/>
    <w:rsid w:val="00CD4372"/>
    <w:rsid w:val="00CD44A7"/>
    <w:rsid w:val="00CD461A"/>
    <w:rsid w:val="00CD5646"/>
    <w:rsid w:val="00CD570B"/>
    <w:rsid w:val="00CD6283"/>
    <w:rsid w:val="00CD63AE"/>
    <w:rsid w:val="00CD69C6"/>
    <w:rsid w:val="00CD6BDB"/>
    <w:rsid w:val="00CD6D58"/>
    <w:rsid w:val="00CD6DBF"/>
    <w:rsid w:val="00CD7008"/>
    <w:rsid w:val="00CD736B"/>
    <w:rsid w:val="00CD745E"/>
    <w:rsid w:val="00CD7889"/>
    <w:rsid w:val="00CD7A3F"/>
    <w:rsid w:val="00CD7EF6"/>
    <w:rsid w:val="00CE03D5"/>
    <w:rsid w:val="00CE09DE"/>
    <w:rsid w:val="00CE0D2A"/>
    <w:rsid w:val="00CE1518"/>
    <w:rsid w:val="00CE154C"/>
    <w:rsid w:val="00CE1658"/>
    <w:rsid w:val="00CE1A6C"/>
    <w:rsid w:val="00CE20FF"/>
    <w:rsid w:val="00CE215D"/>
    <w:rsid w:val="00CE24BF"/>
    <w:rsid w:val="00CE287E"/>
    <w:rsid w:val="00CE3482"/>
    <w:rsid w:val="00CE3699"/>
    <w:rsid w:val="00CE37CA"/>
    <w:rsid w:val="00CE4897"/>
    <w:rsid w:val="00CE4BD4"/>
    <w:rsid w:val="00CE4FE1"/>
    <w:rsid w:val="00CE5348"/>
    <w:rsid w:val="00CE5944"/>
    <w:rsid w:val="00CE5B79"/>
    <w:rsid w:val="00CE5C52"/>
    <w:rsid w:val="00CE5C77"/>
    <w:rsid w:val="00CE5E08"/>
    <w:rsid w:val="00CE622E"/>
    <w:rsid w:val="00CE6611"/>
    <w:rsid w:val="00CE7130"/>
    <w:rsid w:val="00CE720A"/>
    <w:rsid w:val="00CE7355"/>
    <w:rsid w:val="00CE7377"/>
    <w:rsid w:val="00CE73BD"/>
    <w:rsid w:val="00CE74BE"/>
    <w:rsid w:val="00CE76E4"/>
    <w:rsid w:val="00CE7C78"/>
    <w:rsid w:val="00CE7DD4"/>
    <w:rsid w:val="00CE7EEC"/>
    <w:rsid w:val="00CE7F5A"/>
    <w:rsid w:val="00CF00C1"/>
    <w:rsid w:val="00CF02DA"/>
    <w:rsid w:val="00CF04DF"/>
    <w:rsid w:val="00CF07D4"/>
    <w:rsid w:val="00CF0B68"/>
    <w:rsid w:val="00CF0C56"/>
    <w:rsid w:val="00CF18DC"/>
    <w:rsid w:val="00CF1A66"/>
    <w:rsid w:val="00CF1BAB"/>
    <w:rsid w:val="00CF1E48"/>
    <w:rsid w:val="00CF252D"/>
    <w:rsid w:val="00CF2C12"/>
    <w:rsid w:val="00CF2E67"/>
    <w:rsid w:val="00CF2EB6"/>
    <w:rsid w:val="00CF3079"/>
    <w:rsid w:val="00CF33DD"/>
    <w:rsid w:val="00CF355C"/>
    <w:rsid w:val="00CF361C"/>
    <w:rsid w:val="00CF3779"/>
    <w:rsid w:val="00CF380C"/>
    <w:rsid w:val="00CF3849"/>
    <w:rsid w:val="00CF386F"/>
    <w:rsid w:val="00CF430E"/>
    <w:rsid w:val="00CF4665"/>
    <w:rsid w:val="00CF489A"/>
    <w:rsid w:val="00CF4C1F"/>
    <w:rsid w:val="00CF4DF0"/>
    <w:rsid w:val="00CF5144"/>
    <w:rsid w:val="00CF563B"/>
    <w:rsid w:val="00CF5794"/>
    <w:rsid w:val="00CF59D3"/>
    <w:rsid w:val="00CF5E27"/>
    <w:rsid w:val="00CF6050"/>
    <w:rsid w:val="00CF69D0"/>
    <w:rsid w:val="00CF6EBA"/>
    <w:rsid w:val="00CF6EFD"/>
    <w:rsid w:val="00CF706F"/>
    <w:rsid w:val="00CF7254"/>
    <w:rsid w:val="00CF7476"/>
    <w:rsid w:val="00CF74D3"/>
    <w:rsid w:val="00CF77BF"/>
    <w:rsid w:val="00CF78E4"/>
    <w:rsid w:val="00CF7A12"/>
    <w:rsid w:val="00D0058C"/>
    <w:rsid w:val="00D00B58"/>
    <w:rsid w:val="00D013ED"/>
    <w:rsid w:val="00D0144D"/>
    <w:rsid w:val="00D01546"/>
    <w:rsid w:val="00D015AF"/>
    <w:rsid w:val="00D0185E"/>
    <w:rsid w:val="00D01CBA"/>
    <w:rsid w:val="00D02113"/>
    <w:rsid w:val="00D02195"/>
    <w:rsid w:val="00D0291D"/>
    <w:rsid w:val="00D02B62"/>
    <w:rsid w:val="00D02CFC"/>
    <w:rsid w:val="00D02DCC"/>
    <w:rsid w:val="00D0307F"/>
    <w:rsid w:val="00D03381"/>
    <w:rsid w:val="00D03418"/>
    <w:rsid w:val="00D03739"/>
    <w:rsid w:val="00D038C3"/>
    <w:rsid w:val="00D03A7B"/>
    <w:rsid w:val="00D03F27"/>
    <w:rsid w:val="00D0419F"/>
    <w:rsid w:val="00D04228"/>
    <w:rsid w:val="00D04706"/>
    <w:rsid w:val="00D04826"/>
    <w:rsid w:val="00D04F72"/>
    <w:rsid w:val="00D0514F"/>
    <w:rsid w:val="00D056E3"/>
    <w:rsid w:val="00D059CD"/>
    <w:rsid w:val="00D05DED"/>
    <w:rsid w:val="00D06493"/>
    <w:rsid w:val="00D06704"/>
    <w:rsid w:val="00D06707"/>
    <w:rsid w:val="00D06DF8"/>
    <w:rsid w:val="00D06E6C"/>
    <w:rsid w:val="00D076DC"/>
    <w:rsid w:val="00D0776C"/>
    <w:rsid w:val="00D07BF3"/>
    <w:rsid w:val="00D07E27"/>
    <w:rsid w:val="00D07F6D"/>
    <w:rsid w:val="00D101FC"/>
    <w:rsid w:val="00D10432"/>
    <w:rsid w:val="00D114F8"/>
    <w:rsid w:val="00D1265D"/>
    <w:rsid w:val="00D128B0"/>
    <w:rsid w:val="00D12A6F"/>
    <w:rsid w:val="00D12C0E"/>
    <w:rsid w:val="00D12C9A"/>
    <w:rsid w:val="00D130D1"/>
    <w:rsid w:val="00D131C7"/>
    <w:rsid w:val="00D1336F"/>
    <w:rsid w:val="00D138FF"/>
    <w:rsid w:val="00D13C88"/>
    <w:rsid w:val="00D14797"/>
    <w:rsid w:val="00D1494F"/>
    <w:rsid w:val="00D14B58"/>
    <w:rsid w:val="00D14E34"/>
    <w:rsid w:val="00D14E72"/>
    <w:rsid w:val="00D1524E"/>
    <w:rsid w:val="00D152A9"/>
    <w:rsid w:val="00D159DE"/>
    <w:rsid w:val="00D15AC9"/>
    <w:rsid w:val="00D16106"/>
    <w:rsid w:val="00D1701F"/>
    <w:rsid w:val="00D1715C"/>
    <w:rsid w:val="00D175AB"/>
    <w:rsid w:val="00D176C7"/>
    <w:rsid w:val="00D17CFC"/>
    <w:rsid w:val="00D17DDC"/>
    <w:rsid w:val="00D20FAA"/>
    <w:rsid w:val="00D21341"/>
    <w:rsid w:val="00D213CC"/>
    <w:rsid w:val="00D214BE"/>
    <w:rsid w:val="00D2159C"/>
    <w:rsid w:val="00D21A5E"/>
    <w:rsid w:val="00D21BF1"/>
    <w:rsid w:val="00D21E64"/>
    <w:rsid w:val="00D22030"/>
    <w:rsid w:val="00D226B4"/>
    <w:rsid w:val="00D22CCE"/>
    <w:rsid w:val="00D22D3A"/>
    <w:rsid w:val="00D22DCE"/>
    <w:rsid w:val="00D230FE"/>
    <w:rsid w:val="00D2320D"/>
    <w:rsid w:val="00D2388A"/>
    <w:rsid w:val="00D23D0D"/>
    <w:rsid w:val="00D23DB9"/>
    <w:rsid w:val="00D2422D"/>
    <w:rsid w:val="00D242A3"/>
    <w:rsid w:val="00D242CD"/>
    <w:rsid w:val="00D24506"/>
    <w:rsid w:val="00D2469C"/>
    <w:rsid w:val="00D24F01"/>
    <w:rsid w:val="00D2514E"/>
    <w:rsid w:val="00D25392"/>
    <w:rsid w:val="00D2561A"/>
    <w:rsid w:val="00D261B9"/>
    <w:rsid w:val="00D2682C"/>
    <w:rsid w:val="00D268B5"/>
    <w:rsid w:val="00D26919"/>
    <w:rsid w:val="00D269AE"/>
    <w:rsid w:val="00D26E9C"/>
    <w:rsid w:val="00D2716E"/>
    <w:rsid w:val="00D2731E"/>
    <w:rsid w:val="00D2742D"/>
    <w:rsid w:val="00D27B84"/>
    <w:rsid w:val="00D27F37"/>
    <w:rsid w:val="00D3004F"/>
    <w:rsid w:val="00D3024A"/>
    <w:rsid w:val="00D3047B"/>
    <w:rsid w:val="00D30617"/>
    <w:rsid w:val="00D30777"/>
    <w:rsid w:val="00D30D33"/>
    <w:rsid w:val="00D30DB4"/>
    <w:rsid w:val="00D30E62"/>
    <w:rsid w:val="00D30EE7"/>
    <w:rsid w:val="00D3108D"/>
    <w:rsid w:val="00D3144B"/>
    <w:rsid w:val="00D31870"/>
    <w:rsid w:val="00D31AD3"/>
    <w:rsid w:val="00D31C44"/>
    <w:rsid w:val="00D31E43"/>
    <w:rsid w:val="00D328EB"/>
    <w:rsid w:val="00D32A62"/>
    <w:rsid w:val="00D32AAD"/>
    <w:rsid w:val="00D32CC5"/>
    <w:rsid w:val="00D32EB7"/>
    <w:rsid w:val="00D3345F"/>
    <w:rsid w:val="00D33955"/>
    <w:rsid w:val="00D33CC0"/>
    <w:rsid w:val="00D33CC5"/>
    <w:rsid w:val="00D33ED0"/>
    <w:rsid w:val="00D3405E"/>
    <w:rsid w:val="00D34155"/>
    <w:rsid w:val="00D34D34"/>
    <w:rsid w:val="00D3535E"/>
    <w:rsid w:val="00D35536"/>
    <w:rsid w:val="00D355DD"/>
    <w:rsid w:val="00D35653"/>
    <w:rsid w:val="00D35C30"/>
    <w:rsid w:val="00D35ED9"/>
    <w:rsid w:val="00D366AF"/>
    <w:rsid w:val="00D36B9B"/>
    <w:rsid w:val="00D36EAC"/>
    <w:rsid w:val="00D37A28"/>
    <w:rsid w:val="00D40D13"/>
    <w:rsid w:val="00D40DD0"/>
    <w:rsid w:val="00D410EB"/>
    <w:rsid w:val="00D415A3"/>
    <w:rsid w:val="00D4162E"/>
    <w:rsid w:val="00D4195A"/>
    <w:rsid w:val="00D41A76"/>
    <w:rsid w:val="00D41BD0"/>
    <w:rsid w:val="00D41D58"/>
    <w:rsid w:val="00D42491"/>
    <w:rsid w:val="00D4262D"/>
    <w:rsid w:val="00D42BAA"/>
    <w:rsid w:val="00D42F28"/>
    <w:rsid w:val="00D430C6"/>
    <w:rsid w:val="00D430F3"/>
    <w:rsid w:val="00D43258"/>
    <w:rsid w:val="00D43ABD"/>
    <w:rsid w:val="00D43C0F"/>
    <w:rsid w:val="00D444AA"/>
    <w:rsid w:val="00D44A34"/>
    <w:rsid w:val="00D4534A"/>
    <w:rsid w:val="00D462B0"/>
    <w:rsid w:val="00D46354"/>
    <w:rsid w:val="00D46BA5"/>
    <w:rsid w:val="00D476CC"/>
    <w:rsid w:val="00D501A9"/>
    <w:rsid w:val="00D50304"/>
    <w:rsid w:val="00D50D0E"/>
    <w:rsid w:val="00D5115A"/>
    <w:rsid w:val="00D511F0"/>
    <w:rsid w:val="00D51778"/>
    <w:rsid w:val="00D52367"/>
    <w:rsid w:val="00D5237A"/>
    <w:rsid w:val="00D523D0"/>
    <w:rsid w:val="00D52A45"/>
    <w:rsid w:val="00D52BA4"/>
    <w:rsid w:val="00D52DD2"/>
    <w:rsid w:val="00D533BA"/>
    <w:rsid w:val="00D5375E"/>
    <w:rsid w:val="00D541D4"/>
    <w:rsid w:val="00D54634"/>
    <w:rsid w:val="00D54EBF"/>
    <w:rsid w:val="00D55293"/>
    <w:rsid w:val="00D55B84"/>
    <w:rsid w:val="00D55B9C"/>
    <w:rsid w:val="00D55F8C"/>
    <w:rsid w:val="00D562F5"/>
    <w:rsid w:val="00D5634C"/>
    <w:rsid w:val="00D563CA"/>
    <w:rsid w:val="00D56884"/>
    <w:rsid w:val="00D5730A"/>
    <w:rsid w:val="00D5741C"/>
    <w:rsid w:val="00D57612"/>
    <w:rsid w:val="00D576F0"/>
    <w:rsid w:val="00D57CE3"/>
    <w:rsid w:val="00D60029"/>
    <w:rsid w:val="00D601DA"/>
    <w:rsid w:val="00D60253"/>
    <w:rsid w:val="00D602CC"/>
    <w:rsid w:val="00D608A1"/>
    <w:rsid w:val="00D611C7"/>
    <w:rsid w:val="00D61250"/>
    <w:rsid w:val="00D613F2"/>
    <w:rsid w:val="00D61456"/>
    <w:rsid w:val="00D61B1E"/>
    <w:rsid w:val="00D61E7B"/>
    <w:rsid w:val="00D6207E"/>
    <w:rsid w:val="00D62448"/>
    <w:rsid w:val="00D62926"/>
    <w:rsid w:val="00D62AD9"/>
    <w:rsid w:val="00D62BFC"/>
    <w:rsid w:val="00D62D98"/>
    <w:rsid w:val="00D62F4A"/>
    <w:rsid w:val="00D630D3"/>
    <w:rsid w:val="00D638AA"/>
    <w:rsid w:val="00D640EE"/>
    <w:rsid w:val="00D64312"/>
    <w:rsid w:val="00D64D73"/>
    <w:rsid w:val="00D64F04"/>
    <w:rsid w:val="00D64FC6"/>
    <w:rsid w:val="00D654E8"/>
    <w:rsid w:val="00D655E0"/>
    <w:rsid w:val="00D65A18"/>
    <w:rsid w:val="00D65B28"/>
    <w:rsid w:val="00D65B86"/>
    <w:rsid w:val="00D6641B"/>
    <w:rsid w:val="00D6645B"/>
    <w:rsid w:val="00D66936"/>
    <w:rsid w:val="00D66CE1"/>
    <w:rsid w:val="00D67D84"/>
    <w:rsid w:val="00D67E3C"/>
    <w:rsid w:val="00D70019"/>
    <w:rsid w:val="00D700EC"/>
    <w:rsid w:val="00D705BC"/>
    <w:rsid w:val="00D70D28"/>
    <w:rsid w:val="00D70D46"/>
    <w:rsid w:val="00D70DB6"/>
    <w:rsid w:val="00D71016"/>
    <w:rsid w:val="00D717AE"/>
    <w:rsid w:val="00D723DD"/>
    <w:rsid w:val="00D7286F"/>
    <w:rsid w:val="00D72960"/>
    <w:rsid w:val="00D729FF"/>
    <w:rsid w:val="00D72B91"/>
    <w:rsid w:val="00D73153"/>
    <w:rsid w:val="00D735B1"/>
    <w:rsid w:val="00D73791"/>
    <w:rsid w:val="00D73B8C"/>
    <w:rsid w:val="00D74FC5"/>
    <w:rsid w:val="00D7547D"/>
    <w:rsid w:val="00D756CC"/>
    <w:rsid w:val="00D7581E"/>
    <w:rsid w:val="00D75864"/>
    <w:rsid w:val="00D75A91"/>
    <w:rsid w:val="00D76035"/>
    <w:rsid w:val="00D76564"/>
    <w:rsid w:val="00D76660"/>
    <w:rsid w:val="00D76970"/>
    <w:rsid w:val="00D76EBF"/>
    <w:rsid w:val="00D7708A"/>
    <w:rsid w:val="00D77181"/>
    <w:rsid w:val="00D77958"/>
    <w:rsid w:val="00D77D10"/>
    <w:rsid w:val="00D77EE8"/>
    <w:rsid w:val="00D77F75"/>
    <w:rsid w:val="00D8112A"/>
    <w:rsid w:val="00D81FC6"/>
    <w:rsid w:val="00D8227E"/>
    <w:rsid w:val="00D827FF"/>
    <w:rsid w:val="00D82AC4"/>
    <w:rsid w:val="00D82BF0"/>
    <w:rsid w:val="00D82DF1"/>
    <w:rsid w:val="00D82F3A"/>
    <w:rsid w:val="00D835E6"/>
    <w:rsid w:val="00D83D51"/>
    <w:rsid w:val="00D83EFB"/>
    <w:rsid w:val="00D849F5"/>
    <w:rsid w:val="00D85002"/>
    <w:rsid w:val="00D85AFB"/>
    <w:rsid w:val="00D85C81"/>
    <w:rsid w:val="00D86227"/>
    <w:rsid w:val="00D8624D"/>
    <w:rsid w:val="00D86256"/>
    <w:rsid w:val="00D8676C"/>
    <w:rsid w:val="00D873B6"/>
    <w:rsid w:val="00D87A0F"/>
    <w:rsid w:val="00D90944"/>
    <w:rsid w:val="00D90A90"/>
    <w:rsid w:val="00D90B12"/>
    <w:rsid w:val="00D90DCD"/>
    <w:rsid w:val="00D90E05"/>
    <w:rsid w:val="00D910CD"/>
    <w:rsid w:val="00D91B4D"/>
    <w:rsid w:val="00D925DE"/>
    <w:rsid w:val="00D92730"/>
    <w:rsid w:val="00D92881"/>
    <w:rsid w:val="00D92AF6"/>
    <w:rsid w:val="00D92B10"/>
    <w:rsid w:val="00D92BAF"/>
    <w:rsid w:val="00D92BDB"/>
    <w:rsid w:val="00D92E48"/>
    <w:rsid w:val="00D9334D"/>
    <w:rsid w:val="00D935A3"/>
    <w:rsid w:val="00D93823"/>
    <w:rsid w:val="00D938E0"/>
    <w:rsid w:val="00D9408D"/>
    <w:rsid w:val="00D9412D"/>
    <w:rsid w:val="00D94868"/>
    <w:rsid w:val="00D94A3F"/>
    <w:rsid w:val="00D94D61"/>
    <w:rsid w:val="00D94E85"/>
    <w:rsid w:val="00D9503B"/>
    <w:rsid w:val="00D96015"/>
    <w:rsid w:val="00D96619"/>
    <w:rsid w:val="00D9661B"/>
    <w:rsid w:val="00D96CB3"/>
    <w:rsid w:val="00D96F86"/>
    <w:rsid w:val="00D96FA8"/>
    <w:rsid w:val="00D97016"/>
    <w:rsid w:val="00D97111"/>
    <w:rsid w:val="00D976B1"/>
    <w:rsid w:val="00D97CEA"/>
    <w:rsid w:val="00D97ED8"/>
    <w:rsid w:val="00D97FD2"/>
    <w:rsid w:val="00DA0BA9"/>
    <w:rsid w:val="00DA1292"/>
    <w:rsid w:val="00DA15F6"/>
    <w:rsid w:val="00DA19FA"/>
    <w:rsid w:val="00DA1C85"/>
    <w:rsid w:val="00DA1D35"/>
    <w:rsid w:val="00DA1DFA"/>
    <w:rsid w:val="00DA1F99"/>
    <w:rsid w:val="00DA20C3"/>
    <w:rsid w:val="00DA210E"/>
    <w:rsid w:val="00DA2305"/>
    <w:rsid w:val="00DA2512"/>
    <w:rsid w:val="00DA2599"/>
    <w:rsid w:val="00DA2E6A"/>
    <w:rsid w:val="00DA3017"/>
    <w:rsid w:val="00DA3069"/>
    <w:rsid w:val="00DA31DD"/>
    <w:rsid w:val="00DA3426"/>
    <w:rsid w:val="00DA3551"/>
    <w:rsid w:val="00DA3AEB"/>
    <w:rsid w:val="00DA3E91"/>
    <w:rsid w:val="00DA3F52"/>
    <w:rsid w:val="00DA4605"/>
    <w:rsid w:val="00DA4A36"/>
    <w:rsid w:val="00DA4C85"/>
    <w:rsid w:val="00DA4D7B"/>
    <w:rsid w:val="00DA501B"/>
    <w:rsid w:val="00DA538C"/>
    <w:rsid w:val="00DA53DA"/>
    <w:rsid w:val="00DA56E7"/>
    <w:rsid w:val="00DA5B36"/>
    <w:rsid w:val="00DA5EA3"/>
    <w:rsid w:val="00DA6296"/>
    <w:rsid w:val="00DA6335"/>
    <w:rsid w:val="00DA65BE"/>
    <w:rsid w:val="00DA65EF"/>
    <w:rsid w:val="00DA665A"/>
    <w:rsid w:val="00DA6707"/>
    <w:rsid w:val="00DA6F80"/>
    <w:rsid w:val="00DA7236"/>
    <w:rsid w:val="00DA7477"/>
    <w:rsid w:val="00DA7F6D"/>
    <w:rsid w:val="00DB015E"/>
    <w:rsid w:val="00DB05DB"/>
    <w:rsid w:val="00DB05F3"/>
    <w:rsid w:val="00DB0F47"/>
    <w:rsid w:val="00DB10A0"/>
    <w:rsid w:val="00DB12F4"/>
    <w:rsid w:val="00DB15EE"/>
    <w:rsid w:val="00DB1858"/>
    <w:rsid w:val="00DB25AF"/>
    <w:rsid w:val="00DB26D1"/>
    <w:rsid w:val="00DB2966"/>
    <w:rsid w:val="00DB340E"/>
    <w:rsid w:val="00DB371B"/>
    <w:rsid w:val="00DB3EAF"/>
    <w:rsid w:val="00DB40A8"/>
    <w:rsid w:val="00DB40D5"/>
    <w:rsid w:val="00DB4320"/>
    <w:rsid w:val="00DB4B0E"/>
    <w:rsid w:val="00DB4B62"/>
    <w:rsid w:val="00DB4E40"/>
    <w:rsid w:val="00DB4EB2"/>
    <w:rsid w:val="00DB4F16"/>
    <w:rsid w:val="00DB4F85"/>
    <w:rsid w:val="00DB524E"/>
    <w:rsid w:val="00DB52E8"/>
    <w:rsid w:val="00DB5735"/>
    <w:rsid w:val="00DB577F"/>
    <w:rsid w:val="00DB5A21"/>
    <w:rsid w:val="00DB5FA9"/>
    <w:rsid w:val="00DB607D"/>
    <w:rsid w:val="00DB610A"/>
    <w:rsid w:val="00DB62BE"/>
    <w:rsid w:val="00DB692B"/>
    <w:rsid w:val="00DB6EC4"/>
    <w:rsid w:val="00DB6ED5"/>
    <w:rsid w:val="00DB72DB"/>
    <w:rsid w:val="00DB73BC"/>
    <w:rsid w:val="00DB7688"/>
    <w:rsid w:val="00DB7D18"/>
    <w:rsid w:val="00DC0248"/>
    <w:rsid w:val="00DC03B6"/>
    <w:rsid w:val="00DC046F"/>
    <w:rsid w:val="00DC07D8"/>
    <w:rsid w:val="00DC092A"/>
    <w:rsid w:val="00DC0BAA"/>
    <w:rsid w:val="00DC0E48"/>
    <w:rsid w:val="00DC106A"/>
    <w:rsid w:val="00DC106D"/>
    <w:rsid w:val="00DC15D4"/>
    <w:rsid w:val="00DC1954"/>
    <w:rsid w:val="00DC28E3"/>
    <w:rsid w:val="00DC29D3"/>
    <w:rsid w:val="00DC2F68"/>
    <w:rsid w:val="00DC3270"/>
    <w:rsid w:val="00DC3443"/>
    <w:rsid w:val="00DC38B9"/>
    <w:rsid w:val="00DC38EF"/>
    <w:rsid w:val="00DC391B"/>
    <w:rsid w:val="00DC3E4E"/>
    <w:rsid w:val="00DC45C3"/>
    <w:rsid w:val="00DC45D4"/>
    <w:rsid w:val="00DC4CA0"/>
    <w:rsid w:val="00DC4CD0"/>
    <w:rsid w:val="00DC5369"/>
    <w:rsid w:val="00DC5EB4"/>
    <w:rsid w:val="00DC6048"/>
    <w:rsid w:val="00DC63EC"/>
    <w:rsid w:val="00DC64B9"/>
    <w:rsid w:val="00DC66AD"/>
    <w:rsid w:val="00DC676E"/>
    <w:rsid w:val="00DC6C88"/>
    <w:rsid w:val="00DC7211"/>
    <w:rsid w:val="00DC7816"/>
    <w:rsid w:val="00DC7CEC"/>
    <w:rsid w:val="00DC7D95"/>
    <w:rsid w:val="00DC7E25"/>
    <w:rsid w:val="00DD00D7"/>
    <w:rsid w:val="00DD0534"/>
    <w:rsid w:val="00DD0542"/>
    <w:rsid w:val="00DD0860"/>
    <w:rsid w:val="00DD0E3C"/>
    <w:rsid w:val="00DD0F05"/>
    <w:rsid w:val="00DD176C"/>
    <w:rsid w:val="00DD1896"/>
    <w:rsid w:val="00DD1955"/>
    <w:rsid w:val="00DD1F81"/>
    <w:rsid w:val="00DD2050"/>
    <w:rsid w:val="00DD2256"/>
    <w:rsid w:val="00DD2F8E"/>
    <w:rsid w:val="00DD3B96"/>
    <w:rsid w:val="00DD4BB4"/>
    <w:rsid w:val="00DD538A"/>
    <w:rsid w:val="00DD559A"/>
    <w:rsid w:val="00DD5BB8"/>
    <w:rsid w:val="00DD5C0B"/>
    <w:rsid w:val="00DD60D9"/>
    <w:rsid w:val="00DD6A5F"/>
    <w:rsid w:val="00DD73D7"/>
    <w:rsid w:val="00DD7AB1"/>
    <w:rsid w:val="00DD7C3D"/>
    <w:rsid w:val="00DD7DFB"/>
    <w:rsid w:val="00DE01DB"/>
    <w:rsid w:val="00DE05CE"/>
    <w:rsid w:val="00DE09F6"/>
    <w:rsid w:val="00DE0B7B"/>
    <w:rsid w:val="00DE0D06"/>
    <w:rsid w:val="00DE11A5"/>
    <w:rsid w:val="00DE13A0"/>
    <w:rsid w:val="00DE147C"/>
    <w:rsid w:val="00DE14A4"/>
    <w:rsid w:val="00DE17A6"/>
    <w:rsid w:val="00DE1C41"/>
    <w:rsid w:val="00DE1E23"/>
    <w:rsid w:val="00DE1F15"/>
    <w:rsid w:val="00DE2248"/>
    <w:rsid w:val="00DE22FF"/>
    <w:rsid w:val="00DE23EB"/>
    <w:rsid w:val="00DE2742"/>
    <w:rsid w:val="00DE275C"/>
    <w:rsid w:val="00DE288C"/>
    <w:rsid w:val="00DE28CF"/>
    <w:rsid w:val="00DE2932"/>
    <w:rsid w:val="00DE2CEC"/>
    <w:rsid w:val="00DE2D7C"/>
    <w:rsid w:val="00DE2E52"/>
    <w:rsid w:val="00DE3193"/>
    <w:rsid w:val="00DE36F2"/>
    <w:rsid w:val="00DE3CE3"/>
    <w:rsid w:val="00DE3EF6"/>
    <w:rsid w:val="00DE3F01"/>
    <w:rsid w:val="00DE404D"/>
    <w:rsid w:val="00DE420E"/>
    <w:rsid w:val="00DE47CA"/>
    <w:rsid w:val="00DE4D6F"/>
    <w:rsid w:val="00DE5048"/>
    <w:rsid w:val="00DE55E6"/>
    <w:rsid w:val="00DE57A5"/>
    <w:rsid w:val="00DE5C63"/>
    <w:rsid w:val="00DE5CB4"/>
    <w:rsid w:val="00DE5DF9"/>
    <w:rsid w:val="00DE5F0E"/>
    <w:rsid w:val="00DE5F73"/>
    <w:rsid w:val="00DE64FF"/>
    <w:rsid w:val="00DE70EA"/>
    <w:rsid w:val="00DE78B5"/>
    <w:rsid w:val="00DE7AA6"/>
    <w:rsid w:val="00DF01D4"/>
    <w:rsid w:val="00DF074E"/>
    <w:rsid w:val="00DF07F8"/>
    <w:rsid w:val="00DF0A9B"/>
    <w:rsid w:val="00DF115A"/>
    <w:rsid w:val="00DF1303"/>
    <w:rsid w:val="00DF1362"/>
    <w:rsid w:val="00DF1513"/>
    <w:rsid w:val="00DF170A"/>
    <w:rsid w:val="00DF1811"/>
    <w:rsid w:val="00DF1948"/>
    <w:rsid w:val="00DF1C32"/>
    <w:rsid w:val="00DF2187"/>
    <w:rsid w:val="00DF2275"/>
    <w:rsid w:val="00DF2665"/>
    <w:rsid w:val="00DF2754"/>
    <w:rsid w:val="00DF2DFC"/>
    <w:rsid w:val="00DF3E03"/>
    <w:rsid w:val="00DF3F02"/>
    <w:rsid w:val="00DF43AD"/>
    <w:rsid w:val="00DF5038"/>
    <w:rsid w:val="00DF50A1"/>
    <w:rsid w:val="00DF5C05"/>
    <w:rsid w:val="00DF5D7B"/>
    <w:rsid w:val="00DF6AC1"/>
    <w:rsid w:val="00DF6B69"/>
    <w:rsid w:val="00DF6DE2"/>
    <w:rsid w:val="00DF700F"/>
    <w:rsid w:val="00DF73F7"/>
    <w:rsid w:val="00E000F2"/>
    <w:rsid w:val="00E00760"/>
    <w:rsid w:val="00E00E28"/>
    <w:rsid w:val="00E00EAA"/>
    <w:rsid w:val="00E00ED7"/>
    <w:rsid w:val="00E00F7A"/>
    <w:rsid w:val="00E011CD"/>
    <w:rsid w:val="00E01696"/>
    <w:rsid w:val="00E01C79"/>
    <w:rsid w:val="00E02274"/>
    <w:rsid w:val="00E02526"/>
    <w:rsid w:val="00E02BCE"/>
    <w:rsid w:val="00E02C0A"/>
    <w:rsid w:val="00E0309C"/>
    <w:rsid w:val="00E035F3"/>
    <w:rsid w:val="00E03644"/>
    <w:rsid w:val="00E03C49"/>
    <w:rsid w:val="00E03F01"/>
    <w:rsid w:val="00E04A20"/>
    <w:rsid w:val="00E04AA2"/>
    <w:rsid w:val="00E04F98"/>
    <w:rsid w:val="00E0501E"/>
    <w:rsid w:val="00E052E6"/>
    <w:rsid w:val="00E05374"/>
    <w:rsid w:val="00E05A51"/>
    <w:rsid w:val="00E05D85"/>
    <w:rsid w:val="00E05FE9"/>
    <w:rsid w:val="00E061B1"/>
    <w:rsid w:val="00E06CD5"/>
    <w:rsid w:val="00E06D44"/>
    <w:rsid w:val="00E06D99"/>
    <w:rsid w:val="00E06E1A"/>
    <w:rsid w:val="00E07602"/>
    <w:rsid w:val="00E07D86"/>
    <w:rsid w:val="00E10511"/>
    <w:rsid w:val="00E10712"/>
    <w:rsid w:val="00E10DC7"/>
    <w:rsid w:val="00E11371"/>
    <w:rsid w:val="00E114CA"/>
    <w:rsid w:val="00E1185A"/>
    <w:rsid w:val="00E11DBF"/>
    <w:rsid w:val="00E11FF5"/>
    <w:rsid w:val="00E12465"/>
    <w:rsid w:val="00E129A3"/>
    <w:rsid w:val="00E130D5"/>
    <w:rsid w:val="00E1374F"/>
    <w:rsid w:val="00E13EDF"/>
    <w:rsid w:val="00E14116"/>
    <w:rsid w:val="00E14299"/>
    <w:rsid w:val="00E147EC"/>
    <w:rsid w:val="00E1497B"/>
    <w:rsid w:val="00E14CB7"/>
    <w:rsid w:val="00E156E1"/>
    <w:rsid w:val="00E15CDF"/>
    <w:rsid w:val="00E162DB"/>
    <w:rsid w:val="00E16531"/>
    <w:rsid w:val="00E166DA"/>
    <w:rsid w:val="00E16BAD"/>
    <w:rsid w:val="00E16DDD"/>
    <w:rsid w:val="00E16E05"/>
    <w:rsid w:val="00E177EC"/>
    <w:rsid w:val="00E1790B"/>
    <w:rsid w:val="00E1799C"/>
    <w:rsid w:val="00E20534"/>
    <w:rsid w:val="00E20565"/>
    <w:rsid w:val="00E20AFC"/>
    <w:rsid w:val="00E20F62"/>
    <w:rsid w:val="00E21571"/>
    <w:rsid w:val="00E217EB"/>
    <w:rsid w:val="00E21A32"/>
    <w:rsid w:val="00E21B7A"/>
    <w:rsid w:val="00E21DCC"/>
    <w:rsid w:val="00E22248"/>
    <w:rsid w:val="00E222FC"/>
    <w:rsid w:val="00E226E4"/>
    <w:rsid w:val="00E22BC1"/>
    <w:rsid w:val="00E22CD7"/>
    <w:rsid w:val="00E22E2A"/>
    <w:rsid w:val="00E235FE"/>
    <w:rsid w:val="00E23B36"/>
    <w:rsid w:val="00E23B79"/>
    <w:rsid w:val="00E23C7C"/>
    <w:rsid w:val="00E23E40"/>
    <w:rsid w:val="00E23F95"/>
    <w:rsid w:val="00E24128"/>
    <w:rsid w:val="00E24157"/>
    <w:rsid w:val="00E2449C"/>
    <w:rsid w:val="00E247FB"/>
    <w:rsid w:val="00E24DAF"/>
    <w:rsid w:val="00E25106"/>
    <w:rsid w:val="00E251C7"/>
    <w:rsid w:val="00E2522A"/>
    <w:rsid w:val="00E2557B"/>
    <w:rsid w:val="00E256AC"/>
    <w:rsid w:val="00E25A4B"/>
    <w:rsid w:val="00E25B15"/>
    <w:rsid w:val="00E25B80"/>
    <w:rsid w:val="00E25FBC"/>
    <w:rsid w:val="00E26255"/>
    <w:rsid w:val="00E26CA9"/>
    <w:rsid w:val="00E26E9A"/>
    <w:rsid w:val="00E26EF3"/>
    <w:rsid w:val="00E26FBE"/>
    <w:rsid w:val="00E27252"/>
    <w:rsid w:val="00E274F0"/>
    <w:rsid w:val="00E2754B"/>
    <w:rsid w:val="00E27A9B"/>
    <w:rsid w:val="00E3005B"/>
    <w:rsid w:val="00E3021D"/>
    <w:rsid w:val="00E30ABB"/>
    <w:rsid w:val="00E31526"/>
    <w:rsid w:val="00E31590"/>
    <w:rsid w:val="00E318D0"/>
    <w:rsid w:val="00E31BBF"/>
    <w:rsid w:val="00E31C12"/>
    <w:rsid w:val="00E31D85"/>
    <w:rsid w:val="00E32982"/>
    <w:rsid w:val="00E32998"/>
    <w:rsid w:val="00E32A48"/>
    <w:rsid w:val="00E32B27"/>
    <w:rsid w:val="00E32C4C"/>
    <w:rsid w:val="00E32DD6"/>
    <w:rsid w:val="00E32EFB"/>
    <w:rsid w:val="00E33122"/>
    <w:rsid w:val="00E333C4"/>
    <w:rsid w:val="00E333E2"/>
    <w:rsid w:val="00E33E55"/>
    <w:rsid w:val="00E33EE1"/>
    <w:rsid w:val="00E347AE"/>
    <w:rsid w:val="00E3501B"/>
    <w:rsid w:val="00E35370"/>
    <w:rsid w:val="00E355E3"/>
    <w:rsid w:val="00E356C1"/>
    <w:rsid w:val="00E35AD8"/>
    <w:rsid w:val="00E36022"/>
    <w:rsid w:val="00E3604C"/>
    <w:rsid w:val="00E36167"/>
    <w:rsid w:val="00E36E82"/>
    <w:rsid w:val="00E36EBB"/>
    <w:rsid w:val="00E37508"/>
    <w:rsid w:val="00E37587"/>
    <w:rsid w:val="00E375C9"/>
    <w:rsid w:val="00E3769B"/>
    <w:rsid w:val="00E379EF"/>
    <w:rsid w:val="00E4029A"/>
    <w:rsid w:val="00E40371"/>
    <w:rsid w:val="00E4056D"/>
    <w:rsid w:val="00E40829"/>
    <w:rsid w:val="00E40C82"/>
    <w:rsid w:val="00E40D91"/>
    <w:rsid w:val="00E41018"/>
    <w:rsid w:val="00E4115E"/>
    <w:rsid w:val="00E4136A"/>
    <w:rsid w:val="00E4149A"/>
    <w:rsid w:val="00E414AD"/>
    <w:rsid w:val="00E4173C"/>
    <w:rsid w:val="00E419FF"/>
    <w:rsid w:val="00E41A3D"/>
    <w:rsid w:val="00E41A5F"/>
    <w:rsid w:val="00E41AF2"/>
    <w:rsid w:val="00E42023"/>
    <w:rsid w:val="00E426BD"/>
    <w:rsid w:val="00E427C2"/>
    <w:rsid w:val="00E42A54"/>
    <w:rsid w:val="00E42CB6"/>
    <w:rsid w:val="00E42D20"/>
    <w:rsid w:val="00E43906"/>
    <w:rsid w:val="00E443C7"/>
    <w:rsid w:val="00E44567"/>
    <w:rsid w:val="00E44A16"/>
    <w:rsid w:val="00E45557"/>
    <w:rsid w:val="00E4588F"/>
    <w:rsid w:val="00E45AB3"/>
    <w:rsid w:val="00E46182"/>
    <w:rsid w:val="00E4637C"/>
    <w:rsid w:val="00E466EA"/>
    <w:rsid w:val="00E467D8"/>
    <w:rsid w:val="00E46849"/>
    <w:rsid w:val="00E46CFD"/>
    <w:rsid w:val="00E47177"/>
    <w:rsid w:val="00E474EC"/>
    <w:rsid w:val="00E47642"/>
    <w:rsid w:val="00E47A80"/>
    <w:rsid w:val="00E5078A"/>
    <w:rsid w:val="00E50DA9"/>
    <w:rsid w:val="00E50EE2"/>
    <w:rsid w:val="00E50F9D"/>
    <w:rsid w:val="00E51317"/>
    <w:rsid w:val="00E51FDC"/>
    <w:rsid w:val="00E52873"/>
    <w:rsid w:val="00E5302C"/>
    <w:rsid w:val="00E53624"/>
    <w:rsid w:val="00E5391D"/>
    <w:rsid w:val="00E53A0F"/>
    <w:rsid w:val="00E541DC"/>
    <w:rsid w:val="00E544FB"/>
    <w:rsid w:val="00E54935"/>
    <w:rsid w:val="00E549BB"/>
    <w:rsid w:val="00E54A7A"/>
    <w:rsid w:val="00E54A84"/>
    <w:rsid w:val="00E5511B"/>
    <w:rsid w:val="00E55413"/>
    <w:rsid w:val="00E5544E"/>
    <w:rsid w:val="00E55476"/>
    <w:rsid w:val="00E55633"/>
    <w:rsid w:val="00E5596A"/>
    <w:rsid w:val="00E563A5"/>
    <w:rsid w:val="00E5658C"/>
    <w:rsid w:val="00E56F2B"/>
    <w:rsid w:val="00E5720C"/>
    <w:rsid w:val="00E57223"/>
    <w:rsid w:val="00E57B21"/>
    <w:rsid w:val="00E60882"/>
    <w:rsid w:val="00E6096F"/>
    <w:rsid w:val="00E60F58"/>
    <w:rsid w:val="00E61A06"/>
    <w:rsid w:val="00E61A86"/>
    <w:rsid w:val="00E61DC5"/>
    <w:rsid w:val="00E62325"/>
    <w:rsid w:val="00E6261A"/>
    <w:rsid w:val="00E62B3D"/>
    <w:rsid w:val="00E63312"/>
    <w:rsid w:val="00E6368F"/>
    <w:rsid w:val="00E63A86"/>
    <w:rsid w:val="00E63C56"/>
    <w:rsid w:val="00E63E1D"/>
    <w:rsid w:val="00E6431B"/>
    <w:rsid w:val="00E6451B"/>
    <w:rsid w:val="00E64566"/>
    <w:rsid w:val="00E6490E"/>
    <w:rsid w:val="00E64C18"/>
    <w:rsid w:val="00E64E2A"/>
    <w:rsid w:val="00E64EF9"/>
    <w:rsid w:val="00E6560A"/>
    <w:rsid w:val="00E6593C"/>
    <w:rsid w:val="00E65A45"/>
    <w:rsid w:val="00E65B78"/>
    <w:rsid w:val="00E65D84"/>
    <w:rsid w:val="00E65F46"/>
    <w:rsid w:val="00E662B4"/>
    <w:rsid w:val="00E662E1"/>
    <w:rsid w:val="00E6663F"/>
    <w:rsid w:val="00E66727"/>
    <w:rsid w:val="00E6682A"/>
    <w:rsid w:val="00E66B8F"/>
    <w:rsid w:val="00E66BD7"/>
    <w:rsid w:val="00E66FDF"/>
    <w:rsid w:val="00E67375"/>
    <w:rsid w:val="00E6737C"/>
    <w:rsid w:val="00E677AC"/>
    <w:rsid w:val="00E6787F"/>
    <w:rsid w:val="00E67D3F"/>
    <w:rsid w:val="00E67DC6"/>
    <w:rsid w:val="00E67FB7"/>
    <w:rsid w:val="00E7026A"/>
    <w:rsid w:val="00E7041F"/>
    <w:rsid w:val="00E70494"/>
    <w:rsid w:val="00E70BF4"/>
    <w:rsid w:val="00E70D8E"/>
    <w:rsid w:val="00E70E9C"/>
    <w:rsid w:val="00E71AFF"/>
    <w:rsid w:val="00E71ED2"/>
    <w:rsid w:val="00E726AF"/>
    <w:rsid w:val="00E72A8C"/>
    <w:rsid w:val="00E73002"/>
    <w:rsid w:val="00E732EE"/>
    <w:rsid w:val="00E7347F"/>
    <w:rsid w:val="00E73545"/>
    <w:rsid w:val="00E73567"/>
    <w:rsid w:val="00E73D15"/>
    <w:rsid w:val="00E74425"/>
    <w:rsid w:val="00E7444C"/>
    <w:rsid w:val="00E746F7"/>
    <w:rsid w:val="00E74872"/>
    <w:rsid w:val="00E74AF6"/>
    <w:rsid w:val="00E74D0B"/>
    <w:rsid w:val="00E75004"/>
    <w:rsid w:val="00E754B7"/>
    <w:rsid w:val="00E75685"/>
    <w:rsid w:val="00E758B8"/>
    <w:rsid w:val="00E75C77"/>
    <w:rsid w:val="00E75F8F"/>
    <w:rsid w:val="00E76062"/>
    <w:rsid w:val="00E7626A"/>
    <w:rsid w:val="00E76391"/>
    <w:rsid w:val="00E765CA"/>
    <w:rsid w:val="00E76963"/>
    <w:rsid w:val="00E76C80"/>
    <w:rsid w:val="00E76E08"/>
    <w:rsid w:val="00E76F2D"/>
    <w:rsid w:val="00E77600"/>
    <w:rsid w:val="00E77E6C"/>
    <w:rsid w:val="00E802DC"/>
    <w:rsid w:val="00E80855"/>
    <w:rsid w:val="00E80AD1"/>
    <w:rsid w:val="00E8101B"/>
    <w:rsid w:val="00E81174"/>
    <w:rsid w:val="00E815A9"/>
    <w:rsid w:val="00E81723"/>
    <w:rsid w:val="00E818A9"/>
    <w:rsid w:val="00E81961"/>
    <w:rsid w:val="00E81AF3"/>
    <w:rsid w:val="00E81B57"/>
    <w:rsid w:val="00E81D47"/>
    <w:rsid w:val="00E830F3"/>
    <w:rsid w:val="00E8311B"/>
    <w:rsid w:val="00E83455"/>
    <w:rsid w:val="00E83E23"/>
    <w:rsid w:val="00E842B7"/>
    <w:rsid w:val="00E84C21"/>
    <w:rsid w:val="00E84E50"/>
    <w:rsid w:val="00E84E8D"/>
    <w:rsid w:val="00E85133"/>
    <w:rsid w:val="00E859A1"/>
    <w:rsid w:val="00E85FB2"/>
    <w:rsid w:val="00E8633D"/>
    <w:rsid w:val="00E86379"/>
    <w:rsid w:val="00E86BF4"/>
    <w:rsid w:val="00E86CE7"/>
    <w:rsid w:val="00E86D5B"/>
    <w:rsid w:val="00E86E25"/>
    <w:rsid w:val="00E86E75"/>
    <w:rsid w:val="00E870A9"/>
    <w:rsid w:val="00E87775"/>
    <w:rsid w:val="00E87940"/>
    <w:rsid w:val="00E87B87"/>
    <w:rsid w:val="00E87C82"/>
    <w:rsid w:val="00E90312"/>
    <w:rsid w:val="00E90552"/>
    <w:rsid w:val="00E91117"/>
    <w:rsid w:val="00E91587"/>
    <w:rsid w:val="00E91947"/>
    <w:rsid w:val="00E91AC5"/>
    <w:rsid w:val="00E92E95"/>
    <w:rsid w:val="00E930DF"/>
    <w:rsid w:val="00E934F6"/>
    <w:rsid w:val="00E93530"/>
    <w:rsid w:val="00E93D6B"/>
    <w:rsid w:val="00E93E33"/>
    <w:rsid w:val="00E950EE"/>
    <w:rsid w:val="00E9533E"/>
    <w:rsid w:val="00E9579A"/>
    <w:rsid w:val="00E95DB6"/>
    <w:rsid w:val="00E96276"/>
    <w:rsid w:val="00E963DC"/>
    <w:rsid w:val="00E964CF"/>
    <w:rsid w:val="00E965CF"/>
    <w:rsid w:val="00E96D0C"/>
    <w:rsid w:val="00E97351"/>
    <w:rsid w:val="00E97E1C"/>
    <w:rsid w:val="00EA032D"/>
    <w:rsid w:val="00EA04C9"/>
    <w:rsid w:val="00EA0D5A"/>
    <w:rsid w:val="00EA1DBE"/>
    <w:rsid w:val="00EA224E"/>
    <w:rsid w:val="00EA2E11"/>
    <w:rsid w:val="00EA2F06"/>
    <w:rsid w:val="00EA3305"/>
    <w:rsid w:val="00EA349B"/>
    <w:rsid w:val="00EA3611"/>
    <w:rsid w:val="00EA36DB"/>
    <w:rsid w:val="00EA3A72"/>
    <w:rsid w:val="00EA3EB3"/>
    <w:rsid w:val="00EA4195"/>
    <w:rsid w:val="00EA41FE"/>
    <w:rsid w:val="00EA4672"/>
    <w:rsid w:val="00EA476C"/>
    <w:rsid w:val="00EA4A60"/>
    <w:rsid w:val="00EA4AAB"/>
    <w:rsid w:val="00EA4F7A"/>
    <w:rsid w:val="00EA5A81"/>
    <w:rsid w:val="00EA5C63"/>
    <w:rsid w:val="00EA638F"/>
    <w:rsid w:val="00EA6588"/>
    <w:rsid w:val="00EA6685"/>
    <w:rsid w:val="00EA683E"/>
    <w:rsid w:val="00EA7868"/>
    <w:rsid w:val="00EA78C2"/>
    <w:rsid w:val="00EA79E8"/>
    <w:rsid w:val="00EA7EEB"/>
    <w:rsid w:val="00EB0370"/>
    <w:rsid w:val="00EB05AD"/>
    <w:rsid w:val="00EB07A2"/>
    <w:rsid w:val="00EB07AF"/>
    <w:rsid w:val="00EB0A24"/>
    <w:rsid w:val="00EB0E78"/>
    <w:rsid w:val="00EB0FB9"/>
    <w:rsid w:val="00EB11E1"/>
    <w:rsid w:val="00EB1354"/>
    <w:rsid w:val="00EB17DD"/>
    <w:rsid w:val="00EB17FE"/>
    <w:rsid w:val="00EB189F"/>
    <w:rsid w:val="00EB1A4E"/>
    <w:rsid w:val="00EB1C01"/>
    <w:rsid w:val="00EB1F57"/>
    <w:rsid w:val="00EB25F4"/>
    <w:rsid w:val="00EB268B"/>
    <w:rsid w:val="00EB2C03"/>
    <w:rsid w:val="00EB2CA5"/>
    <w:rsid w:val="00EB300D"/>
    <w:rsid w:val="00EB3205"/>
    <w:rsid w:val="00EB32F6"/>
    <w:rsid w:val="00EB3356"/>
    <w:rsid w:val="00EB393F"/>
    <w:rsid w:val="00EB3BC2"/>
    <w:rsid w:val="00EB3CD3"/>
    <w:rsid w:val="00EB3D4D"/>
    <w:rsid w:val="00EB3DC2"/>
    <w:rsid w:val="00EB41B4"/>
    <w:rsid w:val="00EB44F2"/>
    <w:rsid w:val="00EB5093"/>
    <w:rsid w:val="00EB52A7"/>
    <w:rsid w:val="00EB52BC"/>
    <w:rsid w:val="00EB5D04"/>
    <w:rsid w:val="00EB63E7"/>
    <w:rsid w:val="00EB6B4D"/>
    <w:rsid w:val="00EB6E16"/>
    <w:rsid w:val="00EB72C9"/>
    <w:rsid w:val="00EB7352"/>
    <w:rsid w:val="00EB7649"/>
    <w:rsid w:val="00EB7E3E"/>
    <w:rsid w:val="00EB7E7C"/>
    <w:rsid w:val="00EB7EB3"/>
    <w:rsid w:val="00EB7F8A"/>
    <w:rsid w:val="00EC050F"/>
    <w:rsid w:val="00EC0872"/>
    <w:rsid w:val="00EC0FD7"/>
    <w:rsid w:val="00EC12F0"/>
    <w:rsid w:val="00EC172E"/>
    <w:rsid w:val="00EC1DAD"/>
    <w:rsid w:val="00EC1DC5"/>
    <w:rsid w:val="00EC1F9E"/>
    <w:rsid w:val="00EC2129"/>
    <w:rsid w:val="00EC245E"/>
    <w:rsid w:val="00EC284D"/>
    <w:rsid w:val="00EC29F7"/>
    <w:rsid w:val="00EC32F4"/>
    <w:rsid w:val="00EC33CE"/>
    <w:rsid w:val="00EC3807"/>
    <w:rsid w:val="00EC3B5F"/>
    <w:rsid w:val="00EC3B8B"/>
    <w:rsid w:val="00EC3BF8"/>
    <w:rsid w:val="00EC3F20"/>
    <w:rsid w:val="00EC4364"/>
    <w:rsid w:val="00EC4422"/>
    <w:rsid w:val="00EC4726"/>
    <w:rsid w:val="00EC4CD6"/>
    <w:rsid w:val="00EC5560"/>
    <w:rsid w:val="00EC56BC"/>
    <w:rsid w:val="00EC584E"/>
    <w:rsid w:val="00EC5C00"/>
    <w:rsid w:val="00EC5D63"/>
    <w:rsid w:val="00EC68C8"/>
    <w:rsid w:val="00EC69F6"/>
    <w:rsid w:val="00EC6A3C"/>
    <w:rsid w:val="00EC6B72"/>
    <w:rsid w:val="00EC6CC4"/>
    <w:rsid w:val="00EC721E"/>
    <w:rsid w:val="00EC7452"/>
    <w:rsid w:val="00EC7758"/>
    <w:rsid w:val="00EC77D6"/>
    <w:rsid w:val="00EC7B90"/>
    <w:rsid w:val="00EC7C8E"/>
    <w:rsid w:val="00ED0244"/>
    <w:rsid w:val="00ED0327"/>
    <w:rsid w:val="00ED06DC"/>
    <w:rsid w:val="00ED07BD"/>
    <w:rsid w:val="00ED0AB1"/>
    <w:rsid w:val="00ED0AD5"/>
    <w:rsid w:val="00ED0E01"/>
    <w:rsid w:val="00ED0ED3"/>
    <w:rsid w:val="00ED0F00"/>
    <w:rsid w:val="00ED15DB"/>
    <w:rsid w:val="00ED17D0"/>
    <w:rsid w:val="00ED2060"/>
    <w:rsid w:val="00ED246C"/>
    <w:rsid w:val="00ED371E"/>
    <w:rsid w:val="00ED3812"/>
    <w:rsid w:val="00ED3C8B"/>
    <w:rsid w:val="00ED3CB2"/>
    <w:rsid w:val="00ED4885"/>
    <w:rsid w:val="00ED4BE6"/>
    <w:rsid w:val="00ED4E30"/>
    <w:rsid w:val="00ED5630"/>
    <w:rsid w:val="00ED5709"/>
    <w:rsid w:val="00ED5A6F"/>
    <w:rsid w:val="00ED5A97"/>
    <w:rsid w:val="00ED5DED"/>
    <w:rsid w:val="00ED7086"/>
    <w:rsid w:val="00ED75D5"/>
    <w:rsid w:val="00ED7726"/>
    <w:rsid w:val="00ED772D"/>
    <w:rsid w:val="00ED7801"/>
    <w:rsid w:val="00ED7A66"/>
    <w:rsid w:val="00ED7B8F"/>
    <w:rsid w:val="00ED7DA2"/>
    <w:rsid w:val="00EE0061"/>
    <w:rsid w:val="00EE00C6"/>
    <w:rsid w:val="00EE0383"/>
    <w:rsid w:val="00EE049D"/>
    <w:rsid w:val="00EE073B"/>
    <w:rsid w:val="00EE1371"/>
    <w:rsid w:val="00EE13F0"/>
    <w:rsid w:val="00EE1403"/>
    <w:rsid w:val="00EE168E"/>
    <w:rsid w:val="00EE1A70"/>
    <w:rsid w:val="00EE200B"/>
    <w:rsid w:val="00EE214A"/>
    <w:rsid w:val="00EE23CD"/>
    <w:rsid w:val="00EE29DD"/>
    <w:rsid w:val="00EE2C45"/>
    <w:rsid w:val="00EE3078"/>
    <w:rsid w:val="00EE32DF"/>
    <w:rsid w:val="00EE32F1"/>
    <w:rsid w:val="00EE35AE"/>
    <w:rsid w:val="00EE37FE"/>
    <w:rsid w:val="00EE3800"/>
    <w:rsid w:val="00EE3AB8"/>
    <w:rsid w:val="00EE3B53"/>
    <w:rsid w:val="00EE3BC5"/>
    <w:rsid w:val="00EE4330"/>
    <w:rsid w:val="00EE4336"/>
    <w:rsid w:val="00EE4478"/>
    <w:rsid w:val="00EE44C7"/>
    <w:rsid w:val="00EE46D0"/>
    <w:rsid w:val="00EE4748"/>
    <w:rsid w:val="00EE4B49"/>
    <w:rsid w:val="00EE4DE0"/>
    <w:rsid w:val="00EE50A0"/>
    <w:rsid w:val="00EE525D"/>
    <w:rsid w:val="00EE53BF"/>
    <w:rsid w:val="00EE53CA"/>
    <w:rsid w:val="00EE544C"/>
    <w:rsid w:val="00EE5497"/>
    <w:rsid w:val="00EE54E1"/>
    <w:rsid w:val="00EE5B96"/>
    <w:rsid w:val="00EE62EF"/>
    <w:rsid w:val="00EE66A0"/>
    <w:rsid w:val="00EE6AAA"/>
    <w:rsid w:val="00EE6C3D"/>
    <w:rsid w:val="00EE7733"/>
    <w:rsid w:val="00EE7D88"/>
    <w:rsid w:val="00EF0986"/>
    <w:rsid w:val="00EF115A"/>
    <w:rsid w:val="00EF184B"/>
    <w:rsid w:val="00EF20E2"/>
    <w:rsid w:val="00EF2D48"/>
    <w:rsid w:val="00EF2F6F"/>
    <w:rsid w:val="00EF449B"/>
    <w:rsid w:val="00EF4A2B"/>
    <w:rsid w:val="00EF4BEF"/>
    <w:rsid w:val="00EF4E17"/>
    <w:rsid w:val="00EF4F55"/>
    <w:rsid w:val="00EF5657"/>
    <w:rsid w:val="00EF59AE"/>
    <w:rsid w:val="00EF5D28"/>
    <w:rsid w:val="00EF5E2B"/>
    <w:rsid w:val="00EF5F0B"/>
    <w:rsid w:val="00EF6AB0"/>
    <w:rsid w:val="00EF6BB5"/>
    <w:rsid w:val="00EF706B"/>
    <w:rsid w:val="00EF7260"/>
    <w:rsid w:val="00EF7727"/>
    <w:rsid w:val="00EF798B"/>
    <w:rsid w:val="00F0091B"/>
    <w:rsid w:val="00F00A81"/>
    <w:rsid w:val="00F00CF6"/>
    <w:rsid w:val="00F00E7B"/>
    <w:rsid w:val="00F011E7"/>
    <w:rsid w:val="00F01354"/>
    <w:rsid w:val="00F014D0"/>
    <w:rsid w:val="00F0163C"/>
    <w:rsid w:val="00F01774"/>
    <w:rsid w:val="00F018E8"/>
    <w:rsid w:val="00F019B5"/>
    <w:rsid w:val="00F01C5A"/>
    <w:rsid w:val="00F0204A"/>
    <w:rsid w:val="00F020C0"/>
    <w:rsid w:val="00F02223"/>
    <w:rsid w:val="00F02450"/>
    <w:rsid w:val="00F02973"/>
    <w:rsid w:val="00F02A17"/>
    <w:rsid w:val="00F02B6B"/>
    <w:rsid w:val="00F02CEF"/>
    <w:rsid w:val="00F0304B"/>
    <w:rsid w:val="00F03141"/>
    <w:rsid w:val="00F031E7"/>
    <w:rsid w:val="00F03C46"/>
    <w:rsid w:val="00F03D9B"/>
    <w:rsid w:val="00F03E19"/>
    <w:rsid w:val="00F04441"/>
    <w:rsid w:val="00F045E9"/>
    <w:rsid w:val="00F04A7C"/>
    <w:rsid w:val="00F04AA8"/>
    <w:rsid w:val="00F04B91"/>
    <w:rsid w:val="00F04DF0"/>
    <w:rsid w:val="00F0587C"/>
    <w:rsid w:val="00F06065"/>
    <w:rsid w:val="00F06686"/>
    <w:rsid w:val="00F066E0"/>
    <w:rsid w:val="00F066E8"/>
    <w:rsid w:val="00F06866"/>
    <w:rsid w:val="00F07295"/>
    <w:rsid w:val="00F073BD"/>
    <w:rsid w:val="00F07DDF"/>
    <w:rsid w:val="00F1046C"/>
    <w:rsid w:val="00F107A7"/>
    <w:rsid w:val="00F10C08"/>
    <w:rsid w:val="00F1126B"/>
    <w:rsid w:val="00F11305"/>
    <w:rsid w:val="00F1173A"/>
    <w:rsid w:val="00F11871"/>
    <w:rsid w:val="00F118D4"/>
    <w:rsid w:val="00F11CE3"/>
    <w:rsid w:val="00F11ECE"/>
    <w:rsid w:val="00F12081"/>
    <w:rsid w:val="00F12356"/>
    <w:rsid w:val="00F1246E"/>
    <w:rsid w:val="00F125D7"/>
    <w:rsid w:val="00F12B3E"/>
    <w:rsid w:val="00F12EEB"/>
    <w:rsid w:val="00F12F72"/>
    <w:rsid w:val="00F131F3"/>
    <w:rsid w:val="00F1320E"/>
    <w:rsid w:val="00F1338C"/>
    <w:rsid w:val="00F136CD"/>
    <w:rsid w:val="00F13810"/>
    <w:rsid w:val="00F13FAD"/>
    <w:rsid w:val="00F14197"/>
    <w:rsid w:val="00F14610"/>
    <w:rsid w:val="00F1471C"/>
    <w:rsid w:val="00F151B7"/>
    <w:rsid w:val="00F152B6"/>
    <w:rsid w:val="00F15ADC"/>
    <w:rsid w:val="00F15F11"/>
    <w:rsid w:val="00F168FE"/>
    <w:rsid w:val="00F16B90"/>
    <w:rsid w:val="00F16C47"/>
    <w:rsid w:val="00F16D05"/>
    <w:rsid w:val="00F1705C"/>
    <w:rsid w:val="00F172BC"/>
    <w:rsid w:val="00F1792A"/>
    <w:rsid w:val="00F17CD8"/>
    <w:rsid w:val="00F2017F"/>
    <w:rsid w:val="00F20643"/>
    <w:rsid w:val="00F21005"/>
    <w:rsid w:val="00F21655"/>
    <w:rsid w:val="00F21A20"/>
    <w:rsid w:val="00F21DA2"/>
    <w:rsid w:val="00F21E03"/>
    <w:rsid w:val="00F220C4"/>
    <w:rsid w:val="00F2213B"/>
    <w:rsid w:val="00F221B8"/>
    <w:rsid w:val="00F22236"/>
    <w:rsid w:val="00F224D9"/>
    <w:rsid w:val="00F22520"/>
    <w:rsid w:val="00F226DF"/>
    <w:rsid w:val="00F22A5F"/>
    <w:rsid w:val="00F22C36"/>
    <w:rsid w:val="00F22CEE"/>
    <w:rsid w:val="00F23115"/>
    <w:rsid w:val="00F2342A"/>
    <w:rsid w:val="00F236B5"/>
    <w:rsid w:val="00F23904"/>
    <w:rsid w:val="00F23981"/>
    <w:rsid w:val="00F23FE9"/>
    <w:rsid w:val="00F24236"/>
    <w:rsid w:val="00F25068"/>
    <w:rsid w:val="00F25119"/>
    <w:rsid w:val="00F2527A"/>
    <w:rsid w:val="00F256EB"/>
    <w:rsid w:val="00F257E8"/>
    <w:rsid w:val="00F26161"/>
    <w:rsid w:val="00F261AF"/>
    <w:rsid w:val="00F26A3A"/>
    <w:rsid w:val="00F26C5E"/>
    <w:rsid w:val="00F271B8"/>
    <w:rsid w:val="00F2722B"/>
    <w:rsid w:val="00F2786A"/>
    <w:rsid w:val="00F27DDE"/>
    <w:rsid w:val="00F302A0"/>
    <w:rsid w:val="00F303BD"/>
    <w:rsid w:val="00F31013"/>
    <w:rsid w:val="00F31C8C"/>
    <w:rsid w:val="00F31DC5"/>
    <w:rsid w:val="00F31FF2"/>
    <w:rsid w:val="00F3233E"/>
    <w:rsid w:val="00F3257B"/>
    <w:rsid w:val="00F335D5"/>
    <w:rsid w:val="00F33C06"/>
    <w:rsid w:val="00F34B64"/>
    <w:rsid w:val="00F35243"/>
    <w:rsid w:val="00F3533F"/>
    <w:rsid w:val="00F35E95"/>
    <w:rsid w:val="00F36404"/>
    <w:rsid w:val="00F371E8"/>
    <w:rsid w:val="00F3725B"/>
    <w:rsid w:val="00F37487"/>
    <w:rsid w:val="00F37812"/>
    <w:rsid w:val="00F37D37"/>
    <w:rsid w:val="00F37FD1"/>
    <w:rsid w:val="00F40308"/>
    <w:rsid w:val="00F409D4"/>
    <w:rsid w:val="00F40AA2"/>
    <w:rsid w:val="00F40CBA"/>
    <w:rsid w:val="00F40EA2"/>
    <w:rsid w:val="00F4105F"/>
    <w:rsid w:val="00F411F2"/>
    <w:rsid w:val="00F41441"/>
    <w:rsid w:val="00F417A0"/>
    <w:rsid w:val="00F418E0"/>
    <w:rsid w:val="00F41A07"/>
    <w:rsid w:val="00F41DD5"/>
    <w:rsid w:val="00F423A6"/>
    <w:rsid w:val="00F42435"/>
    <w:rsid w:val="00F42C8B"/>
    <w:rsid w:val="00F42F1B"/>
    <w:rsid w:val="00F434AF"/>
    <w:rsid w:val="00F43626"/>
    <w:rsid w:val="00F43E3C"/>
    <w:rsid w:val="00F43F11"/>
    <w:rsid w:val="00F43F3E"/>
    <w:rsid w:val="00F44545"/>
    <w:rsid w:val="00F45027"/>
    <w:rsid w:val="00F45123"/>
    <w:rsid w:val="00F452AE"/>
    <w:rsid w:val="00F4542A"/>
    <w:rsid w:val="00F45A96"/>
    <w:rsid w:val="00F46516"/>
    <w:rsid w:val="00F467AE"/>
    <w:rsid w:val="00F46A85"/>
    <w:rsid w:val="00F46B23"/>
    <w:rsid w:val="00F46CE2"/>
    <w:rsid w:val="00F4704C"/>
    <w:rsid w:val="00F470AB"/>
    <w:rsid w:val="00F47139"/>
    <w:rsid w:val="00F472B7"/>
    <w:rsid w:val="00F472CB"/>
    <w:rsid w:val="00F47C61"/>
    <w:rsid w:val="00F5035D"/>
    <w:rsid w:val="00F504F7"/>
    <w:rsid w:val="00F50546"/>
    <w:rsid w:val="00F5062C"/>
    <w:rsid w:val="00F50970"/>
    <w:rsid w:val="00F509F6"/>
    <w:rsid w:val="00F50CAE"/>
    <w:rsid w:val="00F510CA"/>
    <w:rsid w:val="00F51D9C"/>
    <w:rsid w:val="00F522DC"/>
    <w:rsid w:val="00F52C5D"/>
    <w:rsid w:val="00F52C6C"/>
    <w:rsid w:val="00F52E13"/>
    <w:rsid w:val="00F532E0"/>
    <w:rsid w:val="00F537B8"/>
    <w:rsid w:val="00F54592"/>
    <w:rsid w:val="00F546E5"/>
    <w:rsid w:val="00F54860"/>
    <w:rsid w:val="00F552E8"/>
    <w:rsid w:val="00F55365"/>
    <w:rsid w:val="00F55422"/>
    <w:rsid w:val="00F55D3A"/>
    <w:rsid w:val="00F55DD3"/>
    <w:rsid w:val="00F55F2C"/>
    <w:rsid w:val="00F56282"/>
    <w:rsid w:val="00F564AF"/>
    <w:rsid w:val="00F5653B"/>
    <w:rsid w:val="00F56B1A"/>
    <w:rsid w:val="00F56B94"/>
    <w:rsid w:val="00F56FC9"/>
    <w:rsid w:val="00F57630"/>
    <w:rsid w:val="00F57E39"/>
    <w:rsid w:val="00F604F4"/>
    <w:rsid w:val="00F607A6"/>
    <w:rsid w:val="00F60950"/>
    <w:rsid w:val="00F613C9"/>
    <w:rsid w:val="00F61546"/>
    <w:rsid w:val="00F61974"/>
    <w:rsid w:val="00F61D01"/>
    <w:rsid w:val="00F61E6B"/>
    <w:rsid w:val="00F61EC4"/>
    <w:rsid w:val="00F61F36"/>
    <w:rsid w:val="00F620A2"/>
    <w:rsid w:val="00F6271A"/>
    <w:rsid w:val="00F62DD8"/>
    <w:rsid w:val="00F62F1C"/>
    <w:rsid w:val="00F642E1"/>
    <w:rsid w:val="00F64BE8"/>
    <w:rsid w:val="00F64CA4"/>
    <w:rsid w:val="00F64F9E"/>
    <w:rsid w:val="00F650C9"/>
    <w:rsid w:val="00F65ACC"/>
    <w:rsid w:val="00F66150"/>
    <w:rsid w:val="00F6624D"/>
    <w:rsid w:val="00F6653F"/>
    <w:rsid w:val="00F668F8"/>
    <w:rsid w:val="00F66927"/>
    <w:rsid w:val="00F66A46"/>
    <w:rsid w:val="00F66FAA"/>
    <w:rsid w:val="00F67397"/>
    <w:rsid w:val="00F6792D"/>
    <w:rsid w:val="00F67D61"/>
    <w:rsid w:val="00F67EA6"/>
    <w:rsid w:val="00F70A8D"/>
    <w:rsid w:val="00F70D5E"/>
    <w:rsid w:val="00F70E24"/>
    <w:rsid w:val="00F70F02"/>
    <w:rsid w:val="00F716D1"/>
    <w:rsid w:val="00F71A27"/>
    <w:rsid w:val="00F71C6C"/>
    <w:rsid w:val="00F72468"/>
    <w:rsid w:val="00F7282F"/>
    <w:rsid w:val="00F729EE"/>
    <w:rsid w:val="00F72F7C"/>
    <w:rsid w:val="00F72F86"/>
    <w:rsid w:val="00F73056"/>
    <w:rsid w:val="00F73717"/>
    <w:rsid w:val="00F7372A"/>
    <w:rsid w:val="00F740B9"/>
    <w:rsid w:val="00F743FC"/>
    <w:rsid w:val="00F747EA"/>
    <w:rsid w:val="00F75481"/>
    <w:rsid w:val="00F75526"/>
    <w:rsid w:val="00F75A7E"/>
    <w:rsid w:val="00F75D18"/>
    <w:rsid w:val="00F76137"/>
    <w:rsid w:val="00F76352"/>
    <w:rsid w:val="00F765E0"/>
    <w:rsid w:val="00F76735"/>
    <w:rsid w:val="00F76A4E"/>
    <w:rsid w:val="00F76C0D"/>
    <w:rsid w:val="00F7767A"/>
    <w:rsid w:val="00F7778C"/>
    <w:rsid w:val="00F77A0B"/>
    <w:rsid w:val="00F77D97"/>
    <w:rsid w:val="00F80221"/>
    <w:rsid w:val="00F80921"/>
    <w:rsid w:val="00F810B2"/>
    <w:rsid w:val="00F810FB"/>
    <w:rsid w:val="00F81331"/>
    <w:rsid w:val="00F8152A"/>
    <w:rsid w:val="00F815B0"/>
    <w:rsid w:val="00F81859"/>
    <w:rsid w:val="00F81A2E"/>
    <w:rsid w:val="00F81B05"/>
    <w:rsid w:val="00F81D3F"/>
    <w:rsid w:val="00F82659"/>
    <w:rsid w:val="00F829BA"/>
    <w:rsid w:val="00F82ACA"/>
    <w:rsid w:val="00F8300A"/>
    <w:rsid w:val="00F83070"/>
    <w:rsid w:val="00F835BB"/>
    <w:rsid w:val="00F83F16"/>
    <w:rsid w:val="00F8424D"/>
    <w:rsid w:val="00F84462"/>
    <w:rsid w:val="00F8502A"/>
    <w:rsid w:val="00F854D1"/>
    <w:rsid w:val="00F85FAA"/>
    <w:rsid w:val="00F85FC5"/>
    <w:rsid w:val="00F8600E"/>
    <w:rsid w:val="00F86029"/>
    <w:rsid w:val="00F8664E"/>
    <w:rsid w:val="00F86BC6"/>
    <w:rsid w:val="00F86C78"/>
    <w:rsid w:val="00F87056"/>
    <w:rsid w:val="00F870AE"/>
    <w:rsid w:val="00F8716B"/>
    <w:rsid w:val="00F87330"/>
    <w:rsid w:val="00F876F1"/>
    <w:rsid w:val="00F877AB"/>
    <w:rsid w:val="00F87A69"/>
    <w:rsid w:val="00F87B6F"/>
    <w:rsid w:val="00F9023C"/>
    <w:rsid w:val="00F90ABB"/>
    <w:rsid w:val="00F910E4"/>
    <w:rsid w:val="00F91104"/>
    <w:rsid w:val="00F911ED"/>
    <w:rsid w:val="00F91A46"/>
    <w:rsid w:val="00F91A55"/>
    <w:rsid w:val="00F91BF6"/>
    <w:rsid w:val="00F91C0B"/>
    <w:rsid w:val="00F91D11"/>
    <w:rsid w:val="00F91EF7"/>
    <w:rsid w:val="00F9211D"/>
    <w:rsid w:val="00F9212A"/>
    <w:rsid w:val="00F92F0C"/>
    <w:rsid w:val="00F93002"/>
    <w:rsid w:val="00F9322C"/>
    <w:rsid w:val="00F936C3"/>
    <w:rsid w:val="00F937CA"/>
    <w:rsid w:val="00F93881"/>
    <w:rsid w:val="00F945F7"/>
    <w:rsid w:val="00F946F5"/>
    <w:rsid w:val="00F94846"/>
    <w:rsid w:val="00F94A2D"/>
    <w:rsid w:val="00F94AF3"/>
    <w:rsid w:val="00F94BA0"/>
    <w:rsid w:val="00F94E9E"/>
    <w:rsid w:val="00F950E9"/>
    <w:rsid w:val="00F9547C"/>
    <w:rsid w:val="00F95544"/>
    <w:rsid w:val="00F957FA"/>
    <w:rsid w:val="00F9585F"/>
    <w:rsid w:val="00F95A15"/>
    <w:rsid w:val="00F95F2F"/>
    <w:rsid w:val="00F95F40"/>
    <w:rsid w:val="00F95F99"/>
    <w:rsid w:val="00F966EE"/>
    <w:rsid w:val="00F96C01"/>
    <w:rsid w:val="00F970A2"/>
    <w:rsid w:val="00F97135"/>
    <w:rsid w:val="00F97BA5"/>
    <w:rsid w:val="00F97C2C"/>
    <w:rsid w:val="00F97D23"/>
    <w:rsid w:val="00F97FFC"/>
    <w:rsid w:val="00FA0066"/>
    <w:rsid w:val="00FA04A5"/>
    <w:rsid w:val="00FA0C06"/>
    <w:rsid w:val="00FA0F5E"/>
    <w:rsid w:val="00FA0FFF"/>
    <w:rsid w:val="00FA12C8"/>
    <w:rsid w:val="00FA13F5"/>
    <w:rsid w:val="00FA178E"/>
    <w:rsid w:val="00FA1997"/>
    <w:rsid w:val="00FA1C55"/>
    <w:rsid w:val="00FA2507"/>
    <w:rsid w:val="00FA27B4"/>
    <w:rsid w:val="00FA2DCE"/>
    <w:rsid w:val="00FA30EC"/>
    <w:rsid w:val="00FA31D3"/>
    <w:rsid w:val="00FA334F"/>
    <w:rsid w:val="00FA353B"/>
    <w:rsid w:val="00FA35F7"/>
    <w:rsid w:val="00FA36EE"/>
    <w:rsid w:val="00FA3CE9"/>
    <w:rsid w:val="00FA3E70"/>
    <w:rsid w:val="00FA4CBF"/>
    <w:rsid w:val="00FA4E4B"/>
    <w:rsid w:val="00FA4EC0"/>
    <w:rsid w:val="00FA54B9"/>
    <w:rsid w:val="00FA5551"/>
    <w:rsid w:val="00FA5B3B"/>
    <w:rsid w:val="00FA66D6"/>
    <w:rsid w:val="00FA6BCD"/>
    <w:rsid w:val="00FA6D9F"/>
    <w:rsid w:val="00FA6E1E"/>
    <w:rsid w:val="00FA70CF"/>
    <w:rsid w:val="00FA7AA7"/>
    <w:rsid w:val="00FA7D64"/>
    <w:rsid w:val="00FA7E1D"/>
    <w:rsid w:val="00FA7F47"/>
    <w:rsid w:val="00FB034B"/>
    <w:rsid w:val="00FB07EA"/>
    <w:rsid w:val="00FB07FA"/>
    <w:rsid w:val="00FB0932"/>
    <w:rsid w:val="00FB0980"/>
    <w:rsid w:val="00FB0DE3"/>
    <w:rsid w:val="00FB0FED"/>
    <w:rsid w:val="00FB1098"/>
    <w:rsid w:val="00FB117D"/>
    <w:rsid w:val="00FB139B"/>
    <w:rsid w:val="00FB153C"/>
    <w:rsid w:val="00FB1886"/>
    <w:rsid w:val="00FB2116"/>
    <w:rsid w:val="00FB2230"/>
    <w:rsid w:val="00FB2686"/>
    <w:rsid w:val="00FB2A88"/>
    <w:rsid w:val="00FB3611"/>
    <w:rsid w:val="00FB3C15"/>
    <w:rsid w:val="00FB4521"/>
    <w:rsid w:val="00FB48D4"/>
    <w:rsid w:val="00FB4B4C"/>
    <w:rsid w:val="00FB4E81"/>
    <w:rsid w:val="00FB5514"/>
    <w:rsid w:val="00FB596B"/>
    <w:rsid w:val="00FB6279"/>
    <w:rsid w:val="00FB62BD"/>
    <w:rsid w:val="00FB6384"/>
    <w:rsid w:val="00FB6797"/>
    <w:rsid w:val="00FB67DB"/>
    <w:rsid w:val="00FB6C54"/>
    <w:rsid w:val="00FB705A"/>
    <w:rsid w:val="00FB759E"/>
    <w:rsid w:val="00FB7819"/>
    <w:rsid w:val="00FB7D57"/>
    <w:rsid w:val="00FC0786"/>
    <w:rsid w:val="00FC0AD4"/>
    <w:rsid w:val="00FC0CFB"/>
    <w:rsid w:val="00FC11A6"/>
    <w:rsid w:val="00FC1567"/>
    <w:rsid w:val="00FC15FB"/>
    <w:rsid w:val="00FC180E"/>
    <w:rsid w:val="00FC1B09"/>
    <w:rsid w:val="00FC1B19"/>
    <w:rsid w:val="00FC1BC5"/>
    <w:rsid w:val="00FC1CAC"/>
    <w:rsid w:val="00FC1DCC"/>
    <w:rsid w:val="00FC25A9"/>
    <w:rsid w:val="00FC273C"/>
    <w:rsid w:val="00FC2B15"/>
    <w:rsid w:val="00FC2B37"/>
    <w:rsid w:val="00FC311E"/>
    <w:rsid w:val="00FC387A"/>
    <w:rsid w:val="00FC3B46"/>
    <w:rsid w:val="00FC3B9E"/>
    <w:rsid w:val="00FC403A"/>
    <w:rsid w:val="00FC4331"/>
    <w:rsid w:val="00FC463C"/>
    <w:rsid w:val="00FC5209"/>
    <w:rsid w:val="00FC59A2"/>
    <w:rsid w:val="00FC5DE0"/>
    <w:rsid w:val="00FC5F73"/>
    <w:rsid w:val="00FC61C2"/>
    <w:rsid w:val="00FC62CC"/>
    <w:rsid w:val="00FC6992"/>
    <w:rsid w:val="00FC6F2B"/>
    <w:rsid w:val="00FC744F"/>
    <w:rsid w:val="00FC7692"/>
    <w:rsid w:val="00FC796A"/>
    <w:rsid w:val="00FC7A99"/>
    <w:rsid w:val="00FC7AA2"/>
    <w:rsid w:val="00FD00B6"/>
    <w:rsid w:val="00FD0242"/>
    <w:rsid w:val="00FD0261"/>
    <w:rsid w:val="00FD028A"/>
    <w:rsid w:val="00FD0888"/>
    <w:rsid w:val="00FD09B8"/>
    <w:rsid w:val="00FD0A4A"/>
    <w:rsid w:val="00FD0D5F"/>
    <w:rsid w:val="00FD0E94"/>
    <w:rsid w:val="00FD23E1"/>
    <w:rsid w:val="00FD243F"/>
    <w:rsid w:val="00FD254C"/>
    <w:rsid w:val="00FD2BAA"/>
    <w:rsid w:val="00FD2FFC"/>
    <w:rsid w:val="00FD31CA"/>
    <w:rsid w:val="00FD3455"/>
    <w:rsid w:val="00FD3C5D"/>
    <w:rsid w:val="00FD3F4F"/>
    <w:rsid w:val="00FD42DA"/>
    <w:rsid w:val="00FD44BE"/>
    <w:rsid w:val="00FD46AA"/>
    <w:rsid w:val="00FD4B41"/>
    <w:rsid w:val="00FD4D05"/>
    <w:rsid w:val="00FD4F08"/>
    <w:rsid w:val="00FD505B"/>
    <w:rsid w:val="00FD5D6A"/>
    <w:rsid w:val="00FD5F6D"/>
    <w:rsid w:val="00FD5FDE"/>
    <w:rsid w:val="00FD6051"/>
    <w:rsid w:val="00FD606D"/>
    <w:rsid w:val="00FD619C"/>
    <w:rsid w:val="00FD63EE"/>
    <w:rsid w:val="00FD694D"/>
    <w:rsid w:val="00FD6AF7"/>
    <w:rsid w:val="00FD7767"/>
    <w:rsid w:val="00FD7C10"/>
    <w:rsid w:val="00FD7D24"/>
    <w:rsid w:val="00FD7DD0"/>
    <w:rsid w:val="00FD7F3A"/>
    <w:rsid w:val="00FE02F9"/>
    <w:rsid w:val="00FE04D3"/>
    <w:rsid w:val="00FE05A6"/>
    <w:rsid w:val="00FE0B35"/>
    <w:rsid w:val="00FE0B70"/>
    <w:rsid w:val="00FE0BF2"/>
    <w:rsid w:val="00FE0FDF"/>
    <w:rsid w:val="00FE1109"/>
    <w:rsid w:val="00FE14B7"/>
    <w:rsid w:val="00FE1822"/>
    <w:rsid w:val="00FE18F9"/>
    <w:rsid w:val="00FE1C68"/>
    <w:rsid w:val="00FE1D16"/>
    <w:rsid w:val="00FE1D75"/>
    <w:rsid w:val="00FE2064"/>
    <w:rsid w:val="00FE2268"/>
    <w:rsid w:val="00FE3582"/>
    <w:rsid w:val="00FE36C0"/>
    <w:rsid w:val="00FE3836"/>
    <w:rsid w:val="00FE3A4D"/>
    <w:rsid w:val="00FE3BBC"/>
    <w:rsid w:val="00FE3EE8"/>
    <w:rsid w:val="00FE4425"/>
    <w:rsid w:val="00FE4655"/>
    <w:rsid w:val="00FE560B"/>
    <w:rsid w:val="00FE5F78"/>
    <w:rsid w:val="00FE6081"/>
    <w:rsid w:val="00FE6229"/>
    <w:rsid w:val="00FE6363"/>
    <w:rsid w:val="00FE64E3"/>
    <w:rsid w:val="00FE6522"/>
    <w:rsid w:val="00FE69FE"/>
    <w:rsid w:val="00FE7184"/>
    <w:rsid w:val="00FE798A"/>
    <w:rsid w:val="00FE7AB9"/>
    <w:rsid w:val="00FE7AE3"/>
    <w:rsid w:val="00FE7D43"/>
    <w:rsid w:val="00FF02ED"/>
    <w:rsid w:val="00FF041C"/>
    <w:rsid w:val="00FF0449"/>
    <w:rsid w:val="00FF049D"/>
    <w:rsid w:val="00FF07DD"/>
    <w:rsid w:val="00FF1058"/>
    <w:rsid w:val="00FF10FA"/>
    <w:rsid w:val="00FF1375"/>
    <w:rsid w:val="00FF176F"/>
    <w:rsid w:val="00FF1783"/>
    <w:rsid w:val="00FF1CC5"/>
    <w:rsid w:val="00FF1E76"/>
    <w:rsid w:val="00FF2859"/>
    <w:rsid w:val="00FF2EBA"/>
    <w:rsid w:val="00FF2FF3"/>
    <w:rsid w:val="00FF3731"/>
    <w:rsid w:val="00FF3943"/>
    <w:rsid w:val="00FF3FF4"/>
    <w:rsid w:val="00FF42CD"/>
    <w:rsid w:val="00FF4429"/>
    <w:rsid w:val="00FF4445"/>
    <w:rsid w:val="00FF4495"/>
    <w:rsid w:val="00FF45B6"/>
    <w:rsid w:val="00FF4C11"/>
    <w:rsid w:val="00FF4D21"/>
    <w:rsid w:val="00FF521E"/>
    <w:rsid w:val="00FF6135"/>
    <w:rsid w:val="00FF63B3"/>
    <w:rsid w:val="00FF6464"/>
    <w:rsid w:val="00FF675F"/>
    <w:rsid w:val="00FF6A42"/>
    <w:rsid w:val="00FF6CB4"/>
    <w:rsid w:val="00FF6FF5"/>
    <w:rsid w:val="00FF7136"/>
    <w:rsid w:val="00FF735D"/>
    <w:rsid w:val="00FF7B85"/>
    <w:rsid w:val="2533E7F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62A3"/>
  <w15:docId w15:val="{DE219CA6-4950-429A-B4E7-1977575A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4DB"/>
    <w:rPr>
      <w:rFonts w:ascii="Arial" w:eastAsiaTheme="minorEastAsia" w:hAnsi="Arial"/>
      <w:szCs w:val="24"/>
      <w:lang w:eastAsia="ja-JP"/>
    </w:rPr>
  </w:style>
  <w:style w:type="paragraph" w:styleId="Heading1">
    <w:name w:val="heading 1"/>
    <w:basedOn w:val="Normal"/>
    <w:next w:val="Normal"/>
    <w:link w:val="Heading1Char"/>
    <w:uiPriority w:val="9"/>
    <w:qFormat/>
    <w:rsid w:val="009679B3"/>
    <w:pPr>
      <w:spacing w:before="600" w:after="300"/>
      <w:outlineLvl w:val="0"/>
    </w:pPr>
    <w:rPr>
      <w:b/>
      <w:color w:val="6B2976" w:themeColor="background2"/>
      <w:sz w:val="36"/>
      <w:szCs w:val="36"/>
    </w:rPr>
  </w:style>
  <w:style w:type="paragraph" w:styleId="Heading2">
    <w:name w:val="heading 2"/>
    <w:basedOn w:val="Heading3"/>
    <w:next w:val="Normal"/>
    <w:link w:val="Heading2Char"/>
    <w:uiPriority w:val="9"/>
    <w:unhideWhenUsed/>
    <w:qFormat/>
    <w:rsid w:val="00FA12C8"/>
    <w:pPr>
      <w:ind w:left="576" w:hanging="576"/>
      <w:outlineLvl w:val="1"/>
    </w:pPr>
    <w:rPr>
      <w:color w:val="auto"/>
    </w:rPr>
  </w:style>
  <w:style w:type="paragraph" w:styleId="Heading3">
    <w:name w:val="heading 3"/>
    <w:basedOn w:val="Normal"/>
    <w:next w:val="Normal"/>
    <w:link w:val="Heading3Char"/>
    <w:uiPriority w:val="9"/>
    <w:unhideWhenUsed/>
    <w:qFormat/>
    <w:rsid w:val="00244A13"/>
    <w:pPr>
      <w:keepNext/>
      <w:spacing w:before="300" w:after="200"/>
      <w:ind w:left="720" w:hanging="720"/>
      <w:outlineLvl w:val="2"/>
    </w:pPr>
    <w:rPr>
      <w:b/>
      <w:color w:val="6B2976" w:themeColor="text1"/>
      <w:sz w:val="24"/>
    </w:rPr>
  </w:style>
  <w:style w:type="paragraph" w:styleId="Heading4">
    <w:name w:val="heading 4"/>
    <w:basedOn w:val="Normal"/>
    <w:next w:val="Normal"/>
    <w:link w:val="Heading4Char"/>
    <w:uiPriority w:val="9"/>
    <w:unhideWhenUsed/>
    <w:qFormat/>
    <w:rsid w:val="00244A13"/>
    <w:pPr>
      <w:keepNext/>
      <w:spacing w:before="300"/>
      <w:ind w:left="862" w:hanging="862"/>
      <w:outlineLvl w:val="3"/>
    </w:pPr>
    <w:rPr>
      <w:b/>
      <w:szCs w:val="22"/>
    </w:rPr>
  </w:style>
  <w:style w:type="paragraph" w:styleId="Heading5">
    <w:name w:val="heading 5"/>
    <w:basedOn w:val="Normal"/>
    <w:next w:val="Normal"/>
    <w:link w:val="Heading5Char"/>
    <w:uiPriority w:val="9"/>
    <w:unhideWhenUsed/>
    <w:qFormat/>
    <w:rsid w:val="00244A13"/>
    <w:pPr>
      <w:keepNext/>
      <w:spacing w:before="400"/>
      <w:ind w:left="1009" w:hanging="1009"/>
      <w:outlineLvl w:val="4"/>
    </w:pPr>
    <w:rPr>
      <w:b/>
      <w:color w:val="6B2976" w:themeColor="text1"/>
      <w:u w:val="single"/>
    </w:rPr>
  </w:style>
  <w:style w:type="paragraph" w:styleId="Heading6">
    <w:name w:val="heading 6"/>
    <w:basedOn w:val="Normal"/>
    <w:next w:val="Normal"/>
    <w:link w:val="Heading6Char"/>
    <w:uiPriority w:val="9"/>
    <w:unhideWhenUsed/>
    <w:rsid w:val="004B54CA"/>
    <w:pPr>
      <w:numPr>
        <w:ilvl w:val="5"/>
        <w:numId w:val="8"/>
      </w:num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numPr>
        <w:ilvl w:val="6"/>
        <w:numId w:val="8"/>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8"/>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8"/>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9B3"/>
    <w:rPr>
      <w:rFonts w:ascii="Arial" w:eastAsiaTheme="minorEastAsia" w:hAnsi="Arial"/>
      <w:b/>
      <w:color w:val="6B2976" w:themeColor="background2"/>
      <w:sz w:val="36"/>
      <w:szCs w:val="36"/>
      <w:lang w:eastAsia="ja-JP"/>
    </w:rPr>
  </w:style>
  <w:style w:type="character" w:customStyle="1" w:styleId="Heading2Char">
    <w:name w:val="Heading 2 Char"/>
    <w:basedOn w:val="DefaultParagraphFont"/>
    <w:link w:val="Heading2"/>
    <w:uiPriority w:val="9"/>
    <w:rsid w:val="00FA12C8"/>
    <w:rPr>
      <w:rFonts w:ascii="Arial" w:eastAsiaTheme="minorEastAsia" w:hAnsi="Arial"/>
      <w:b/>
      <w:sz w:val="24"/>
      <w:szCs w:val="24"/>
      <w:lang w:eastAsia="ja-JP"/>
    </w:rPr>
  </w:style>
  <w:style w:type="character" w:customStyle="1" w:styleId="Heading3Char">
    <w:name w:val="Heading 3 Char"/>
    <w:basedOn w:val="DefaultParagraphFont"/>
    <w:link w:val="Heading3"/>
    <w:uiPriority w:val="9"/>
    <w:rsid w:val="00244A13"/>
    <w:rPr>
      <w:rFonts w:ascii="Arial" w:eastAsiaTheme="minorEastAsia" w:hAnsi="Arial"/>
      <w:b/>
      <w:color w:val="6B2976" w:themeColor="text1"/>
      <w:sz w:val="24"/>
      <w:szCs w:val="24"/>
      <w:lang w:eastAsia="ja-JP"/>
    </w:rPr>
  </w:style>
  <w:style w:type="character" w:customStyle="1" w:styleId="Heading4Char">
    <w:name w:val="Heading 4 Char"/>
    <w:basedOn w:val="DefaultParagraphFont"/>
    <w:link w:val="Heading4"/>
    <w:uiPriority w:val="9"/>
    <w:rsid w:val="00244A13"/>
    <w:rPr>
      <w:rFonts w:ascii="Arial" w:eastAsiaTheme="minorEastAsia" w:hAnsi="Arial"/>
      <w:b/>
      <w:lang w:eastAsia="ja-JP"/>
    </w:rPr>
  </w:style>
  <w:style w:type="character" w:customStyle="1" w:styleId="Heading5Char">
    <w:name w:val="Heading 5 Char"/>
    <w:basedOn w:val="DefaultParagraphFont"/>
    <w:link w:val="Heading5"/>
    <w:uiPriority w:val="9"/>
    <w:rsid w:val="00244A13"/>
    <w:rPr>
      <w:rFonts w:ascii="Arial" w:eastAsiaTheme="minorEastAsia" w:hAnsi="Arial"/>
      <w:b/>
      <w:color w:val="6B2976" w:themeColor="text1"/>
      <w:szCs w:val="24"/>
      <w:u w:val="single"/>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szCs w:val="24"/>
      <w:lang w:eastAsia="ja-JP"/>
    </w:rPr>
  </w:style>
  <w:style w:type="character" w:customStyle="1" w:styleId="Heading7Char">
    <w:name w:val="Heading 7 Char"/>
    <w:basedOn w:val="DefaultParagraphFont"/>
    <w:link w:val="Heading7"/>
    <w:uiPriority w:val="9"/>
    <w:rsid w:val="004B54CA"/>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lang w:eastAsia="ja-JP"/>
    </w:rPr>
  </w:style>
  <w:style w:type="paragraph" w:styleId="ListParagraph">
    <w:name w:val="List Paragraph"/>
    <w:aliases w:val="First level bullet point,List Paragraph1,List Paragraph11,Bullet point,L,Recommendation,Figure_name,Bullet- First level,Listenabsatz1,#List Paragraph,NFP GP Bulleted List,List Paragraph2,Bullet Point,Bullet points,Content descriptions,列出段"/>
    <w:basedOn w:val="Normal"/>
    <w:link w:val="ListParagraphChar"/>
    <w:uiPriority w:val="34"/>
    <w:qFormat/>
    <w:rsid w:val="00427897"/>
    <w:pPr>
      <w:ind w:left="284" w:hanging="284"/>
    </w:pPr>
  </w:style>
  <w:style w:type="table" w:customStyle="1" w:styleId="GUIDEQUESTION">
    <w:name w:val="GUIDE QUESTION"/>
    <w:basedOn w:val="TableNormal"/>
    <w:uiPriority w:val="99"/>
    <w:rsid w:val="00427897"/>
    <w:tblPr>
      <w:tblBorders>
        <w:top w:val="single" w:sz="4" w:space="0" w:color="auto"/>
        <w:left w:val="single" w:sz="4" w:space="0" w:color="auto"/>
        <w:bottom w:val="single" w:sz="4" w:space="0" w:color="auto"/>
        <w:right w:val="single" w:sz="4" w:space="0" w:color="auto"/>
      </w:tblBorders>
    </w:tblPr>
    <w:tcPr>
      <w:shd w:val="clear" w:color="auto" w:fill="E7F3D8" w:themeFill="text2" w:themeFillTint="33"/>
    </w:tcPr>
  </w:style>
  <w:style w:type="paragraph" w:styleId="Caption">
    <w:name w:val="caption"/>
    <w:basedOn w:val="Normal"/>
    <w:next w:val="Normal"/>
    <w:link w:val="CaptionChar"/>
    <w:unhideWhenUsed/>
    <w:qFormat/>
    <w:rsid w:val="007F2E84"/>
    <w:pPr>
      <w:keepNext/>
      <w:spacing w:before="300"/>
      <w:jc w:val="center"/>
    </w:pPr>
    <w:rPr>
      <w:b/>
      <w:bCs/>
      <w:caps/>
      <w:color w:val="6B2976" w:themeColor="background2"/>
      <w:sz w:val="16"/>
      <w:szCs w:val="18"/>
    </w:rPr>
  </w:style>
  <w:style w:type="character" w:customStyle="1" w:styleId="CaptionChar">
    <w:name w:val="Caption Char"/>
    <w:basedOn w:val="DefaultParagraphFont"/>
    <w:link w:val="Caption"/>
    <w:rsid w:val="007F2E84"/>
    <w:rPr>
      <w:rFonts w:ascii="Arial" w:eastAsiaTheme="minorEastAsia" w:hAnsi="Arial"/>
      <w:b/>
      <w:bCs/>
      <w:caps/>
      <w:color w:val="6B2976" w:themeColor="background2"/>
      <w:sz w:val="16"/>
      <w:szCs w:val="18"/>
      <w:lang w:eastAsia="ja-JP"/>
    </w:rPr>
  </w:style>
  <w:style w:type="paragraph" w:styleId="Header">
    <w:name w:val="header"/>
    <w:basedOn w:val="Normal"/>
    <w:link w:val="HeaderChar"/>
    <w:uiPriority w:val="99"/>
    <w:unhideWhenUsed/>
    <w:qFormat/>
    <w:rsid w:val="008936FB"/>
    <w:pPr>
      <w:pBdr>
        <w:bottom w:val="single" w:sz="8" w:space="1" w:color="auto"/>
      </w:pBdr>
      <w:tabs>
        <w:tab w:val="center" w:pos="4513"/>
        <w:tab w:val="right" w:pos="9026"/>
      </w:tabs>
      <w:spacing w:before="0" w:after="0" w:line="240" w:lineRule="auto"/>
    </w:pPr>
    <w:rPr>
      <w:color w:val="6B2976" w:themeColor="background2"/>
    </w:rPr>
  </w:style>
  <w:style w:type="character" w:customStyle="1" w:styleId="HeaderChar">
    <w:name w:val="Header Char"/>
    <w:basedOn w:val="DefaultParagraphFont"/>
    <w:link w:val="Header"/>
    <w:uiPriority w:val="99"/>
    <w:rsid w:val="008936FB"/>
    <w:rPr>
      <w:rFonts w:ascii="Arial" w:eastAsiaTheme="minorEastAsia" w:hAnsi="Arial"/>
      <w:color w:val="6B2976" w:themeColor="background2"/>
      <w:szCs w:val="24"/>
      <w:lang w:val="en-US" w:eastAsia="ja-JP"/>
    </w:rPr>
  </w:style>
  <w:style w:type="paragraph" w:styleId="Footer">
    <w:name w:val="footer"/>
    <w:basedOn w:val="Normal"/>
    <w:link w:val="FooterChar"/>
    <w:uiPriority w:val="99"/>
    <w:unhideWhenUsed/>
    <w:rsid w:val="008936FB"/>
    <w:pPr>
      <w:pBdr>
        <w:top w:val="single" w:sz="8" w:space="12" w:color="6B2976"/>
      </w:pBdr>
      <w:tabs>
        <w:tab w:val="center" w:pos="4513"/>
        <w:tab w:val="right" w:pos="9026"/>
      </w:tabs>
      <w:spacing w:before="0" w:after="0" w:line="240" w:lineRule="auto"/>
    </w:pPr>
    <w:rPr>
      <w:color w:val="6B2976"/>
      <w:sz w:val="18"/>
    </w:rPr>
  </w:style>
  <w:style w:type="character" w:customStyle="1" w:styleId="FooterChar">
    <w:name w:val="Footer Char"/>
    <w:basedOn w:val="DefaultParagraphFont"/>
    <w:link w:val="Footer"/>
    <w:uiPriority w:val="99"/>
    <w:rsid w:val="008936FB"/>
    <w:rPr>
      <w:rFonts w:ascii="Arial" w:eastAsiaTheme="minorEastAsia" w:hAnsi="Arial"/>
      <w:color w:val="6B2976"/>
      <w:sz w:val="18"/>
      <w:szCs w:val="24"/>
      <w:lang w:val="en-US" w:eastAsia="ja-JP"/>
    </w:rPr>
  </w:style>
  <w:style w:type="character" w:styleId="Hyperlink">
    <w:name w:val="Hyperlink"/>
    <w:basedOn w:val="DefaultParagraphFont"/>
    <w:uiPriority w:val="99"/>
    <w:unhideWhenUsed/>
    <w:rsid w:val="0040062A"/>
    <w:rPr>
      <w:color w:val="0432FF" w:themeColor="hyperlink"/>
      <w:u w:val="single"/>
    </w:rPr>
  </w:style>
  <w:style w:type="paragraph" w:styleId="Revision">
    <w:name w:val="Revision"/>
    <w:hidden/>
    <w:uiPriority w:val="99"/>
    <w:semiHidden/>
    <w:rsid w:val="00CC3262"/>
    <w:pPr>
      <w:spacing w:after="0" w:line="240" w:lineRule="auto"/>
    </w:pPr>
    <w:rPr>
      <w:rFonts w:ascii="Arial" w:eastAsiaTheme="minorEastAsia" w:hAnsi="Arial"/>
      <w:szCs w:val="24"/>
      <w:lang w:val="en-US" w:eastAsia="ja-JP"/>
    </w:rPr>
  </w:style>
  <w:style w:type="paragraph" w:styleId="FootnoteText">
    <w:name w:val="footnote text"/>
    <w:basedOn w:val="Normal"/>
    <w:link w:val="FootnoteTextChar"/>
    <w:uiPriority w:val="99"/>
    <w:unhideWhenUsed/>
    <w:rsid w:val="00C83442"/>
    <w:pPr>
      <w:spacing w:before="60" w:after="60" w:line="240" w:lineRule="atLeast"/>
      <w:ind w:left="425" w:hanging="425"/>
    </w:pPr>
    <w:rPr>
      <w:sz w:val="20"/>
      <w:szCs w:val="20"/>
    </w:rPr>
  </w:style>
  <w:style w:type="character" w:customStyle="1" w:styleId="FootnoteTextChar">
    <w:name w:val="Footnote Text Char"/>
    <w:basedOn w:val="DefaultParagraphFont"/>
    <w:link w:val="FootnoteText"/>
    <w:uiPriority w:val="99"/>
    <w:rsid w:val="00C83442"/>
    <w:rPr>
      <w:rFonts w:ascii="Arial" w:eastAsiaTheme="minorEastAsia" w:hAnsi="Arial"/>
      <w:sz w:val="20"/>
      <w:szCs w:val="20"/>
      <w:lang w:eastAsia="ja-JP"/>
    </w:rPr>
  </w:style>
  <w:style w:type="character" w:styleId="FootnoteReference">
    <w:name w:val="footnote reference"/>
    <w:basedOn w:val="DefaultParagraphFont"/>
    <w:uiPriority w:val="99"/>
    <w:unhideWhenUsed/>
    <w:rsid w:val="00D31AD3"/>
    <w:rPr>
      <w:vertAlign w:val="superscript"/>
    </w:rPr>
  </w:style>
  <w:style w:type="paragraph" w:customStyle="1" w:styleId="Footnotes">
    <w:name w:val="Footnotes"/>
    <w:basedOn w:val="Normal"/>
    <w:link w:val="FootnotesChar"/>
    <w:rsid w:val="00206483"/>
    <w:pPr>
      <w:keepLines/>
      <w:spacing w:before="60" w:after="60" w:line="240" w:lineRule="atLeast"/>
      <w:ind w:left="284" w:hanging="284"/>
    </w:pPr>
    <w:rPr>
      <w:rFonts w:eastAsia="MS Mincho" w:cs="FSMe-Bold"/>
      <w:spacing w:val="-2"/>
      <w:sz w:val="18"/>
      <w:szCs w:val="16"/>
      <w:lang w:eastAsia="en-US"/>
    </w:rPr>
  </w:style>
  <w:style w:type="character" w:customStyle="1" w:styleId="FootnotesChar">
    <w:name w:val="Footnotes Char"/>
    <w:basedOn w:val="DefaultParagraphFont"/>
    <w:link w:val="Footnotes"/>
    <w:rsid w:val="00206483"/>
    <w:rPr>
      <w:rFonts w:ascii="Arial" w:eastAsia="MS Mincho" w:hAnsi="Arial" w:cs="FSMe-Bold"/>
      <w:spacing w:val="-2"/>
      <w:sz w:val="18"/>
      <w:szCs w:val="16"/>
    </w:rPr>
  </w:style>
  <w:style w:type="paragraph" w:styleId="TOAHeading">
    <w:name w:val="toa heading"/>
    <w:basedOn w:val="Normal"/>
    <w:next w:val="Normal"/>
    <w:uiPriority w:val="99"/>
    <w:unhideWhenUsed/>
    <w:rsid w:val="007667AF"/>
    <w:pPr>
      <w:spacing w:before="120" w:after="160" w:line="320" w:lineRule="atLeast"/>
    </w:pPr>
    <w:rPr>
      <w:rFonts w:asciiTheme="majorHAnsi" w:eastAsiaTheme="majorEastAsia" w:hAnsiTheme="majorHAnsi" w:cstheme="majorBidi"/>
      <w:b/>
      <w:bCs/>
      <w:lang w:eastAsia="en-US"/>
    </w:rPr>
  </w:style>
  <w:style w:type="table" w:styleId="TableGrid">
    <w:name w:val="Table Grid"/>
    <w:basedOn w:val="TableNormal"/>
    <w:uiPriority w:val="39"/>
    <w:rsid w:val="00FA66D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4E798E"/>
    <w:pPr>
      <w:tabs>
        <w:tab w:val="right" w:leader="dot" w:pos="9060"/>
      </w:tabs>
      <w:ind w:left="1134" w:hanging="567"/>
    </w:pPr>
    <w:rPr>
      <w:noProof/>
    </w:rPr>
  </w:style>
  <w:style w:type="paragraph" w:styleId="TOC3">
    <w:name w:val="toc 3"/>
    <w:basedOn w:val="Normal"/>
    <w:next w:val="Normal"/>
    <w:autoRedefine/>
    <w:uiPriority w:val="39"/>
    <w:unhideWhenUsed/>
    <w:qFormat/>
    <w:rsid w:val="009679B3"/>
    <w:pPr>
      <w:tabs>
        <w:tab w:val="right" w:leader="dot" w:pos="9060"/>
      </w:tabs>
      <w:ind w:left="1701" w:hanging="567"/>
    </w:pPr>
  </w:style>
  <w:style w:type="paragraph" w:styleId="TOC1">
    <w:name w:val="toc 1"/>
    <w:basedOn w:val="Normal"/>
    <w:next w:val="Normal"/>
    <w:autoRedefine/>
    <w:uiPriority w:val="39"/>
    <w:unhideWhenUsed/>
    <w:qFormat/>
    <w:rsid w:val="00E427C2"/>
    <w:pPr>
      <w:keepNext/>
      <w:tabs>
        <w:tab w:val="right" w:leader="dot" w:pos="9060"/>
      </w:tabs>
      <w:spacing w:before="200"/>
      <w:ind w:left="567" w:hanging="567"/>
    </w:pPr>
    <w:rPr>
      <w:b/>
      <w:noProof/>
    </w:rPr>
  </w:style>
  <w:style w:type="paragraph" w:styleId="NoSpacing">
    <w:name w:val="No Spacing"/>
    <w:link w:val="NoSpacingChar"/>
    <w:uiPriority w:val="1"/>
    <w:unhideWhenUsed/>
    <w:qFormat/>
    <w:rsid w:val="00DE55E6"/>
    <w:pPr>
      <w:spacing w:before="160" w:after="0" w:line="240" w:lineRule="auto"/>
    </w:pPr>
    <w:rPr>
      <w:rFonts w:ascii="Times New Roman" w:eastAsia="Times New Roman" w:hAnsi="Times New Roman" w:cs="Times New Roman"/>
      <w:sz w:val="26"/>
      <w:szCs w:val="20"/>
      <w:lang w:val="en-US"/>
    </w:rPr>
  </w:style>
  <w:style w:type="character" w:customStyle="1" w:styleId="NoSpacingChar">
    <w:name w:val="No Spacing Char"/>
    <w:basedOn w:val="DefaultParagraphFont"/>
    <w:link w:val="NoSpacing"/>
    <w:uiPriority w:val="1"/>
    <w:rsid w:val="00DE55E6"/>
    <w:rPr>
      <w:rFonts w:ascii="Times New Roman" w:eastAsia="Times New Roman" w:hAnsi="Times New Roman" w:cs="Times New Roman"/>
      <w:sz w:val="26"/>
      <w:szCs w:val="20"/>
      <w:lang w:val="en-US"/>
    </w:rPr>
  </w:style>
  <w:style w:type="table" w:styleId="ListTable4-Accent2">
    <w:name w:val="List Table 4 Accent 2"/>
    <w:basedOn w:val="TableNormal"/>
    <w:uiPriority w:val="49"/>
    <w:rsid w:val="00DE55E6"/>
    <w:pPr>
      <w:spacing w:after="0" w:line="240" w:lineRule="auto"/>
    </w:pPr>
    <w:tblPr>
      <w:tblStyleRowBandSize w:val="1"/>
      <w:tblStyleColBandSize w:val="1"/>
      <w:tblBorders>
        <w:top w:val="single" w:sz="4" w:space="0" w:color="B8DC8C" w:themeColor="accent2" w:themeTint="99"/>
        <w:left w:val="single" w:sz="4" w:space="0" w:color="B8DC8C" w:themeColor="accent2" w:themeTint="99"/>
        <w:bottom w:val="single" w:sz="4" w:space="0" w:color="B8DC8C" w:themeColor="accent2" w:themeTint="99"/>
        <w:right w:val="single" w:sz="4" w:space="0" w:color="B8DC8C" w:themeColor="accent2" w:themeTint="99"/>
        <w:insideH w:val="single" w:sz="4" w:space="0" w:color="B8DC8C" w:themeColor="accent2" w:themeTint="99"/>
      </w:tblBorders>
    </w:tblPr>
    <w:tblStylePr w:type="firstRow">
      <w:rPr>
        <w:b/>
        <w:bCs/>
        <w:color w:val="FEFFFF" w:themeColor="background1"/>
      </w:rPr>
      <w:tblPr/>
      <w:tcPr>
        <w:tcBorders>
          <w:top w:val="single" w:sz="4" w:space="0" w:color="8AC640" w:themeColor="accent2"/>
          <w:left w:val="single" w:sz="4" w:space="0" w:color="8AC640" w:themeColor="accent2"/>
          <w:bottom w:val="single" w:sz="4" w:space="0" w:color="8AC640" w:themeColor="accent2"/>
          <w:right w:val="single" w:sz="4" w:space="0" w:color="8AC640" w:themeColor="accent2"/>
          <w:insideH w:val="nil"/>
        </w:tcBorders>
        <w:shd w:val="clear" w:color="auto" w:fill="8AC640" w:themeFill="accent2"/>
      </w:tcPr>
    </w:tblStylePr>
    <w:tblStylePr w:type="lastRow">
      <w:rPr>
        <w:b/>
        <w:bCs/>
      </w:rPr>
      <w:tblPr/>
      <w:tcPr>
        <w:tcBorders>
          <w:top w:val="double" w:sz="4" w:space="0" w:color="B8DC8C" w:themeColor="accent2" w:themeTint="99"/>
        </w:tcBorders>
      </w:tcPr>
    </w:tblStylePr>
    <w:tblStylePr w:type="firstCol">
      <w:rPr>
        <w:b/>
        <w:bCs/>
      </w:rPr>
    </w:tblStylePr>
    <w:tblStylePr w:type="lastCol">
      <w:rPr>
        <w:b/>
        <w:bCs/>
      </w:rPr>
    </w:tblStylePr>
    <w:tblStylePr w:type="band1Vert">
      <w:tblPr/>
      <w:tcPr>
        <w:shd w:val="clear" w:color="auto" w:fill="E7F3D8" w:themeFill="accent2" w:themeFillTint="33"/>
      </w:tcPr>
    </w:tblStylePr>
    <w:tblStylePr w:type="band1Horz">
      <w:tblPr/>
      <w:tcPr>
        <w:shd w:val="clear" w:color="auto" w:fill="E7F3D8" w:themeFill="accent2" w:themeFillTint="33"/>
      </w:tcPr>
    </w:tblStylePr>
  </w:style>
  <w:style w:type="table" w:styleId="ListTable2-Accent2">
    <w:name w:val="List Table 2 Accent 2"/>
    <w:basedOn w:val="TableNormal"/>
    <w:uiPriority w:val="47"/>
    <w:rsid w:val="00267493"/>
    <w:pPr>
      <w:spacing w:after="0" w:line="240" w:lineRule="auto"/>
    </w:pPr>
    <w:tblPr>
      <w:tblStyleRowBandSize w:val="1"/>
      <w:tblStyleColBandSize w:val="1"/>
      <w:tblBorders>
        <w:top w:val="single" w:sz="4" w:space="0" w:color="B8DC8C" w:themeColor="accent2" w:themeTint="99"/>
        <w:bottom w:val="single" w:sz="4" w:space="0" w:color="B8DC8C" w:themeColor="accent2" w:themeTint="99"/>
        <w:insideH w:val="single" w:sz="4" w:space="0" w:color="B8DC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3D8" w:themeFill="accent2" w:themeFillTint="33"/>
      </w:tcPr>
    </w:tblStylePr>
    <w:tblStylePr w:type="band1Horz">
      <w:tblPr/>
      <w:tcPr>
        <w:shd w:val="clear" w:color="auto" w:fill="E7F3D8" w:themeFill="accent2" w:themeFillTint="33"/>
      </w:tcPr>
    </w:tblStylePr>
  </w:style>
  <w:style w:type="table" w:styleId="ListTable4-Accent1">
    <w:name w:val="List Table 4 Accent 1"/>
    <w:basedOn w:val="TableNormal"/>
    <w:uiPriority w:val="49"/>
    <w:rsid w:val="00D935A3"/>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character" w:styleId="FollowedHyperlink">
    <w:name w:val="FollowedHyperlink"/>
    <w:basedOn w:val="DefaultParagraphFont"/>
    <w:uiPriority w:val="99"/>
    <w:semiHidden/>
    <w:unhideWhenUsed/>
    <w:rsid w:val="00754F95"/>
    <w:rPr>
      <w:color w:val="929292" w:themeColor="followedHyperlink"/>
      <w:u w:val="single"/>
    </w:rPr>
  </w:style>
  <w:style w:type="table" w:styleId="GridTable4-Accent1">
    <w:name w:val="Grid Table 4 Accent 1"/>
    <w:basedOn w:val="TableNormal"/>
    <w:uiPriority w:val="49"/>
    <w:rsid w:val="006B14EB"/>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character" w:customStyle="1" w:styleId="ListParagraphChar">
    <w:name w:val="List Paragraph Char"/>
    <w:aliases w:val="First level bullet point Char,List Paragraph1 Char,List Paragraph11 Char,Bullet point Char,L Char,Recommendation Char,Figure_name Char,Bullet- First level Char,Listenabsatz1 Char,#List Paragraph Char,NFP GP Bulleted List Char"/>
    <w:basedOn w:val="DefaultParagraphFont"/>
    <w:link w:val="ListParagraph"/>
    <w:uiPriority w:val="34"/>
    <w:qFormat/>
    <w:rsid w:val="00E466EA"/>
    <w:rPr>
      <w:rFonts w:ascii="Arial" w:eastAsiaTheme="minorEastAsia" w:hAnsi="Arial"/>
      <w:szCs w:val="24"/>
      <w:lang w:eastAsia="ja-JP"/>
    </w:rPr>
  </w:style>
  <w:style w:type="paragraph" w:styleId="BalloonText">
    <w:name w:val="Balloon Text"/>
    <w:basedOn w:val="Normal"/>
    <w:link w:val="BalloonTextChar"/>
    <w:uiPriority w:val="99"/>
    <w:semiHidden/>
    <w:unhideWhenUsed/>
    <w:rsid w:val="004F15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5DD"/>
    <w:rPr>
      <w:rFonts w:ascii="Segoe UI" w:eastAsiaTheme="minorEastAsia" w:hAnsi="Segoe UI" w:cs="Segoe UI"/>
      <w:sz w:val="18"/>
      <w:szCs w:val="18"/>
      <w:lang w:eastAsia="ja-JP"/>
    </w:rPr>
  </w:style>
  <w:style w:type="table" w:styleId="GridTable4">
    <w:name w:val="Grid Table 4"/>
    <w:basedOn w:val="TableNormal"/>
    <w:uiPriority w:val="49"/>
    <w:rsid w:val="00A744DB"/>
    <w:pPr>
      <w:spacing w:before="40" w:after="40" w:line="240" w:lineRule="atLeast"/>
    </w:pPr>
    <w:rPr>
      <w:sz w:val="16"/>
    </w:r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customStyle="1" w:styleId="QUESTION">
    <w:name w:val="QUESTION"/>
    <w:basedOn w:val="Normal"/>
    <w:link w:val="QUESTIONChar"/>
    <w:rsid w:val="001D6AD3"/>
    <w:pPr>
      <w:numPr>
        <w:numId w:val="2"/>
      </w:numPr>
      <w:tabs>
        <w:tab w:val="left" w:pos="851"/>
      </w:tabs>
      <w:ind w:left="851" w:right="284" w:hanging="567"/>
    </w:pPr>
  </w:style>
  <w:style w:type="paragraph" w:styleId="TableofFigures">
    <w:name w:val="table of figures"/>
    <w:basedOn w:val="Normal"/>
    <w:next w:val="Normal"/>
    <w:uiPriority w:val="99"/>
    <w:unhideWhenUsed/>
    <w:rsid w:val="00480AA3"/>
    <w:pPr>
      <w:spacing w:after="0"/>
    </w:pPr>
  </w:style>
  <w:style w:type="character" w:customStyle="1" w:styleId="QUESTIONChar">
    <w:name w:val="QUESTION Char"/>
    <w:basedOn w:val="ListParagraphChar"/>
    <w:link w:val="QUESTION"/>
    <w:rsid w:val="001D6AD3"/>
    <w:rPr>
      <w:rFonts w:ascii="Arial" w:eastAsiaTheme="minorEastAsia" w:hAnsi="Arial"/>
      <w:szCs w:val="24"/>
      <w:lang w:eastAsia="ja-JP"/>
    </w:rPr>
  </w:style>
  <w:style w:type="character" w:styleId="PlaceholderText">
    <w:name w:val="Placeholder Text"/>
    <w:basedOn w:val="DefaultParagraphFont"/>
    <w:uiPriority w:val="99"/>
    <w:semiHidden/>
    <w:rsid w:val="00CA472D"/>
    <w:rPr>
      <w:color w:val="808080"/>
    </w:rPr>
  </w:style>
  <w:style w:type="character" w:styleId="CommentReference">
    <w:name w:val="annotation reference"/>
    <w:basedOn w:val="DefaultParagraphFont"/>
    <w:uiPriority w:val="99"/>
    <w:unhideWhenUsed/>
    <w:rsid w:val="00FD3455"/>
    <w:rPr>
      <w:sz w:val="16"/>
      <w:szCs w:val="16"/>
    </w:rPr>
  </w:style>
  <w:style w:type="paragraph" w:styleId="CommentText">
    <w:name w:val="annotation text"/>
    <w:basedOn w:val="Normal"/>
    <w:link w:val="CommentTextChar"/>
    <w:uiPriority w:val="99"/>
    <w:unhideWhenUsed/>
    <w:rsid w:val="00FD3455"/>
    <w:pPr>
      <w:spacing w:line="240" w:lineRule="auto"/>
    </w:pPr>
    <w:rPr>
      <w:sz w:val="20"/>
      <w:szCs w:val="20"/>
    </w:rPr>
  </w:style>
  <w:style w:type="character" w:customStyle="1" w:styleId="CommentTextChar">
    <w:name w:val="Comment Text Char"/>
    <w:basedOn w:val="DefaultParagraphFont"/>
    <w:link w:val="CommentText"/>
    <w:uiPriority w:val="99"/>
    <w:rsid w:val="00FD3455"/>
    <w:rPr>
      <w:rFonts w:ascii="Arial" w:eastAsiaTheme="minorEastAsia" w:hAnsi="Arial"/>
      <w:sz w:val="20"/>
      <w:szCs w:val="20"/>
      <w:lang w:eastAsia="ja-JP"/>
    </w:rPr>
  </w:style>
  <w:style w:type="paragraph" w:styleId="CommentSubject">
    <w:name w:val="annotation subject"/>
    <w:basedOn w:val="CommentText"/>
    <w:next w:val="CommentText"/>
    <w:link w:val="CommentSubjectChar"/>
    <w:uiPriority w:val="99"/>
    <w:semiHidden/>
    <w:unhideWhenUsed/>
    <w:rsid w:val="00FD3455"/>
    <w:rPr>
      <w:b/>
      <w:bCs/>
    </w:rPr>
  </w:style>
  <w:style w:type="character" w:customStyle="1" w:styleId="CommentSubjectChar">
    <w:name w:val="Comment Subject Char"/>
    <w:basedOn w:val="CommentTextChar"/>
    <w:link w:val="CommentSubject"/>
    <w:uiPriority w:val="99"/>
    <w:semiHidden/>
    <w:rsid w:val="00FD3455"/>
    <w:rPr>
      <w:rFonts w:ascii="Arial" w:eastAsiaTheme="minorEastAsia" w:hAnsi="Arial"/>
      <w:b/>
      <w:bCs/>
      <w:sz w:val="20"/>
      <w:szCs w:val="20"/>
      <w:lang w:eastAsia="ja-JP"/>
    </w:rPr>
  </w:style>
  <w:style w:type="paragraph" w:styleId="NormalWeb">
    <w:name w:val="Normal (Web)"/>
    <w:basedOn w:val="Normal"/>
    <w:uiPriority w:val="99"/>
    <w:unhideWhenUsed/>
    <w:rsid w:val="000B3214"/>
    <w:pPr>
      <w:spacing w:beforeAutospacing="1" w:afterAutospacing="1" w:line="240" w:lineRule="auto"/>
    </w:pPr>
    <w:rPr>
      <w:rFonts w:ascii="Times New Roman" w:eastAsia="Times New Roman" w:hAnsi="Times New Roman" w:cs="Times New Roman"/>
      <w:sz w:val="24"/>
      <w:lang w:eastAsia="en-AU"/>
    </w:rPr>
  </w:style>
  <w:style w:type="paragraph" w:customStyle="1" w:styleId="Labels">
    <w:name w:val="Labels"/>
    <w:basedOn w:val="Caption"/>
    <w:link w:val="LabelsChar"/>
    <w:rsid w:val="002F21A5"/>
    <w:rPr>
      <w:lang w:val="en-US"/>
    </w:rPr>
  </w:style>
  <w:style w:type="character" w:customStyle="1" w:styleId="LabelsChar">
    <w:name w:val="Labels Char"/>
    <w:basedOn w:val="CaptionChar"/>
    <w:link w:val="Labels"/>
    <w:rsid w:val="002F21A5"/>
    <w:rPr>
      <w:rFonts w:ascii="Arial" w:eastAsiaTheme="minorEastAsia" w:hAnsi="Arial"/>
      <w:b/>
      <w:bCs/>
      <w:caps/>
      <w:color w:val="6B2976" w:themeColor="background2"/>
      <w:sz w:val="16"/>
      <w:szCs w:val="18"/>
      <w:lang w:val="en-US" w:eastAsia="ja-JP"/>
    </w:rPr>
  </w:style>
  <w:style w:type="character" w:customStyle="1" w:styleId="UnresolvedMention1">
    <w:name w:val="Unresolved Mention1"/>
    <w:basedOn w:val="DefaultParagraphFont"/>
    <w:uiPriority w:val="99"/>
    <w:semiHidden/>
    <w:unhideWhenUsed/>
    <w:rsid w:val="003965DD"/>
    <w:rPr>
      <w:color w:val="605E5C"/>
      <w:shd w:val="clear" w:color="auto" w:fill="E1DFDD"/>
    </w:rPr>
  </w:style>
  <w:style w:type="table" w:customStyle="1" w:styleId="GridTable4-Accent51">
    <w:name w:val="Grid Table 4 - Accent 51"/>
    <w:basedOn w:val="TableNormal"/>
    <w:next w:val="GridTable4-Accent5"/>
    <w:uiPriority w:val="49"/>
    <w:rsid w:val="00CC3877"/>
    <w:pPr>
      <w:spacing w:before="40" w:after="40" w:line="240" w:lineRule="atLeast"/>
    </w:pPr>
    <w:rPr>
      <w:sz w:val="1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EFFFF" w:themeColor="background1"/>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CC3877"/>
    <w:pPr>
      <w:spacing w:after="0" w:line="240" w:lineRule="auto"/>
    </w:pPr>
    <w:tblPr>
      <w:tblStyleRowBandSize w:val="1"/>
      <w:tblStyleColBandSize w:val="1"/>
      <w:tblBorders>
        <w:top w:val="single" w:sz="4" w:space="0" w:color="F7A07A" w:themeColor="accent5" w:themeTint="99"/>
        <w:left w:val="single" w:sz="4" w:space="0" w:color="F7A07A" w:themeColor="accent5" w:themeTint="99"/>
        <w:bottom w:val="single" w:sz="4" w:space="0" w:color="F7A07A" w:themeColor="accent5" w:themeTint="99"/>
        <w:right w:val="single" w:sz="4" w:space="0" w:color="F7A07A" w:themeColor="accent5" w:themeTint="99"/>
        <w:insideH w:val="single" w:sz="4" w:space="0" w:color="F7A07A" w:themeColor="accent5" w:themeTint="99"/>
        <w:insideV w:val="single" w:sz="4" w:space="0" w:color="F7A07A" w:themeColor="accent5" w:themeTint="99"/>
      </w:tblBorders>
    </w:tblPr>
    <w:tblStylePr w:type="firstRow">
      <w:rPr>
        <w:b/>
        <w:bCs/>
        <w:color w:val="FEFFFF" w:themeColor="background1"/>
      </w:rPr>
      <w:tblPr/>
      <w:tcPr>
        <w:tcBorders>
          <w:top w:val="single" w:sz="4" w:space="0" w:color="F26322" w:themeColor="accent5"/>
          <w:left w:val="single" w:sz="4" w:space="0" w:color="F26322" w:themeColor="accent5"/>
          <w:bottom w:val="single" w:sz="4" w:space="0" w:color="F26322" w:themeColor="accent5"/>
          <w:right w:val="single" w:sz="4" w:space="0" w:color="F26322" w:themeColor="accent5"/>
          <w:insideH w:val="nil"/>
          <w:insideV w:val="nil"/>
        </w:tcBorders>
        <w:shd w:val="clear" w:color="auto" w:fill="F26322" w:themeFill="accent5"/>
      </w:tcPr>
    </w:tblStylePr>
    <w:tblStylePr w:type="lastRow">
      <w:rPr>
        <w:b/>
        <w:bCs/>
      </w:rPr>
      <w:tblPr/>
      <w:tcPr>
        <w:tcBorders>
          <w:top w:val="double" w:sz="4" w:space="0" w:color="F26322" w:themeColor="accent5"/>
        </w:tcBorders>
      </w:tcPr>
    </w:tblStylePr>
    <w:tblStylePr w:type="firstCol">
      <w:rPr>
        <w:b/>
        <w:bCs/>
      </w:rPr>
    </w:tblStylePr>
    <w:tblStylePr w:type="lastCol">
      <w:rPr>
        <w:b/>
        <w:bCs/>
      </w:rPr>
    </w:tblStylePr>
    <w:tblStylePr w:type="band1Vert">
      <w:tblPr/>
      <w:tcPr>
        <w:shd w:val="clear" w:color="auto" w:fill="FCDFD2" w:themeFill="accent5" w:themeFillTint="33"/>
      </w:tcPr>
    </w:tblStylePr>
    <w:tblStylePr w:type="band1Horz">
      <w:tblPr/>
      <w:tcPr>
        <w:shd w:val="clear" w:color="auto" w:fill="FCDFD2" w:themeFill="accent5" w:themeFillTint="33"/>
      </w:tcPr>
    </w:tblStylePr>
  </w:style>
  <w:style w:type="paragraph" w:customStyle="1" w:styleId="DotPoint">
    <w:name w:val="Dot Point"/>
    <w:basedOn w:val="Normal"/>
    <w:link w:val="DotPointChar"/>
    <w:qFormat/>
    <w:rsid w:val="00A744DB"/>
    <w:pPr>
      <w:numPr>
        <w:numId w:val="5"/>
      </w:numPr>
    </w:pPr>
    <w:rPr>
      <w:rFonts w:asciiTheme="minorHAnsi" w:eastAsiaTheme="minorHAnsi" w:hAnsiTheme="minorHAnsi"/>
      <w:szCs w:val="22"/>
      <w:lang w:eastAsia="en-US"/>
    </w:rPr>
  </w:style>
  <w:style w:type="character" w:customStyle="1" w:styleId="DotPointChar">
    <w:name w:val="Dot Point Char"/>
    <w:basedOn w:val="DefaultParagraphFont"/>
    <w:link w:val="DotPoint"/>
    <w:rsid w:val="00A744DB"/>
  </w:style>
  <w:style w:type="paragraph" w:styleId="TOCHeading">
    <w:name w:val="TOC Heading"/>
    <w:basedOn w:val="Normal"/>
    <w:next w:val="Normal"/>
    <w:uiPriority w:val="39"/>
    <w:unhideWhenUsed/>
    <w:qFormat/>
    <w:rsid w:val="00294429"/>
    <w:pPr>
      <w:spacing w:before="600" w:after="300"/>
    </w:pPr>
    <w:rPr>
      <w:b/>
      <w:color w:val="6B2976" w:themeColor="background2"/>
      <w:sz w:val="36"/>
      <w:szCs w:val="36"/>
    </w:rPr>
  </w:style>
  <w:style w:type="paragraph" w:styleId="TOC4">
    <w:name w:val="toc 4"/>
    <w:basedOn w:val="Normal"/>
    <w:next w:val="Normal"/>
    <w:autoRedefine/>
    <w:uiPriority w:val="39"/>
    <w:unhideWhenUsed/>
    <w:rsid w:val="009679B3"/>
    <w:pPr>
      <w:tabs>
        <w:tab w:val="right" w:leader="dot" w:pos="9017"/>
      </w:tabs>
      <w:ind w:left="1701"/>
    </w:pPr>
  </w:style>
  <w:style w:type="paragraph" w:styleId="TOC5">
    <w:name w:val="toc 5"/>
    <w:basedOn w:val="Normal"/>
    <w:next w:val="Normal"/>
    <w:autoRedefine/>
    <w:uiPriority w:val="39"/>
    <w:unhideWhenUsed/>
    <w:rsid w:val="009679B3"/>
    <w:pPr>
      <w:tabs>
        <w:tab w:val="right" w:leader="dot" w:pos="9017"/>
      </w:tabs>
      <w:ind w:left="2268"/>
    </w:pPr>
  </w:style>
  <w:style w:type="paragraph" w:customStyle="1" w:styleId="Style1">
    <w:name w:val="Style1"/>
    <w:basedOn w:val="Heading4"/>
    <w:link w:val="Style1Char"/>
    <w:rsid w:val="0087236F"/>
  </w:style>
  <w:style w:type="paragraph" w:customStyle="1" w:styleId="Style2">
    <w:name w:val="Style2"/>
    <w:basedOn w:val="Heading5"/>
    <w:link w:val="Style2Char"/>
    <w:rsid w:val="002B2E06"/>
  </w:style>
  <w:style w:type="character" w:customStyle="1" w:styleId="Style1Char">
    <w:name w:val="Style1 Char"/>
    <w:basedOn w:val="Heading4Char"/>
    <w:link w:val="Style1"/>
    <w:rsid w:val="0087236F"/>
    <w:rPr>
      <w:rFonts w:ascii="Arial" w:eastAsiaTheme="minorEastAsia" w:hAnsi="Arial"/>
      <w:b/>
      <w:color w:val="6B2976" w:themeColor="text1"/>
      <w:lang w:eastAsia="ja-JP"/>
    </w:rPr>
  </w:style>
  <w:style w:type="paragraph" w:customStyle="1" w:styleId="Style3">
    <w:name w:val="Style3"/>
    <w:basedOn w:val="Heading2"/>
    <w:link w:val="Style3Char"/>
    <w:rsid w:val="0087236F"/>
    <w:pPr>
      <w:numPr>
        <w:ilvl w:val="2"/>
        <w:numId w:val="1"/>
      </w:numPr>
    </w:pPr>
    <w:rPr>
      <w:color w:val="6B2976" w:themeColor="text1"/>
    </w:rPr>
  </w:style>
  <w:style w:type="character" w:customStyle="1" w:styleId="Style2Char">
    <w:name w:val="Style2 Char"/>
    <w:basedOn w:val="Heading5Char"/>
    <w:link w:val="Style2"/>
    <w:rsid w:val="002B2E06"/>
    <w:rPr>
      <w:rFonts w:ascii="Arial" w:eastAsiaTheme="minorEastAsia" w:hAnsi="Arial"/>
      <w:b/>
      <w:color w:val="6B2976" w:themeColor="text1"/>
      <w:szCs w:val="24"/>
      <w:u w:val="single"/>
      <w:lang w:eastAsia="ja-JP"/>
    </w:rPr>
  </w:style>
  <w:style w:type="paragraph" w:customStyle="1" w:styleId="Style4">
    <w:name w:val="Style4"/>
    <w:basedOn w:val="Heading2"/>
    <w:link w:val="Style4Char"/>
    <w:rsid w:val="0087236F"/>
    <w:pPr>
      <w:numPr>
        <w:ilvl w:val="1"/>
        <w:numId w:val="1"/>
      </w:numPr>
    </w:pPr>
    <w:rPr>
      <w:color w:val="6B2976" w:themeColor="text1"/>
    </w:rPr>
  </w:style>
  <w:style w:type="character" w:customStyle="1" w:styleId="Style3Char">
    <w:name w:val="Style3 Char"/>
    <w:basedOn w:val="Heading2Char"/>
    <w:link w:val="Style3"/>
    <w:rsid w:val="0087236F"/>
    <w:rPr>
      <w:rFonts w:ascii="Arial" w:eastAsiaTheme="minorEastAsia" w:hAnsi="Arial"/>
      <w:b/>
      <w:color w:val="6B2976" w:themeColor="text1"/>
      <w:sz w:val="24"/>
      <w:szCs w:val="24"/>
      <w:lang w:eastAsia="ja-JP"/>
    </w:rPr>
  </w:style>
  <w:style w:type="character" w:customStyle="1" w:styleId="Style4Char">
    <w:name w:val="Style4 Char"/>
    <w:basedOn w:val="Heading2Char"/>
    <w:link w:val="Style4"/>
    <w:rsid w:val="0087236F"/>
    <w:rPr>
      <w:rFonts w:ascii="Arial" w:eastAsiaTheme="minorEastAsia" w:hAnsi="Arial"/>
      <w:b/>
      <w:color w:val="6B2976" w:themeColor="text1"/>
      <w:sz w:val="24"/>
      <w:szCs w:val="24"/>
      <w:lang w:eastAsia="ja-JP"/>
    </w:rPr>
  </w:style>
  <w:style w:type="paragraph" w:styleId="EndnoteText">
    <w:name w:val="endnote text"/>
    <w:basedOn w:val="Normal"/>
    <w:link w:val="EndnoteTextChar"/>
    <w:uiPriority w:val="99"/>
    <w:semiHidden/>
    <w:unhideWhenUsed/>
    <w:rsid w:val="00CC51BD"/>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C51BD"/>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CC51BD"/>
    <w:rPr>
      <w:vertAlign w:val="superscript"/>
    </w:rPr>
  </w:style>
  <w:style w:type="character" w:customStyle="1" w:styleId="UnresolvedMention2">
    <w:name w:val="Unresolved Mention2"/>
    <w:basedOn w:val="DefaultParagraphFont"/>
    <w:uiPriority w:val="99"/>
    <w:semiHidden/>
    <w:unhideWhenUsed/>
    <w:rsid w:val="002F2B24"/>
    <w:rPr>
      <w:color w:val="605E5C"/>
      <w:shd w:val="clear" w:color="auto" w:fill="E1DFDD"/>
    </w:rPr>
  </w:style>
  <w:style w:type="paragraph" w:customStyle="1" w:styleId="NDISSubsection">
    <w:name w:val="NDIS Subsection"/>
    <w:basedOn w:val="Normal"/>
    <w:rsid w:val="004471A1"/>
    <w:pPr>
      <w:spacing w:before="240" w:after="40"/>
    </w:pPr>
    <w:rPr>
      <w:rFonts w:eastAsia="Times New Roman" w:cs="Arial"/>
      <w:szCs w:val="22"/>
      <w:lang w:eastAsia="en-AU"/>
    </w:rPr>
  </w:style>
  <w:style w:type="paragraph" w:customStyle="1" w:styleId="NDISParagraph">
    <w:name w:val="NDIS Paragraph"/>
    <w:basedOn w:val="Normal"/>
    <w:rsid w:val="004471A1"/>
    <w:pPr>
      <w:spacing w:before="80" w:after="40"/>
    </w:pPr>
    <w:rPr>
      <w:rFonts w:eastAsia="Times New Roman" w:cs="Arial"/>
      <w:szCs w:val="22"/>
      <w:lang w:eastAsia="en-AU"/>
    </w:rPr>
  </w:style>
  <w:style w:type="paragraph" w:customStyle="1" w:styleId="GuideQuestion0">
    <w:name w:val="Guide  Question"/>
    <w:basedOn w:val="Normal"/>
    <w:link w:val="GuideQuestionChar"/>
    <w:qFormat/>
    <w:rsid w:val="000F3CC1"/>
  </w:style>
  <w:style w:type="character" w:customStyle="1" w:styleId="GuideQuestionChar">
    <w:name w:val="Guide  Question Char"/>
    <w:basedOn w:val="DefaultParagraphFont"/>
    <w:link w:val="GuideQuestion0"/>
    <w:rsid w:val="000F3CC1"/>
    <w:rPr>
      <w:rFonts w:ascii="Arial" w:eastAsiaTheme="minorEastAsia" w:hAnsi="Arial"/>
      <w:szCs w:val="24"/>
      <w:lang w:eastAsia="ja-JP"/>
    </w:rPr>
  </w:style>
  <w:style w:type="paragraph" w:styleId="Quote">
    <w:name w:val="Quote"/>
    <w:basedOn w:val="Normal"/>
    <w:next w:val="Normal"/>
    <w:link w:val="QuoteChar"/>
    <w:uiPriority w:val="29"/>
    <w:qFormat/>
    <w:rsid w:val="002C29DE"/>
    <w:rPr>
      <w:rFonts w:eastAsiaTheme="minorHAnsi"/>
      <w:i/>
      <w:iCs/>
      <w:color w:val="6B2976" w:themeColor="text1"/>
      <w:szCs w:val="22"/>
      <w:lang w:eastAsia="en-US"/>
    </w:rPr>
  </w:style>
  <w:style w:type="character" w:customStyle="1" w:styleId="QuoteChar">
    <w:name w:val="Quote Char"/>
    <w:basedOn w:val="DefaultParagraphFont"/>
    <w:link w:val="Quote"/>
    <w:uiPriority w:val="29"/>
    <w:rsid w:val="002C29DE"/>
    <w:rPr>
      <w:rFonts w:ascii="Arial" w:hAnsi="Arial"/>
      <w:i/>
      <w:iCs/>
      <w:color w:val="6B2976" w:themeColor="text1"/>
    </w:rPr>
  </w:style>
  <w:style w:type="paragraph" w:styleId="Title">
    <w:name w:val="Title"/>
    <w:basedOn w:val="Normal"/>
    <w:next w:val="Normal"/>
    <w:link w:val="TitleChar"/>
    <w:uiPriority w:val="10"/>
    <w:qFormat/>
    <w:rsid w:val="002C29DE"/>
    <w:pPr>
      <w:pBdr>
        <w:bottom w:val="single" w:sz="4" w:space="1" w:color="auto"/>
      </w:pBdr>
      <w:spacing w:line="240" w:lineRule="auto"/>
      <w:contextualSpacing/>
    </w:pPr>
    <w:rPr>
      <w:rFonts w:eastAsiaTheme="majorEastAsia" w:cstheme="majorBidi"/>
      <w:spacing w:val="5"/>
      <w:sz w:val="52"/>
      <w:szCs w:val="52"/>
      <w:lang w:eastAsia="en-US"/>
    </w:rPr>
  </w:style>
  <w:style w:type="character" w:customStyle="1" w:styleId="TitleChar">
    <w:name w:val="Title Char"/>
    <w:basedOn w:val="DefaultParagraphFont"/>
    <w:link w:val="Title"/>
    <w:uiPriority w:val="10"/>
    <w:rsid w:val="002C29DE"/>
    <w:rPr>
      <w:rFonts w:ascii="Arial" w:eastAsiaTheme="majorEastAsia" w:hAnsi="Arial" w:cstheme="majorBidi"/>
      <w:spacing w:val="5"/>
      <w:sz w:val="52"/>
      <w:szCs w:val="52"/>
    </w:rPr>
  </w:style>
  <w:style w:type="paragraph" w:customStyle="1" w:styleId="Headingcover">
    <w:name w:val="Heading cover"/>
    <w:basedOn w:val="Normal"/>
    <w:qFormat/>
    <w:rsid w:val="002C29DE"/>
    <w:rPr>
      <w:rFonts w:eastAsiaTheme="minorHAnsi" w:cs="Arial"/>
      <w:b/>
      <w:color w:val="FEFFFF" w:themeColor="background1"/>
      <w:sz w:val="96"/>
      <w:szCs w:val="96"/>
      <w:lang w:eastAsia="en-US"/>
    </w:rPr>
  </w:style>
  <w:style w:type="character" w:styleId="PageNumber">
    <w:name w:val="page number"/>
    <w:basedOn w:val="DefaultParagraphFont"/>
    <w:uiPriority w:val="99"/>
    <w:semiHidden/>
    <w:unhideWhenUsed/>
    <w:rsid w:val="002C29DE"/>
  </w:style>
  <w:style w:type="table" w:styleId="LightShading-Accent4">
    <w:name w:val="Light Shading Accent 4"/>
    <w:basedOn w:val="TableNormal"/>
    <w:uiPriority w:val="60"/>
    <w:rsid w:val="002C29DE"/>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NDISDivision">
    <w:name w:val="NDIS Division"/>
    <w:basedOn w:val="Heading3"/>
    <w:next w:val="NDISSubdivision"/>
    <w:rsid w:val="002C29DE"/>
    <w:pPr>
      <w:keepLines/>
      <w:spacing w:before="480" w:after="0"/>
      <w:ind w:left="0" w:firstLine="0"/>
    </w:pPr>
    <w:rPr>
      <w:rFonts w:eastAsia="Times New Roman" w:cs="Arial"/>
      <w:bCs/>
      <w:szCs w:val="26"/>
      <w:lang w:eastAsia="en-AU"/>
    </w:rPr>
  </w:style>
  <w:style w:type="paragraph" w:customStyle="1" w:styleId="NDISPart">
    <w:name w:val="NDIS Part"/>
    <w:basedOn w:val="Heading2"/>
    <w:next w:val="NDISDivision"/>
    <w:rsid w:val="002C29DE"/>
    <w:pPr>
      <w:keepLines/>
      <w:pageBreakBefore/>
      <w:spacing w:before="0" w:after="0"/>
      <w:ind w:left="0" w:firstLine="0"/>
    </w:pPr>
    <w:rPr>
      <w:rFonts w:eastAsia="Times New Roman" w:cs="Arial"/>
      <w:bCs/>
      <w:iCs/>
      <w:color w:val="7030A0"/>
      <w:sz w:val="32"/>
      <w:lang w:eastAsia="en-AU"/>
    </w:rPr>
  </w:style>
  <w:style w:type="paragraph" w:customStyle="1" w:styleId="NDISSubdivision">
    <w:name w:val="NDIS Subdivision"/>
    <w:basedOn w:val="NDISDivision"/>
    <w:next w:val="NDISSubsection"/>
    <w:rsid w:val="002C29DE"/>
    <w:pPr>
      <w:numPr>
        <w:ilvl w:val="3"/>
      </w:numPr>
    </w:pPr>
    <w:rPr>
      <w:sz w:val="26"/>
    </w:rPr>
  </w:style>
  <w:style w:type="paragraph" w:customStyle="1" w:styleId="NDISSubparagraph">
    <w:name w:val="NDIS Subparagraph"/>
    <w:basedOn w:val="NDISParagraph"/>
    <w:rsid w:val="002C29DE"/>
    <w:pPr>
      <w:numPr>
        <w:ilvl w:val="6"/>
      </w:numPr>
    </w:pPr>
  </w:style>
  <w:style w:type="paragraph" w:customStyle="1" w:styleId="NDISSubsubparagraph">
    <w:name w:val="NDIS Subsubparagraph"/>
    <w:basedOn w:val="NDISParagraph"/>
    <w:rsid w:val="002C29DE"/>
    <w:pPr>
      <w:numPr>
        <w:ilvl w:val="7"/>
      </w:numPr>
    </w:pPr>
  </w:style>
  <w:style w:type="paragraph" w:styleId="Subtitle">
    <w:name w:val="Subtitle"/>
    <w:basedOn w:val="Normal"/>
    <w:next w:val="Normal"/>
    <w:link w:val="SubtitleChar"/>
    <w:uiPriority w:val="11"/>
    <w:qFormat/>
    <w:rsid w:val="002C29DE"/>
    <w:pPr>
      <w:spacing w:after="600"/>
    </w:pPr>
    <w:rPr>
      <w:rFonts w:eastAsiaTheme="majorEastAsia" w:cstheme="majorBidi"/>
      <w:i/>
      <w:iCs/>
      <w:spacing w:val="13"/>
      <w:szCs w:val="22"/>
      <w:lang w:eastAsia="en-US"/>
    </w:rPr>
  </w:style>
  <w:style w:type="character" w:customStyle="1" w:styleId="SubtitleChar">
    <w:name w:val="Subtitle Char"/>
    <w:basedOn w:val="DefaultParagraphFont"/>
    <w:link w:val="Subtitle"/>
    <w:uiPriority w:val="11"/>
    <w:rsid w:val="002C29DE"/>
    <w:rPr>
      <w:rFonts w:ascii="Arial" w:eastAsiaTheme="majorEastAsia" w:hAnsi="Arial" w:cstheme="majorBidi"/>
      <w:i/>
      <w:iCs/>
      <w:spacing w:val="13"/>
    </w:rPr>
  </w:style>
  <w:style w:type="character" w:styleId="SubtleEmphasis">
    <w:name w:val="Subtle Emphasis"/>
    <w:uiPriority w:val="19"/>
    <w:qFormat/>
    <w:rsid w:val="002C29DE"/>
    <w:rPr>
      <w:i/>
      <w:iCs/>
    </w:rPr>
  </w:style>
  <w:style w:type="character" w:styleId="Strong">
    <w:name w:val="Strong"/>
    <w:uiPriority w:val="22"/>
    <w:qFormat/>
    <w:rsid w:val="002C29DE"/>
    <w:rPr>
      <w:b/>
      <w:bCs/>
    </w:rPr>
  </w:style>
  <w:style w:type="character" w:styleId="Emphasis">
    <w:name w:val="Emphasis"/>
    <w:uiPriority w:val="20"/>
    <w:qFormat/>
    <w:rsid w:val="002C29DE"/>
    <w:rPr>
      <w:b/>
      <w:bCs/>
      <w:i/>
      <w:iCs/>
      <w:spacing w:val="10"/>
      <w:bdr w:val="none" w:sz="0" w:space="0" w:color="auto"/>
      <w:shd w:val="clear" w:color="auto" w:fill="auto"/>
    </w:rPr>
  </w:style>
  <w:style w:type="character" w:styleId="IntenseEmphasis">
    <w:name w:val="Intense Emphasis"/>
    <w:uiPriority w:val="21"/>
    <w:qFormat/>
    <w:rsid w:val="002C29DE"/>
    <w:rPr>
      <w:b/>
      <w:bCs/>
    </w:rPr>
  </w:style>
  <w:style w:type="paragraph" w:styleId="IntenseQuote">
    <w:name w:val="Intense Quote"/>
    <w:basedOn w:val="Normal"/>
    <w:next w:val="Normal"/>
    <w:link w:val="IntenseQuoteChar"/>
    <w:uiPriority w:val="30"/>
    <w:qFormat/>
    <w:rsid w:val="002C29DE"/>
    <w:pPr>
      <w:pBdr>
        <w:bottom w:val="single" w:sz="4" w:space="1" w:color="auto"/>
      </w:pBdr>
      <w:spacing w:before="200" w:after="280"/>
      <w:ind w:left="1008" w:right="1152"/>
      <w:jc w:val="both"/>
    </w:pPr>
    <w:rPr>
      <w:rFonts w:eastAsiaTheme="minorHAnsi"/>
      <w:b/>
      <w:bCs/>
      <w:i/>
      <w:iCs/>
      <w:szCs w:val="22"/>
      <w:lang w:eastAsia="en-US"/>
    </w:rPr>
  </w:style>
  <w:style w:type="character" w:customStyle="1" w:styleId="IntenseQuoteChar">
    <w:name w:val="Intense Quote Char"/>
    <w:basedOn w:val="DefaultParagraphFont"/>
    <w:link w:val="IntenseQuote"/>
    <w:uiPriority w:val="30"/>
    <w:rsid w:val="002C29DE"/>
    <w:rPr>
      <w:rFonts w:ascii="Arial" w:hAnsi="Arial"/>
      <w:b/>
      <w:bCs/>
      <w:i/>
      <w:iCs/>
    </w:rPr>
  </w:style>
  <w:style w:type="character" w:styleId="SubtleReference">
    <w:name w:val="Subtle Reference"/>
    <w:uiPriority w:val="31"/>
    <w:qFormat/>
    <w:rsid w:val="002C29DE"/>
    <w:rPr>
      <w:smallCaps/>
    </w:rPr>
  </w:style>
  <w:style w:type="character" w:styleId="IntenseReference">
    <w:name w:val="Intense Reference"/>
    <w:uiPriority w:val="32"/>
    <w:qFormat/>
    <w:rsid w:val="002C29DE"/>
    <w:rPr>
      <w:smallCaps/>
      <w:spacing w:val="5"/>
      <w:u w:val="single"/>
    </w:rPr>
  </w:style>
  <w:style w:type="character" w:styleId="BookTitle">
    <w:name w:val="Book Title"/>
    <w:uiPriority w:val="33"/>
    <w:qFormat/>
    <w:rsid w:val="002C29DE"/>
    <w:rPr>
      <w:color w:val="652F76"/>
      <w:sz w:val="52"/>
    </w:rPr>
  </w:style>
  <w:style w:type="table" w:customStyle="1" w:styleId="GridTable1Light-Accent41">
    <w:name w:val="Grid Table 1 Light - Accent 41"/>
    <w:basedOn w:val="TableNormal"/>
    <w:uiPriority w:val="46"/>
    <w:rsid w:val="002C29DE"/>
    <w:pPr>
      <w:spacing w:after="0" w:line="240" w:lineRule="auto"/>
    </w:pPr>
    <w:tblPr>
      <w:tblStyleRowBandSize w:val="1"/>
      <w:tblStyleColBandSize w:val="1"/>
      <w:tblBorders>
        <w:top w:val="single" w:sz="4" w:space="0" w:color="FDDAA3" w:themeColor="accent4" w:themeTint="66"/>
        <w:left w:val="single" w:sz="4" w:space="0" w:color="FDDAA3" w:themeColor="accent4" w:themeTint="66"/>
        <w:bottom w:val="single" w:sz="4" w:space="0" w:color="FDDAA3" w:themeColor="accent4" w:themeTint="66"/>
        <w:right w:val="single" w:sz="4" w:space="0" w:color="FDDAA3" w:themeColor="accent4" w:themeTint="66"/>
        <w:insideH w:val="single" w:sz="4" w:space="0" w:color="FDDAA3" w:themeColor="accent4" w:themeTint="66"/>
        <w:insideV w:val="single" w:sz="4" w:space="0" w:color="FDDAA3" w:themeColor="accent4" w:themeTint="66"/>
      </w:tblBorders>
    </w:tblPr>
    <w:tblStylePr w:type="firstRow">
      <w:rPr>
        <w:b/>
        <w:bCs/>
      </w:rPr>
      <w:tblPr/>
      <w:tcPr>
        <w:tcBorders>
          <w:bottom w:val="single" w:sz="12" w:space="0" w:color="FCC875" w:themeColor="accent4" w:themeTint="99"/>
        </w:tcBorders>
      </w:tcPr>
    </w:tblStylePr>
    <w:tblStylePr w:type="lastRow">
      <w:rPr>
        <w:b/>
        <w:bCs/>
      </w:rPr>
      <w:tblPr/>
      <w:tcPr>
        <w:tcBorders>
          <w:top w:val="double" w:sz="2" w:space="0" w:color="FCC875" w:themeColor="accent4" w:themeTint="99"/>
        </w:tcBorders>
      </w:tcPr>
    </w:tblStylePr>
    <w:tblStylePr w:type="firstCol">
      <w:rPr>
        <w:b/>
        <w:bCs/>
      </w:rPr>
    </w:tblStylePr>
    <w:tblStylePr w:type="lastCol">
      <w:rPr>
        <w:b/>
        <w:bCs/>
      </w:rPr>
    </w:tblStylePr>
  </w:style>
  <w:style w:type="paragraph" w:customStyle="1" w:styleId="Default">
    <w:name w:val="Default"/>
    <w:rsid w:val="002C29DE"/>
    <w:pPr>
      <w:autoSpaceDE w:val="0"/>
      <w:autoSpaceDN w:val="0"/>
      <w:adjustRightInd w:val="0"/>
      <w:spacing w:after="0" w:line="240" w:lineRule="auto"/>
    </w:pPr>
    <w:rPr>
      <w:rFonts w:ascii="Arial" w:hAnsi="Arial" w:cs="Arial"/>
      <w:color w:val="000000"/>
    </w:rPr>
  </w:style>
  <w:style w:type="character" w:customStyle="1" w:styleId="tgc">
    <w:name w:val="_tgc"/>
    <w:basedOn w:val="DefaultParagraphFont"/>
    <w:rsid w:val="002C29DE"/>
  </w:style>
  <w:style w:type="table" w:styleId="GridTable6Colorful-Accent1">
    <w:name w:val="Grid Table 6 Colorful Accent 1"/>
    <w:basedOn w:val="TableNormal"/>
    <w:uiPriority w:val="51"/>
    <w:rsid w:val="002C29DE"/>
    <w:pPr>
      <w:spacing w:after="0" w:line="240" w:lineRule="auto"/>
    </w:pPr>
    <w:rPr>
      <w:color w:val="4F1E58" w:themeColor="accent1" w:themeShade="BF"/>
    </w:r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rPr>
      <w:tblPr/>
      <w:tcPr>
        <w:tcBorders>
          <w:bottom w:val="single" w:sz="12" w:space="0" w:color="B962C8" w:themeColor="accent1" w:themeTint="99"/>
        </w:tcBorders>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numbering" w:customStyle="1" w:styleId="NoList1">
    <w:name w:val="No List1"/>
    <w:next w:val="NoList"/>
    <w:uiPriority w:val="99"/>
    <w:semiHidden/>
    <w:unhideWhenUsed/>
    <w:rsid w:val="002C29DE"/>
  </w:style>
  <w:style w:type="table" w:customStyle="1" w:styleId="TableGrid1">
    <w:name w:val="Table Grid1"/>
    <w:basedOn w:val="TableNormal"/>
    <w:next w:val="TableGrid"/>
    <w:uiPriority w:val="39"/>
    <w:rsid w:val="002C2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2C29DE"/>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2C29DE"/>
    <w:pPr>
      <w:spacing w:after="0" w:line="240" w:lineRule="auto"/>
      <w:ind w:left="440" w:hanging="220"/>
    </w:pPr>
    <w:rPr>
      <w:rFonts w:eastAsiaTheme="minorHAnsi"/>
      <w:szCs w:val="22"/>
      <w:lang w:eastAsia="en-US"/>
    </w:rPr>
  </w:style>
  <w:style w:type="table" w:customStyle="1" w:styleId="GridTable4-Accent52">
    <w:name w:val="Grid Table 4 - Accent 52"/>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2C29D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ource">
    <w:name w:val="Source"/>
    <w:basedOn w:val="Normal"/>
    <w:rsid w:val="002C29DE"/>
    <w:rPr>
      <w:rFonts w:eastAsiaTheme="minorHAnsi"/>
      <w:i/>
      <w:sz w:val="18"/>
      <w:szCs w:val="22"/>
      <w:lang w:eastAsia="en-US"/>
    </w:rPr>
  </w:style>
  <w:style w:type="paragraph" w:customStyle="1" w:styleId="tablelistbullet">
    <w:name w:val="table list bullet"/>
    <w:basedOn w:val="ListParagraph"/>
    <w:qFormat/>
    <w:rsid w:val="002C29DE"/>
    <w:pPr>
      <w:tabs>
        <w:tab w:val="num" w:pos="360"/>
      </w:tabs>
      <w:spacing w:before="0" w:line="240" w:lineRule="auto"/>
      <w:ind w:left="720" w:firstLine="0"/>
      <w:contextualSpacing/>
    </w:pPr>
    <w:rPr>
      <w:rFonts w:eastAsia="MS Mincho" w:cs="FSMe-Bold"/>
      <w:spacing w:val="-2"/>
      <w:sz w:val="20"/>
      <w:szCs w:val="20"/>
      <w:lang w:val="en-US" w:eastAsia="en-US"/>
    </w:rPr>
  </w:style>
  <w:style w:type="paragraph" w:customStyle="1" w:styleId="BodyText1">
    <w:name w:val="Body Text1"/>
    <w:basedOn w:val="Normal"/>
    <w:qFormat/>
    <w:rsid w:val="002C29DE"/>
    <w:pPr>
      <w:spacing w:before="0" w:line="240" w:lineRule="auto"/>
    </w:pPr>
    <w:rPr>
      <w:rFonts w:eastAsia="MS Mincho" w:cs="FSMe-Bold"/>
      <w:spacing w:val="-2"/>
      <w:sz w:val="20"/>
      <w:szCs w:val="20"/>
      <w:lang w:val="en-US" w:eastAsia="en-US"/>
    </w:rPr>
  </w:style>
  <w:style w:type="paragraph" w:customStyle="1" w:styleId="Eventbodycopy">
    <w:name w:val="Event body copy"/>
    <w:basedOn w:val="Normal"/>
    <w:qFormat/>
    <w:rsid w:val="002C29DE"/>
    <w:pPr>
      <w:widowControl w:val="0"/>
      <w:suppressAutoHyphens/>
      <w:autoSpaceDE w:val="0"/>
      <w:autoSpaceDN w:val="0"/>
      <w:adjustRightInd w:val="0"/>
      <w:spacing w:before="0" w:after="200" w:line="24" w:lineRule="atLeast"/>
      <w:textAlignment w:val="center"/>
    </w:pPr>
    <w:rPr>
      <w:rFonts w:cs="Arial"/>
      <w:color w:val="000000"/>
      <w:szCs w:val="22"/>
      <w:lang w:val="en-US"/>
    </w:rPr>
  </w:style>
  <w:style w:type="paragraph" w:styleId="ListBullet">
    <w:name w:val="List Bullet"/>
    <w:basedOn w:val="Normal"/>
    <w:autoRedefine/>
    <w:uiPriority w:val="99"/>
    <w:unhideWhenUsed/>
    <w:qFormat/>
    <w:rsid w:val="002C29DE"/>
    <w:pPr>
      <w:numPr>
        <w:numId w:val="20"/>
      </w:numPr>
      <w:pBdr>
        <w:top w:val="single" w:sz="4" w:space="1" w:color="auto"/>
        <w:left w:val="single" w:sz="4" w:space="1" w:color="auto"/>
        <w:bottom w:val="single" w:sz="4" w:space="1" w:color="auto"/>
        <w:right w:val="single" w:sz="4" w:space="1" w:color="auto"/>
      </w:pBdr>
      <w:shd w:val="clear" w:color="auto" w:fill="E4FFFF" w:themeFill="background1" w:themeFillShade="F2"/>
      <w:spacing w:after="200" w:line="240" w:lineRule="auto"/>
    </w:pPr>
    <w:rPr>
      <w:rFonts w:cs="Arial"/>
      <w:spacing w:val="-3"/>
      <w:kern w:val="1"/>
      <w:szCs w:val="20"/>
      <w:lang w:val="en-GB" w:eastAsia="en-US"/>
    </w:rPr>
  </w:style>
  <w:style w:type="paragraph" w:customStyle="1" w:styleId="NDISSandwich">
    <w:name w:val="NDIS Sandwich"/>
    <w:basedOn w:val="NDISSubsection"/>
    <w:next w:val="NDISSubsection"/>
    <w:rsid w:val="002C29DE"/>
    <w:pPr>
      <w:spacing w:before="80"/>
      <w:ind w:left="567"/>
    </w:pPr>
  </w:style>
  <w:style w:type="paragraph" w:customStyle="1" w:styleId="PlainParagraph">
    <w:name w:val="Plain Paragraph"/>
    <w:aliases w:val="PP"/>
    <w:basedOn w:val="Normal"/>
    <w:link w:val="PlainParagraphChar"/>
    <w:rsid w:val="002C29DE"/>
    <w:pPr>
      <w:spacing w:before="140" w:after="140"/>
    </w:pPr>
    <w:rPr>
      <w:rFonts w:eastAsia="Times New Roman" w:cs="Arial"/>
      <w:szCs w:val="22"/>
      <w:lang w:eastAsia="en-AU"/>
    </w:rPr>
  </w:style>
  <w:style w:type="character" w:customStyle="1" w:styleId="PlainParagraphChar">
    <w:name w:val="Plain Paragraph Char"/>
    <w:aliases w:val="PP Char"/>
    <w:basedOn w:val="DefaultParagraphFont"/>
    <w:link w:val="PlainParagraph"/>
    <w:rsid w:val="002C29DE"/>
    <w:rPr>
      <w:rFonts w:ascii="Arial" w:eastAsia="Times New Roman" w:hAnsi="Arial" w:cs="Arial"/>
      <w:lang w:eastAsia="en-AU"/>
    </w:rPr>
  </w:style>
  <w:style w:type="paragraph" w:customStyle="1" w:styleId="Dot1">
    <w:name w:val="Dot1"/>
    <w:aliases w:val="DOT"/>
    <w:basedOn w:val="Normal"/>
    <w:link w:val="Dot1Char"/>
    <w:uiPriority w:val="2"/>
    <w:qFormat/>
    <w:rsid w:val="002C29DE"/>
    <w:pPr>
      <w:numPr>
        <w:ilvl w:val="1"/>
        <w:numId w:val="21"/>
      </w:numPr>
      <w:spacing w:before="0" w:after="140"/>
    </w:pPr>
    <w:rPr>
      <w:rFonts w:eastAsia="Times New Roman" w:cs="Arial"/>
      <w:szCs w:val="22"/>
      <w:lang w:eastAsia="en-AU"/>
    </w:rPr>
  </w:style>
  <w:style w:type="character" w:customStyle="1" w:styleId="Dot1Char">
    <w:name w:val="Dot1 Char"/>
    <w:aliases w:val="DOT Char"/>
    <w:basedOn w:val="DefaultParagraphFont"/>
    <w:link w:val="Dot1"/>
    <w:uiPriority w:val="2"/>
    <w:rsid w:val="002C29DE"/>
    <w:rPr>
      <w:rFonts w:ascii="Arial" w:eastAsia="Times New Roman" w:hAnsi="Arial" w:cs="Arial"/>
      <w:lang w:eastAsia="en-AU"/>
    </w:rPr>
  </w:style>
  <w:style w:type="paragraph" w:customStyle="1" w:styleId="CEOBrief-Heading1">
    <w:name w:val="CEO Brief - Heading 1"/>
    <w:basedOn w:val="ListParagraph"/>
    <w:rsid w:val="002C29DE"/>
    <w:pPr>
      <w:numPr>
        <w:numId w:val="22"/>
      </w:numPr>
      <w:spacing w:line="240" w:lineRule="auto"/>
    </w:pPr>
    <w:rPr>
      <w:rFonts w:eastAsia="Times New Roman" w:cs="Arial"/>
      <w:b/>
      <w:color w:val="6B2F76"/>
      <w:szCs w:val="22"/>
      <w:lang w:eastAsia="en-US"/>
    </w:rPr>
  </w:style>
  <w:style w:type="paragraph" w:customStyle="1" w:styleId="CEOBrief-Paragraph1">
    <w:name w:val="CEO Brief - Paragraph 1"/>
    <w:basedOn w:val="ListParagraph"/>
    <w:link w:val="CEOBrief-Paragraph1Char"/>
    <w:rsid w:val="002C29DE"/>
    <w:pPr>
      <w:spacing w:line="240" w:lineRule="auto"/>
      <w:ind w:left="0" w:firstLine="0"/>
    </w:pPr>
    <w:rPr>
      <w:rFonts w:eastAsia="Times New Roman" w:cs="Arial"/>
    </w:rPr>
  </w:style>
  <w:style w:type="paragraph" w:customStyle="1" w:styleId="CEOBrief-Paragraph2">
    <w:name w:val="CEO Brief - Paragraph 2"/>
    <w:basedOn w:val="CEOBrief-Paragraph1"/>
    <w:rsid w:val="002C29DE"/>
    <w:pPr>
      <w:numPr>
        <w:ilvl w:val="2"/>
        <w:numId w:val="22"/>
      </w:numPr>
      <w:ind w:left="2160" w:hanging="360"/>
    </w:pPr>
  </w:style>
  <w:style w:type="character" w:customStyle="1" w:styleId="CEOBrief-Paragraph1Char">
    <w:name w:val="CEO Brief - Paragraph 1 Char"/>
    <w:basedOn w:val="ListParagraphChar"/>
    <w:link w:val="CEOBrief-Paragraph1"/>
    <w:rsid w:val="002C29DE"/>
    <w:rPr>
      <w:rFonts w:ascii="Arial" w:eastAsia="Times New Roman" w:hAnsi="Arial" w:cs="Arial"/>
      <w:szCs w:val="24"/>
      <w:lang w:eastAsia="ja-JP"/>
    </w:rPr>
  </w:style>
  <w:style w:type="table" w:styleId="GridTable4-Accent4">
    <w:name w:val="Grid Table 4 Accent 4"/>
    <w:basedOn w:val="TableNormal"/>
    <w:uiPriority w:val="49"/>
    <w:rsid w:val="002C29DE"/>
    <w:pPr>
      <w:spacing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table" w:styleId="PlainTable4">
    <w:name w:val="Plain Table 4"/>
    <w:basedOn w:val="TableNormal"/>
    <w:uiPriority w:val="99"/>
    <w:rsid w:val="002C29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paragraph" w:customStyle="1" w:styleId="msonormal0">
    <w:name w:val="msonormal"/>
    <w:basedOn w:val="Normal"/>
    <w:rsid w:val="002C29DE"/>
    <w:pPr>
      <w:spacing w:beforeAutospacing="1" w:afterAutospacing="1" w:line="240" w:lineRule="auto"/>
    </w:pPr>
    <w:rPr>
      <w:rFonts w:ascii="Times New Roman" w:eastAsia="Times New Roman" w:hAnsi="Times New Roman" w:cs="Times New Roman"/>
      <w:sz w:val="24"/>
      <w:lang w:eastAsia="en-AU"/>
    </w:rPr>
  </w:style>
  <w:style w:type="paragraph" w:customStyle="1" w:styleId="xl74">
    <w:name w:val="xl74"/>
    <w:basedOn w:val="Normal"/>
    <w:rsid w:val="002C29DE"/>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lang w:eastAsia="en-AU"/>
    </w:rPr>
  </w:style>
  <w:style w:type="paragraph" w:customStyle="1" w:styleId="xl75">
    <w:name w:val="xl75"/>
    <w:basedOn w:val="Normal"/>
    <w:rsid w:val="002C29DE"/>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2C29DE"/>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2C29DE"/>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2C29DE"/>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 w:type="character" w:customStyle="1" w:styleId="normaltextrun">
    <w:name w:val="normaltextrun"/>
    <w:basedOn w:val="DefaultParagraphFont"/>
    <w:rsid w:val="002C29DE"/>
  </w:style>
  <w:style w:type="character" w:customStyle="1" w:styleId="eop">
    <w:name w:val="eop"/>
    <w:basedOn w:val="DefaultParagraphFont"/>
    <w:rsid w:val="002C29DE"/>
  </w:style>
  <w:style w:type="table" w:styleId="GridTable5Dark">
    <w:name w:val="Grid Table 5 Dark"/>
    <w:basedOn w:val="TableNormal"/>
    <w:uiPriority w:val="50"/>
    <w:rsid w:val="002C29DE"/>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 w:type="paragraph" w:customStyle="1" w:styleId="Bullet1">
    <w:name w:val="Bullet1"/>
    <w:basedOn w:val="Normal"/>
    <w:link w:val="Bullet1Char"/>
    <w:qFormat/>
    <w:rsid w:val="00B46572"/>
    <w:pPr>
      <w:numPr>
        <w:numId w:val="26"/>
      </w:numPr>
      <w:spacing w:before="120" w:after="120" w:line="288" w:lineRule="auto"/>
      <w:ind w:left="1077" w:hanging="397"/>
    </w:pPr>
    <w:rPr>
      <w:rFonts w:eastAsiaTheme="minorHAnsi"/>
      <w:sz w:val="24"/>
      <w:szCs w:val="22"/>
      <w:lang w:eastAsia="en-US"/>
    </w:rPr>
  </w:style>
  <w:style w:type="character" w:customStyle="1" w:styleId="Bullet1Char">
    <w:name w:val="Bullet1 Char"/>
    <w:basedOn w:val="DefaultParagraphFont"/>
    <w:link w:val="Bullet1"/>
    <w:rsid w:val="00B46572"/>
    <w:rPr>
      <w:rFonts w:ascii="Arial" w:hAnsi="Arial"/>
      <w:sz w:val="24"/>
    </w:rPr>
  </w:style>
  <w:style w:type="character" w:customStyle="1" w:styleId="cf01">
    <w:name w:val="cf01"/>
    <w:basedOn w:val="DefaultParagraphFont"/>
    <w:rsid w:val="00DF2DFC"/>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DE28CF"/>
    <w:rPr>
      <w:color w:val="605E5C"/>
      <w:shd w:val="clear" w:color="auto" w:fill="E1DFDD"/>
    </w:rPr>
  </w:style>
  <w:style w:type="character" w:customStyle="1" w:styleId="UnresolvedMention4">
    <w:name w:val="Unresolved Mention4"/>
    <w:basedOn w:val="DefaultParagraphFont"/>
    <w:uiPriority w:val="99"/>
    <w:semiHidden/>
    <w:unhideWhenUsed/>
    <w:rsid w:val="0021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14">
      <w:bodyDiv w:val="1"/>
      <w:marLeft w:val="0"/>
      <w:marRight w:val="0"/>
      <w:marTop w:val="0"/>
      <w:marBottom w:val="0"/>
      <w:divBdr>
        <w:top w:val="none" w:sz="0" w:space="0" w:color="auto"/>
        <w:left w:val="none" w:sz="0" w:space="0" w:color="auto"/>
        <w:bottom w:val="none" w:sz="0" w:space="0" w:color="auto"/>
        <w:right w:val="none" w:sz="0" w:space="0" w:color="auto"/>
      </w:divBdr>
    </w:div>
    <w:div w:id="36054765">
      <w:bodyDiv w:val="1"/>
      <w:marLeft w:val="0"/>
      <w:marRight w:val="0"/>
      <w:marTop w:val="0"/>
      <w:marBottom w:val="0"/>
      <w:divBdr>
        <w:top w:val="none" w:sz="0" w:space="0" w:color="auto"/>
        <w:left w:val="none" w:sz="0" w:space="0" w:color="auto"/>
        <w:bottom w:val="none" w:sz="0" w:space="0" w:color="auto"/>
        <w:right w:val="none" w:sz="0" w:space="0" w:color="auto"/>
      </w:divBdr>
    </w:div>
    <w:div w:id="42142273">
      <w:bodyDiv w:val="1"/>
      <w:marLeft w:val="0"/>
      <w:marRight w:val="0"/>
      <w:marTop w:val="0"/>
      <w:marBottom w:val="0"/>
      <w:divBdr>
        <w:top w:val="none" w:sz="0" w:space="0" w:color="auto"/>
        <w:left w:val="none" w:sz="0" w:space="0" w:color="auto"/>
        <w:bottom w:val="none" w:sz="0" w:space="0" w:color="auto"/>
        <w:right w:val="none" w:sz="0" w:space="0" w:color="auto"/>
      </w:divBdr>
    </w:div>
    <w:div w:id="80806747">
      <w:bodyDiv w:val="1"/>
      <w:marLeft w:val="0"/>
      <w:marRight w:val="0"/>
      <w:marTop w:val="0"/>
      <w:marBottom w:val="0"/>
      <w:divBdr>
        <w:top w:val="none" w:sz="0" w:space="0" w:color="auto"/>
        <w:left w:val="none" w:sz="0" w:space="0" w:color="auto"/>
        <w:bottom w:val="none" w:sz="0" w:space="0" w:color="auto"/>
        <w:right w:val="none" w:sz="0" w:space="0" w:color="auto"/>
      </w:divBdr>
    </w:div>
    <w:div w:id="82337310">
      <w:bodyDiv w:val="1"/>
      <w:marLeft w:val="0"/>
      <w:marRight w:val="0"/>
      <w:marTop w:val="0"/>
      <w:marBottom w:val="0"/>
      <w:divBdr>
        <w:top w:val="none" w:sz="0" w:space="0" w:color="auto"/>
        <w:left w:val="none" w:sz="0" w:space="0" w:color="auto"/>
        <w:bottom w:val="none" w:sz="0" w:space="0" w:color="auto"/>
        <w:right w:val="none" w:sz="0" w:space="0" w:color="auto"/>
      </w:divBdr>
      <w:divsChild>
        <w:div w:id="281301502">
          <w:marLeft w:val="274"/>
          <w:marRight w:val="0"/>
          <w:marTop w:val="0"/>
          <w:marBottom w:val="60"/>
          <w:divBdr>
            <w:top w:val="none" w:sz="0" w:space="0" w:color="auto"/>
            <w:left w:val="none" w:sz="0" w:space="0" w:color="auto"/>
            <w:bottom w:val="none" w:sz="0" w:space="0" w:color="auto"/>
            <w:right w:val="none" w:sz="0" w:space="0" w:color="auto"/>
          </w:divBdr>
        </w:div>
        <w:div w:id="357705774">
          <w:marLeft w:val="274"/>
          <w:marRight w:val="0"/>
          <w:marTop w:val="0"/>
          <w:marBottom w:val="60"/>
          <w:divBdr>
            <w:top w:val="none" w:sz="0" w:space="0" w:color="auto"/>
            <w:left w:val="none" w:sz="0" w:space="0" w:color="auto"/>
            <w:bottom w:val="none" w:sz="0" w:space="0" w:color="auto"/>
            <w:right w:val="none" w:sz="0" w:space="0" w:color="auto"/>
          </w:divBdr>
        </w:div>
        <w:div w:id="475414422">
          <w:marLeft w:val="274"/>
          <w:marRight w:val="0"/>
          <w:marTop w:val="0"/>
          <w:marBottom w:val="60"/>
          <w:divBdr>
            <w:top w:val="none" w:sz="0" w:space="0" w:color="auto"/>
            <w:left w:val="none" w:sz="0" w:space="0" w:color="auto"/>
            <w:bottom w:val="none" w:sz="0" w:space="0" w:color="auto"/>
            <w:right w:val="none" w:sz="0" w:space="0" w:color="auto"/>
          </w:divBdr>
        </w:div>
        <w:div w:id="479229876">
          <w:marLeft w:val="274"/>
          <w:marRight w:val="0"/>
          <w:marTop w:val="0"/>
          <w:marBottom w:val="60"/>
          <w:divBdr>
            <w:top w:val="none" w:sz="0" w:space="0" w:color="auto"/>
            <w:left w:val="none" w:sz="0" w:space="0" w:color="auto"/>
            <w:bottom w:val="none" w:sz="0" w:space="0" w:color="auto"/>
            <w:right w:val="none" w:sz="0" w:space="0" w:color="auto"/>
          </w:divBdr>
        </w:div>
        <w:div w:id="1861309880">
          <w:marLeft w:val="274"/>
          <w:marRight w:val="0"/>
          <w:marTop w:val="0"/>
          <w:marBottom w:val="60"/>
          <w:divBdr>
            <w:top w:val="none" w:sz="0" w:space="0" w:color="auto"/>
            <w:left w:val="none" w:sz="0" w:space="0" w:color="auto"/>
            <w:bottom w:val="none" w:sz="0" w:space="0" w:color="auto"/>
            <w:right w:val="none" w:sz="0" w:space="0" w:color="auto"/>
          </w:divBdr>
        </w:div>
      </w:divsChild>
    </w:div>
    <w:div w:id="96218598">
      <w:bodyDiv w:val="1"/>
      <w:marLeft w:val="0"/>
      <w:marRight w:val="0"/>
      <w:marTop w:val="0"/>
      <w:marBottom w:val="0"/>
      <w:divBdr>
        <w:top w:val="none" w:sz="0" w:space="0" w:color="auto"/>
        <w:left w:val="none" w:sz="0" w:space="0" w:color="auto"/>
        <w:bottom w:val="none" w:sz="0" w:space="0" w:color="auto"/>
        <w:right w:val="none" w:sz="0" w:space="0" w:color="auto"/>
      </w:divBdr>
      <w:divsChild>
        <w:div w:id="31344956">
          <w:marLeft w:val="274"/>
          <w:marRight w:val="0"/>
          <w:marTop w:val="0"/>
          <w:marBottom w:val="120"/>
          <w:divBdr>
            <w:top w:val="none" w:sz="0" w:space="0" w:color="auto"/>
            <w:left w:val="none" w:sz="0" w:space="0" w:color="auto"/>
            <w:bottom w:val="none" w:sz="0" w:space="0" w:color="auto"/>
            <w:right w:val="none" w:sz="0" w:space="0" w:color="auto"/>
          </w:divBdr>
        </w:div>
        <w:div w:id="63070450">
          <w:marLeft w:val="274"/>
          <w:marRight w:val="0"/>
          <w:marTop w:val="0"/>
          <w:marBottom w:val="120"/>
          <w:divBdr>
            <w:top w:val="none" w:sz="0" w:space="0" w:color="auto"/>
            <w:left w:val="none" w:sz="0" w:space="0" w:color="auto"/>
            <w:bottom w:val="none" w:sz="0" w:space="0" w:color="auto"/>
            <w:right w:val="none" w:sz="0" w:space="0" w:color="auto"/>
          </w:divBdr>
        </w:div>
        <w:div w:id="353115129">
          <w:marLeft w:val="274"/>
          <w:marRight w:val="0"/>
          <w:marTop w:val="0"/>
          <w:marBottom w:val="120"/>
          <w:divBdr>
            <w:top w:val="none" w:sz="0" w:space="0" w:color="auto"/>
            <w:left w:val="none" w:sz="0" w:space="0" w:color="auto"/>
            <w:bottom w:val="none" w:sz="0" w:space="0" w:color="auto"/>
            <w:right w:val="none" w:sz="0" w:space="0" w:color="auto"/>
          </w:divBdr>
        </w:div>
        <w:div w:id="369838216">
          <w:marLeft w:val="274"/>
          <w:marRight w:val="0"/>
          <w:marTop w:val="0"/>
          <w:marBottom w:val="120"/>
          <w:divBdr>
            <w:top w:val="none" w:sz="0" w:space="0" w:color="auto"/>
            <w:left w:val="none" w:sz="0" w:space="0" w:color="auto"/>
            <w:bottom w:val="none" w:sz="0" w:space="0" w:color="auto"/>
            <w:right w:val="none" w:sz="0" w:space="0" w:color="auto"/>
          </w:divBdr>
        </w:div>
        <w:div w:id="465589673">
          <w:marLeft w:val="274"/>
          <w:marRight w:val="0"/>
          <w:marTop w:val="0"/>
          <w:marBottom w:val="120"/>
          <w:divBdr>
            <w:top w:val="none" w:sz="0" w:space="0" w:color="auto"/>
            <w:left w:val="none" w:sz="0" w:space="0" w:color="auto"/>
            <w:bottom w:val="none" w:sz="0" w:space="0" w:color="auto"/>
            <w:right w:val="none" w:sz="0" w:space="0" w:color="auto"/>
          </w:divBdr>
        </w:div>
        <w:div w:id="476654365">
          <w:marLeft w:val="274"/>
          <w:marRight w:val="0"/>
          <w:marTop w:val="0"/>
          <w:marBottom w:val="120"/>
          <w:divBdr>
            <w:top w:val="none" w:sz="0" w:space="0" w:color="auto"/>
            <w:left w:val="none" w:sz="0" w:space="0" w:color="auto"/>
            <w:bottom w:val="none" w:sz="0" w:space="0" w:color="auto"/>
            <w:right w:val="none" w:sz="0" w:space="0" w:color="auto"/>
          </w:divBdr>
        </w:div>
        <w:div w:id="525945202">
          <w:marLeft w:val="274"/>
          <w:marRight w:val="0"/>
          <w:marTop w:val="0"/>
          <w:marBottom w:val="120"/>
          <w:divBdr>
            <w:top w:val="none" w:sz="0" w:space="0" w:color="auto"/>
            <w:left w:val="none" w:sz="0" w:space="0" w:color="auto"/>
            <w:bottom w:val="none" w:sz="0" w:space="0" w:color="auto"/>
            <w:right w:val="none" w:sz="0" w:space="0" w:color="auto"/>
          </w:divBdr>
        </w:div>
        <w:div w:id="582181088">
          <w:marLeft w:val="274"/>
          <w:marRight w:val="0"/>
          <w:marTop w:val="0"/>
          <w:marBottom w:val="120"/>
          <w:divBdr>
            <w:top w:val="none" w:sz="0" w:space="0" w:color="auto"/>
            <w:left w:val="none" w:sz="0" w:space="0" w:color="auto"/>
            <w:bottom w:val="none" w:sz="0" w:space="0" w:color="auto"/>
            <w:right w:val="none" w:sz="0" w:space="0" w:color="auto"/>
          </w:divBdr>
        </w:div>
        <w:div w:id="628778249">
          <w:marLeft w:val="274"/>
          <w:marRight w:val="0"/>
          <w:marTop w:val="0"/>
          <w:marBottom w:val="120"/>
          <w:divBdr>
            <w:top w:val="none" w:sz="0" w:space="0" w:color="auto"/>
            <w:left w:val="none" w:sz="0" w:space="0" w:color="auto"/>
            <w:bottom w:val="none" w:sz="0" w:space="0" w:color="auto"/>
            <w:right w:val="none" w:sz="0" w:space="0" w:color="auto"/>
          </w:divBdr>
        </w:div>
        <w:div w:id="737435568">
          <w:marLeft w:val="274"/>
          <w:marRight w:val="0"/>
          <w:marTop w:val="0"/>
          <w:marBottom w:val="120"/>
          <w:divBdr>
            <w:top w:val="none" w:sz="0" w:space="0" w:color="auto"/>
            <w:left w:val="none" w:sz="0" w:space="0" w:color="auto"/>
            <w:bottom w:val="none" w:sz="0" w:space="0" w:color="auto"/>
            <w:right w:val="none" w:sz="0" w:space="0" w:color="auto"/>
          </w:divBdr>
        </w:div>
        <w:div w:id="742142718">
          <w:marLeft w:val="274"/>
          <w:marRight w:val="0"/>
          <w:marTop w:val="0"/>
          <w:marBottom w:val="120"/>
          <w:divBdr>
            <w:top w:val="none" w:sz="0" w:space="0" w:color="auto"/>
            <w:left w:val="none" w:sz="0" w:space="0" w:color="auto"/>
            <w:bottom w:val="none" w:sz="0" w:space="0" w:color="auto"/>
            <w:right w:val="none" w:sz="0" w:space="0" w:color="auto"/>
          </w:divBdr>
        </w:div>
        <w:div w:id="962807002">
          <w:marLeft w:val="274"/>
          <w:marRight w:val="0"/>
          <w:marTop w:val="0"/>
          <w:marBottom w:val="120"/>
          <w:divBdr>
            <w:top w:val="none" w:sz="0" w:space="0" w:color="auto"/>
            <w:left w:val="none" w:sz="0" w:space="0" w:color="auto"/>
            <w:bottom w:val="none" w:sz="0" w:space="0" w:color="auto"/>
            <w:right w:val="none" w:sz="0" w:space="0" w:color="auto"/>
          </w:divBdr>
        </w:div>
        <w:div w:id="1085348330">
          <w:marLeft w:val="274"/>
          <w:marRight w:val="0"/>
          <w:marTop w:val="0"/>
          <w:marBottom w:val="120"/>
          <w:divBdr>
            <w:top w:val="none" w:sz="0" w:space="0" w:color="auto"/>
            <w:left w:val="none" w:sz="0" w:space="0" w:color="auto"/>
            <w:bottom w:val="none" w:sz="0" w:space="0" w:color="auto"/>
            <w:right w:val="none" w:sz="0" w:space="0" w:color="auto"/>
          </w:divBdr>
        </w:div>
        <w:div w:id="1144930838">
          <w:marLeft w:val="274"/>
          <w:marRight w:val="0"/>
          <w:marTop w:val="0"/>
          <w:marBottom w:val="120"/>
          <w:divBdr>
            <w:top w:val="none" w:sz="0" w:space="0" w:color="auto"/>
            <w:left w:val="none" w:sz="0" w:space="0" w:color="auto"/>
            <w:bottom w:val="none" w:sz="0" w:space="0" w:color="auto"/>
            <w:right w:val="none" w:sz="0" w:space="0" w:color="auto"/>
          </w:divBdr>
        </w:div>
        <w:div w:id="1208644679">
          <w:marLeft w:val="274"/>
          <w:marRight w:val="0"/>
          <w:marTop w:val="0"/>
          <w:marBottom w:val="120"/>
          <w:divBdr>
            <w:top w:val="none" w:sz="0" w:space="0" w:color="auto"/>
            <w:left w:val="none" w:sz="0" w:space="0" w:color="auto"/>
            <w:bottom w:val="none" w:sz="0" w:space="0" w:color="auto"/>
            <w:right w:val="none" w:sz="0" w:space="0" w:color="auto"/>
          </w:divBdr>
        </w:div>
        <w:div w:id="1220363801">
          <w:marLeft w:val="274"/>
          <w:marRight w:val="0"/>
          <w:marTop w:val="0"/>
          <w:marBottom w:val="120"/>
          <w:divBdr>
            <w:top w:val="none" w:sz="0" w:space="0" w:color="auto"/>
            <w:left w:val="none" w:sz="0" w:space="0" w:color="auto"/>
            <w:bottom w:val="none" w:sz="0" w:space="0" w:color="auto"/>
            <w:right w:val="none" w:sz="0" w:space="0" w:color="auto"/>
          </w:divBdr>
        </w:div>
        <w:div w:id="1252394832">
          <w:marLeft w:val="274"/>
          <w:marRight w:val="0"/>
          <w:marTop w:val="0"/>
          <w:marBottom w:val="120"/>
          <w:divBdr>
            <w:top w:val="none" w:sz="0" w:space="0" w:color="auto"/>
            <w:left w:val="none" w:sz="0" w:space="0" w:color="auto"/>
            <w:bottom w:val="none" w:sz="0" w:space="0" w:color="auto"/>
            <w:right w:val="none" w:sz="0" w:space="0" w:color="auto"/>
          </w:divBdr>
        </w:div>
        <w:div w:id="1326208709">
          <w:marLeft w:val="274"/>
          <w:marRight w:val="0"/>
          <w:marTop w:val="0"/>
          <w:marBottom w:val="120"/>
          <w:divBdr>
            <w:top w:val="none" w:sz="0" w:space="0" w:color="auto"/>
            <w:left w:val="none" w:sz="0" w:space="0" w:color="auto"/>
            <w:bottom w:val="none" w:sz="0" w:space="0" w:color="auto"/>
            <w:right w:val="none" w:sz="0" w:space="0" w:color="auto"/>
          </w:divBdr>
        </w:div>
        <w:div w:id="1343971739">
          <w:marLeft w:val="274"/>
          <w:marRight w:val="0"/>
          <w:marTop w:val="0"/>
          <w:marBottom w:val="120"/>
          <w:divBdr>
            <w:top w:val="none" w:sz="0" w:space="0" w:color="auto"/>
            <w:left w:val="none" w:sz="0" w:space="0" w:color="auto"/>
            <w:bottom w:val="none" w:sz="0" w:space="0" w:color="auto"/>
            <w:right w:val="none" w:sz="0" w:space="0" w:color="auto"/>
          </w:divBdr>
        </w:div>
        <w:div w:id="1347055759">
          <w:marLeft w:val="274"/>
          <w:marRight w:val="0"/>
          <w:marTop w:val="0"/>
          <w:marBottom w:val="120"/>
          <w:divBdr>
            <w:top w:val="none" w:sz="0" w:space="0" w:color="auto"/>
            <w:left w:val="none" w:sz="0" w:space="0" w:color="auto"/>
            <w:bottom w:val="none" w:sz="0" w:space="0" w:color="auto"/>
            <w:right w:val="none" w:sz="0" w:space="0" w:color="auto"/>
          </w:divBdr>
        </w:div>
        <w:div w:id="1411077565">
          <w:marLeft w:val="274"/>
          <w:marRight w:val="0"/>
          <w:marTop w:val="0"/>
          <w:marBottom w:val="120"/>
          <w:divBdr>
            <w:top w:val="none" w:sz="0" w:space="0" w:color="auto"/>
            <w:left w:val="none" w:sz="0" w:space="0" w:color="auto"/>
            <w:bottom w:val="none" w:sz="0" w:space="0" w:color="auto"/>
            <w:right w:val="none" w:sz="0" w:space="0" w:color="auto"/>
          </w:divBdr>
        </w:div>
        <w:div w:id="1847867388">
          <w:marLeft w:val="274"/>
          <w:marRight w:val="0"/>
          <w:marTop w:val="0"/>
          <w:marBottom w:val="120"/>
          <w:divBdr>
            <w:top w:val="none" w:sz="0" w:space="0" w:color="auto"/>
            <w:left w:val="none" w:sz="0" w:space="0" w:color="auto"/>
            <w:bottom w:val="none" w:sz="0" w:space="0" w:color="auto"/>
            <w:right w:val="none" w:sz="0" w:space="0" w:color="auto"/>
          </w:divBdr>
        </w:div>
      </w:divsChild>
    </w:div>
    <w:div w:id="106896352">
      <w:bodyDiv w:val="1"/>
      <w:marLeft w:val="0"/>
      <w:marRight w:val="0"/>
      <w:marTop w:val="0"/>
      <w:marBottom w:val="0"/>
      <w:divBdr>
        <w:top w:val="none" w:sz="0" w:space="0" w:color="auto"/>
        <w:left w:val="none" w:sz="0" w:space="0" w:color="auto"/>
        <w:bottom w:val="none" w:sz="0" w:space="0" w:color="auto"/>
        <w:right w:val="none" w:sz="0" w:space="0" w:color="auto"/>
      </w:divBdr>
    </w:div>
    <w:div w:id="122237842">
      <w:bodyDiv w:val="1"/>
      <w:marLeft w:val="0"/>
      <w:marRight w:val="0"/>
      <w:marTop w:val="0"/>
      <w:marBottom w:val="0"/>
      <w:divBdr>
        <w:top w:val="none" w:sz="0" w:space="0" w:color="auto"/>
        <w:left w:val="none" w:sz="0" w:space="0" w:color="auto"/>
        <w:bottom w:val="none" w:sz="0" w:space="0" w:color="auto"/>
        <w:right w:val="none" w:sz="0" w:space="0" w:color="auto"/>
      </w:divBdr>
    </w:div>
    <w:div w:id="131027123">
      <w:bodyDiv w:val="1"/>
      <w:marLeft w:val="0"/>
      <w:marRight w:val="0"/>
      <w:marTop w:val="0"/>
      <w:marBottom w:val="0"/>
      <w:divBdr>
        <w:top w:val="none" w:sz="0" w:space="0" w:color="auto"/>
        <w:left w:val="none" w:sz="0" w:space="0" w:color="auto"/>
        <w:bottom w:val="none" w:sz="0" w:space="0" w:color="auto"/>
        <w:right w:val="none" w:sz="0" w:space="0" w:color="auto"/>
      </w:divBdr>
    </w:div>
    <w:div w:id="131799002">
      <w:bodyDiv w:val="1"/>
      <w:marLeft w:val="0"/>
      <w:marRight w:val="0"/>
      <w:marTop w:val="0"/>
      <w:marBottom w:val="0"/>
      <w:divBdr>
        <w:top w:val="none" w:sz="0" w:space="0" w:color="auto"/>
        <w:left w:val="none" w:sz="0" w:space="0" w:color="auto"/>
        <w:bottom w:val="none" w:sz="0" w:space="0" w:color="auto"/>
        <w:right w:val="none" w:sz="0" w:space="0" w:color="auto"/>
      </w:divBdr>
      <w:divsChild>
        <w:div w:id="630942785">
          <w:marLeft w:val="274"/>
          <w:marRight w:val="0"/>
          <w:marTop w:val="0"/>
          <w:marBottom w:val="0"/>
          <w:divBdr>
            <w:top w:val="none" w:sz="0" w:space="0" w:color="auto"/>
            <w:left w:val="none" w:sz="0" w:space="0" w:color="auto"/>
            <w:bottom w:val="none" w:sz="0" w:space="0" w:color="auto"/>
            <w:right w:val="none" w:sz="0" w:space="0" w:color="auto"/>
          </w:divBdr>
        </w:div>
        <w:div w:id="449975088">
          <w:marLeft w:val="274"/>
          <w:marRight w:val="0"/>
          <w:marTop w:val="0"/>
          <w:marBottom w:val="0"/>
          <w:divBdr>
            <w:top w:val="none" w:sz="0" w:space="0" w:color="auto"/>
            <w:left w:val="none" w:sz="0" w:space="0" w:color="auto"/>
            <w:bottom w:val="none" w:sz="0" w:space="0" w:color="auto"/>
            <w:right w:val="none" w:sz="0" w:space="0" w:color="auto"/>
          </w:divBdr>
        </w:div>
      </w:divsChild>
    </w:div>
    <w:div w:id="139932680">
      <w:bodyDiv w:val="1"/>
      <w:marLeft w:val="0"/>
      <w:marRight w:val="0"/>
      <w:marTop w:val="0"/>
      <w:marBottom w:val="0"/>
      <w:divBdr>
        <w:top w:val="none" w:sz="0" w:space="0" w:color="auto"/>
        <w:left w:val="none" w:sz="0" w:space="0" w:color="auto"/>
        <w:bottom w:val="none" w:sz="0" w:space="0" w:color="auto"/>
        <w:right w:val="none" w:sz="0" w:space="0" w:color="auto"/>
      </w:divBdr>
      <w:divsChild>
        <w:div w:id="44529691">
          <w:marLeft w:val="274"/>
          <w:marRight w:val="0"/>
          <w:marTop w:val="200"/>
          <w:marBottom w:val="0"/>
          <w:divBdr>
            <w:top w:val="none" w:sz="0" w:space="0" w:color="auto"/>
            <w:left w:val="none" w:sz="0" w:space="0" w:color="auto"/>
            <w:bottom w:val="none" w:sz="0" w:space="0" w:color="auto"/>
            <w:right w:val="none" w:sz="0" w:space="0" w:color="auto"/>
          </w:divBdr>
        </w:div>
        <w:div w:id="119693897">
          <w:marLeft w:val="360"/>
          <w:marRight w:val="0"/>
          <w:marTop w:val="200"/>
          <w:marBottom w:val="0"/>
          <w:divBdr>
            <w:top w:val="none" w:sz="0" w:space="0" w:color="auto"/>
            <w:left w:val="none" w:sz="0" w:space="0" w:color="auto"/>
            <w:bottom w:val="none" w:sz="0" w:space="0" w:color="auto"/>
            <w:right w:val="none" w:sz="0" w:space="0" w:color="auto"/>
          </w:divBdr>
        </w:div>
        <w:div w:id="1069186077">
          <w:marLeft w:val="360"/>
          <w:marRight w:val="0"/>
          <w:marTop w:val="200"/>
          <w:marBottom w:val="0"/>
          <w:divBdr>
            <w:top w:val="none" w:sz="0" w:space="0" w:color="auto"/>
            <w:left w:val="none" w:sz="0" w:space="0" w:color="auto"/>
            <w:bottom w:val="none" w:sz="0" w:space="0" w:color="auto"/>
            <w:right w:val="none" w:sz="0" w:space="0" w:color="auto"/>
          </w:divBdr>
        </w:div>
        <w:div w:id="1364287798">
          <w:marLeft w:val="274"/>
          <w:marRight w:val="0"/>
          <w:marTop w:val="200"/>
          <w:marBottom w:val="0"/>
          <w:divBdr>
            <w:top w:val="none" w:sz="0" w:space="0" w:color="auto"/>
            <w:left w:val="none" w:sz="0" w:space="0" w:color="auto"/>
            <w:bottom w:val="none" w:sz="0" w:space="0" w:color="auto"/>
            <w:right w:val="none" w:sz="0" w:space="0" w:color="auto"/>
          </w:divBdr>
        </w:div>
        <w:div w:id="1477868983">
          <w:marLeft w:val="274"/>
          <w:marRight w:val="0"/>
          <w:marTop w:val="200"/>
          <w:marBottom w:val="0"/>
          <w:divBdr>
            <w:top w:val="none" w:sz="0" w:space="0" w:color="auto"/>
            <w:left w:val="none" w:sz="0" w:space="0" w:color="auto"/>
            <w:bottom w:val="none" w:sz="0" w:space="0" w:color="auto"/>
            <w:right w:val="none" w:sz="0" w:space="0" w:color="auto"/>
          </w:divBdr>
        </w:div>
        <w:div w:id="2065252314">
          <w:marLeft w:val="274"/>
          <w:marRight w:val="0"/>
          <w:marTop w:val="200"/>
          <w:marBottom w:val="0"/>
          <w:divBdr>
            <w:top w:val="none" w:sz="0" w:space="0" w:color="auto"/>
            <w:left w:val="none" w:sz="0" w:space="0" w:color="auto"/>
            <w:bottom w:val="none" w:sz="0" w:space="0" w:color="auto"/>
            <w:right w:val="none" w:sz="0" w:space="0" w:color="auto"/>
          </w:divBdr>
        </w:div>
      </w:divsChild>
    </w:div>
    <w:div w:id="150147950">
      <w:bodyDiv w:val="1"/>
      <w:marLeft w:val="0"/>
      <w:marRight w:val="0"/>
      <w:marTop w:val="0"/>
      <w:marBottom w:val="0"/>
      <w:divBdr>
        <w:top w:val="none" w:sz="0" w:space="0" w:color="auto"/>
        <w:left w:val="none" w:sz="0" w:space="0" w:color="auto"/>
        <w:bottom w:val="none" w:sz="0" w:space="0" w:color="auto"/>
        <w:right w:val="none" w:sz="0" w:space="0" w:color="auto"/>
      </w:divBdr>
    </w:div>
    <w:div w:id="164980640">
      <w:bodyDiv w:val="1"/>
      <w:marLeft w:val="0"/>
      <w:marRight w:val="0"/>
      <w:marTop w:val="0"/>
      <w:marBottom w:val="0"/>
      <w:divBdr>
        <w:top w:val="none" w:sz="0" w:space="0" w:color="auto"/>
        <w:left w:val="none" w:sz="0" w:space="0" w:color="auto"/>
        <w:bottom w:val="none" w:sz="0" w:space="0" w:color="auto"/>
        <w:right w:val="none" w:sz="0" w:space="0" w:color="auto"/>
      </w:divBdr>
    </w:div>
    <w:div w:id="165248327">
      <w:bodyDiv w:val="1"/>
      <w:marLeft w:val="0"/>
      <w:marRight w:val="0"/>
      <w:marTop w:val="0"/>
      <w:marBottom w:val="0"/>
      <w:divBdr>
        <w:top w:val="none" w:sz="0" w:space="0" w:color="auto"/>
        <w:left w:val="none" w:sz="0" w:space="0" w:color="auto"/>
        <w:bottom w:val="none" w:sz="0" w:space="0" w:color="auto"/>
        <w:right w:val="none" w:sz="0" w:space="0" w:color="auto"/>
      </w:divBdr>
      <w:divsChild>
        <w:div w:id="341053595">
          <w:marLeft w:val="274"/>
          <w:marRight w:val="0"/>
          <w:marTop w:val="200"/>
          <w:marBottom w:val="0"/>
          <w:divBdr>
            <w:top w:val="none" w:sz="0" w:space="0" w:color="auto"/>
            <w:left w:val="none" w:sz="0" w:space="0" w:color="auto"/>
            <w:bottom w:val="none" w:sz="0" w:space="0" w:color="auto"/>
            <w:right w:val="none" w:sz="0" w:space="0" w:color="auto"/>
          </w:divBdr>
        </w:div>
        <w:div w:id="1533110775">
          <w:marLeft w:val="274"/>
          <w:marRight w:val="0"/>
          <w:marTop w:val="200"/>
          <w:marBottom w:val="0"/>
          <w:divBdr>
            <w:top w:val="none" w:sz="0" w:space="0" w:color="auto"/>
            <w:left w:val="none" w:sz="0" w:space="0" w:color="auto"/>
            <w:bottom w:val="none" w:sz="0" w:space="0" w:color="auto"/>
            <w:right w:val="none" w:sz="0" w:space="0" w:color="auto"/>
          </w:divBdr>
        </w:div>
      </w:divsChild>
    </w:div>
    <w:div w:id="193076046">
      <w:bodyDiv w:val="1"/>
      <w:marLeft w:val="0"/>
      <w:marRight w:val="0"/>
      <w:marTop w:val="0"/>
      <w:marBottom w:val="0"/>
      <w:divBdr>
        <w:top w:val="none" w:sz="0" w:space="0" w:color="auto"/>
        <w:left w:val="none" w:sz="0" w:space="0" w:color="auto"/>
        <w:bottom w:val="none" w:sz="0" w:space="0" w:color="auto"/>
        <w:right w:val="none" w:sz="0" w:space="0" w:color="auto"/>
      </w:divBdr>
      <w:divsChild>
        <w:div w:id="5333668">
          <w:marLeft w:val="274"/>
          <w:marRight w:val="0"/>
          <w:marTop w:val="200"/>
          <w:marBottom w:val="0"/>
          <w:divBdr>
            <w:top w:val="none" w:sz="0" w:space="0" w:color="auto"/>
            <w:left w:val="none" w:sz="0" w:space="0" w:color="auto"/>
            <w:bottom w:val="none" w:sz="0" w:space="0" w:color="auto"/>
            <w:right w:val="none" w:sz="0" w:space="0" w:color="auto"/>
          </w:divBdr>
        </w:div>
        <w:div w:id="555287454">
          <w:marLeft w:val="274"/>
          <w:marRight w:val="0"/>
          <w:marTop w:val="200"/>
          <w:marBottom w:val="0"/>
          <w:divBdr>
            <w:top w:val="none" w:sz="0" w:space="0" w:color="auto"/>
            <w:left w:val="none" w:sz="0" w:space="0" w:color="auto"/>
            <w:bottom w:val="none" w:sz="0" w:space="0" w:color="auto"/>
            <w:right w:val="none" w:sz="0" w:space="0" w:color="auto"/>
          </w:divBdr>
        </w:div>
        <w:div w:id="705759081">
          <w:marLeft w:val="360"/>
          <w:marRight w:val="0"/>
          <w:marTop w:val="200"/>
          <w:marBottom w:val="0"/>
          <w:divBdr>
            <w:top w:val="none" w:sz="0" w:space="0" w:color="auto"/>
            <w:left w:val="none" w:sz="0" w:space="0" w:color="auto"/>
            <w:bottom w:val="none" w:sz="0" w:space="0" w:color="auto"/>
            <w:right w:val="none" w:sz="0" w:space="0" w:color="auto"/>
          </w:divBdr>
        </w:div>
        <w:div w:id="1340542850">
          <w:marLeft w:val="360"/>
          <w:marRight w:val="0"/>
          <w:marTop w:val="200"/>
          <w:marBottom w:val="0"/>
          <w:divBdr>
            <w:top w:val="none" w:sz="0" w:space="0" w:color="auto"/>
            <w:left w:val="none" w:sz="0" w:space="0" w:color="auto"/>
            <w:bottom w:val="none" w:sz="0" w:space="0" w:color="auto"/>
            <w:right w:val="none" w:sz="0" w:space="0" w:color="auto"/>
          </w:divBdr>
        </w:div>
        <w:div w:id="1814330046">
          <w:marLeft w:val="360"/>
          <w:marRight w:val="0"/>
          <w:marTop w:val="200"/>
          <w:marBottom w:val="0"/>
          <w:divBdr>
            <w:top w:val="none" w:sz="0" w:space="0" w:color="auto"/>
            <w:left w:val="none" w:sz="0" w:space="0" w:color="auto"/>
            <w:bottom w:val="none" w:sz="0" w:space="0" w:color="auto"/>
            <w:right w:val="none" w:sz="0" w:space="0" w:color="auto"/>
          </w:divBdr>
        </w:div>
        <w:div w:id="2068410899">
          <w:marLeft w:val="360"/>
          <w:marRight w:val="0"/>
          <w:marTop w:val="200"/>
          <w:marBottom w:val="0"/>
          <w:divBdr>
            <w:top w:val="none" w:sz="0" w:space="0" w:color="auto"/>
            <w:left w:val="none" w:sz="0" w:space="0" w:color="auto"/>
            <w:bottom w:val="none" w:sz="0" w:space="0" w:color="auto"/>
            <w:right w:val="none" w:sz="0" w:space="0" w:color="auto"/>
          </w:divBdr>
        </w:div>
      </w:divsChild>
    </w:div>
    <w:div w:id="219440118">
      <w:bodyDiv w:val="1"/>
      <w:marLeft w:val="0"/>
      <w:marRight w:val="0"/>
      <w:marTop w:val="0"/>
      <w:marBottom w:val="0"/>
      <w:divBdr>
        <w:top w:val="none" w:sz="0" w:space="0" w:color="auto"/>
        <w:left w:val="none" w:sz="0" w:space="0" w:color="auto"/>
        <w:bottom w:val="none" w:sz="0" w:space="0" w:color="auto"/>
        <w:right w:val="none" w:sz="0" w:space="0" w:color="auto"/>
      </w:divBdr>
    </w:div>
    <w:div w:id="222373999">
      <w:bodyDiv w:val="1"/>
      <w:marLeft w:val="0"/>
      <w:marRight w:val="0"/>
      <w:marTop w:val="0"/>
      <w:marBottom w:val="0"/>
      <w:divBdr>
        <w:top w:val="none" w:sz="0" w:space="0" w:color="auto"/>
        <w:left w:val="none" w:sz="0" w:space="0" w:color="auto"/>
        <w:bottom w:val="none" w:sz="0" w:space="0" w:color="auto"/>
        <w:right w:val="none" w:sz="0" w:space="0" w:color="auto"/>
      </w:divBdr>
    </w:div>
    <w:div w:id="237911401">
      <w:bodyDiv w:val="1"/>
      <w:marLeft w:val="0"/>
      <w:marRight w:val="0"/>
      <w:marTop w:val="0"/>
      <w:marBottom w:val="0"/>
      <w:divBdr>
        <w:top w:val="none" w:sz="0" w:space="0" w:color="auto"/>
        <w:left w:val="none" w:sz="0" w:space="0" w:color="auto"/>
        <w:bottom w:val="none" w:sz="0" w:space="0" w:color="auto"/>
        <w:right w:val="none" w:sz="0" w:space="0" w:color="auto"/>
      </w:divBdr>
    </w:div>
    <w:div w:id="259922267">
      <w:bodyDiv w:val="1"/>
      <w:marLeft w:val="0"/>
      <w:marRight w:val="0"/>
      <w:marTop w:val="0"/>
      <w:marBottom w:val="0"/>
      <w:divBdr>
        <w:top w:val="none" w:sz="0" w:space="0" w:color="auto"/>
        <w:left w:val="none" w:sz="0" w:space="0" w:color="auto"/>
        <w:bottom w:val="none" w:sz="0" w:space="0" w:color="auto"/>
        <w:right w:val="none" w:sz="0" w:space="0" w:color="auto"/>
      </w:divBdr>
    </w:div>
    <w:div w:id="287126398">
      <w:bodyDiv w:val="1"/>
      <w:marLeft w:val="0"/>
      <w:marRight w:val="0"/>
      <w:marTop w:val="0"/>
      <w:marBottom w:val="0"/>
      <w:divBdr>
        <w:top w:val="none" w:sz="0" w:space="0" w:color="auto"/>
        <w:left w:val="none" w:sz="0" w:space="0" w:color="auto"/>
        <w:bottom w:val="none" w:sz="0" w:space="0" w:color="auto"/>
        <w:right w:val="none" w:sz="0" w:space="0" w:color="auto"/>
      </w:divBdr>
    </w:div>
    <w:div w:id="302732338">
      <w:bodyDiv w:val="1"/>
      <w:marLeft w:val="0"/>
      <w:marRight w:val="0"/>
      <w:marTop w:val="0"/>
      <w:marBottom w:val="0"/>
      <w:divBdr>
        <w:top w:val="none" w:sz="0" w:space="0" w:color="auto"/>
        <w:left w:val="none" w:sz="0" w:space="0" w:color="auto"/>
        <w:bottom w:val="none" w:sz="0" w:space="0" w:color="auto"/>
        <w:right w:val="none" w:sz="0" w:space="0" w:color="auto"/>
      </w:divBdr>
      <w:divsChild>
        <w:div w:id="52588570">
          <w:marLeft w:val="547"/>
          <w:marRight w:val="0"/>
          <w:marTop w:val="0"/>
          <w:marBottom w:val="0"/>
          <w:divBdr>
            <w:top w:val="none" w:sz="0" w:space="0" w:color="auto"/>
            <w:left w:val="none" w:sz="0" w:space="0" w:color="auto"/>
            <w:bottom w:val="none" w:sz="0" w:space="0" w:color="auto"/>
            <w:right w:val="none" w:sz="0" w:space="0" w:color="auto"/>
          </w:divBdr>
        </w:div>
        <w:div w:id="158621695">
          <w:marLeft w:val="1166"/>
          <w:marRight w:val="0"/>
          <w:marTop w:val="0"/>
          <w:marBottom w:val="0"/>
          <w:divBdr>
            <w:top w:val="none" w:sz="0" w:space="0" w:color="auto"/>
            <w:left w:val="none" w:sz="0" w:space="0" w:color="auto"/>
            <w:bottom w:val="none" w:sz="0" w:space="0" w:color="auto"/>
            <w:right w:val="none" w:sz="0" w:space="0" w:color="auto"/>
          </w:divBdr>
        </w:div>
        <w:div w:id="287666053">
          <w:marLeft w:val="1166"/>
          <w:marRight w:val="0"/>
          <w:marTop w:val="0"/>
          <w:marBottom w:val="0"/>
          <w:divBdr>
            <w:top w:val="none" w:sz="0" w:space="0" w:color="auto"/>
            <w:left w:val="none" w:sz="0" w:space="0" w:color="auto"/>
            <w:bottom w:val="none" w:sz="0" w:space="0" w:color="auto"/>
            <w:right w:val="none" w:sz="0" w:space="0" w:color="auto"/>
          </w:divBdr>
        </w:div>
        <w:div w:id="524026785">
          <w:marLeft w:val="1166"/>
          <w:marRight w:val="0"/>
          <w:marTop w:val="0"/>
          <w:marBottom w:val="0"/>
          <w:divBdr>
            <w:top w:val="none" w:sz="0" w:space="0" w:color="auto"/>
            <w:left w:val="none" w:sz="0" w:space="0" w:color="auto"/>
            <w:bottom w:val="none" w:sz="0" w:space="0" w:color="auto"/>
            <w:right w:val="none" w:sz="0" w:space="0" w:color="auto"/>
          </w:divBdr>
        </w:div>
        <w:div w:id="721905576">
          <w:marLeft w:val="1166"/>
          <w:marRight w:val="0"/>
          <w:marTop w:val="0"/>
          <w:marBottom w:val="0"/>
          <w:divBdr>
            <w:top w:val="none" w:sz="0" w:space="0" w:color="auto"/>
            <w:left w:val="none" w:sz="0" w:space="0" w:color="auto"/>
            <w:bottom w:val="none" w:sz="0" w:space="0" w:color="auto"/>
            <w:right w:val="none" w:sz="0" w:space="0" w:color="auto"/>
          </w:divBdr>
        </w:div>
        <w:div w:id="838079793">
          <w:marLeft w:val="1166"/>
          <w:marRight w:val="0"/>
          <w:marTop w:val="0"/>
          <w:marBottom w:val="0"/>
          <w:divBdr>
            <w:top w:val="none" w:sz="0" w:space="0" w:color="auto"/>
            <w:left w:val="none" w:sz="0" w:space="0" w:color="auto"/>
            <w:bottom w:val="none" w:sz="0" w:space="0" w:color="auto"/>
            <w:right w:val="none" w:sz="0" w:space="0" w:color="auto"/>
          </w:divBdr>
        </w:div>
        <w:div w:id="935672702">
          <w:marLeft w:val="1166"/>
          <w:marRight w:val="0"/>
          <w:marTop w:val="0"/>
          <w:marBottom w:val="0"/>
          <w:divBdr>
            <w:top w:val="none" w:sz="0" w:space="0" w:color="auto"/>
            <w:left w:val="none" w:sz="0" w:space="0" w:color="auto"/>
            <w:bottom w:val="none" w:sz="0" w:space="0" w:color="auto"/>
            <w:right w:val="none" w:sz="0" w:space="0" w:color="auto"/>
          </w:divBdr>
        </w:div>
        <w:div w:id="949311548">
          <w:marLeft w:val="1800"/>
          <w:marRight w:val="0"/>
          <w:marTop w:val="0"/>
          <w:marBottom w:val="160"/>
          <w:divBdr>
            <w:top w:val="none" w:sz="0" w:space="0" w:color="auto"/>
            <w:left w:val="none" w:sz="0" w:space="0" w:color="auto"/>
            <w:bottom w:val="none" w:sz="0" w:space="0" w:color="auto"/>
            <w:right w:val="none" w:sz="0" w:space="0" w:color="auto"/>
          </w:divBdr>
        </w:div>
        <w:div w:id="979847297">
          <w:marLeft w:val="547"/>
          <w:marRight w:val="0"/>
          <w:marTop w:val="0"/>
          <w:marBottom w:val="0"/>
          <w:divBdr>
            <w:top w:val="none" w:sz="0" w:space="0" w:color="auto"/>
            <w:left w:val="none" w:sz="0" w:space="0" w:color="auto"/>
            <w:bottom w:val="none" w:sz="0" w:space="0" w:color="auto"/>
            <w:right w:val="none" w:sz="0" w:space="0" w:color="auto"/>
          </w:divBdr>
        </w:div>
        <w:div w:id="1214080438">
          <w:marLeft w:val="1166"/>
          <w:marRight w:val="0"/>
          <w:marTop w:val="0"/>
          <w:marBottom w:val="0"/>
          <w:divBdr>
            <w:top w:val="none" w:sz="0" w:space="0" w:color="auto"/>
            <w:left w:val="none" w:sz="0" w:space="0" w:color="auto"/>
            <w:bottom w:val="none" w:sz="0" w:space="0" w:color="auto"/>
            <w:right w:val="none" w:sz="0" w:space="0" w:color="auto"/>
          </w:divBdr>
        </w:div>
        <w:div w:id="1262378714">
          <w:marLeft w:val="547"/>
          <w:marRight w:val="0"/>
          <w:marTop w:val="0"/>
          <w:marBottom w:val="0"/>
          <w:divBdr>
            <w:top w:val="none" w:sz="0" w:space="0" w:color="auto"/>
            <w:left w:val="none" w:sz="0" w:space="0" w:color="auto"/>
            <w:bottom w:val="none" w:sz="0" w:space="0" w:color="auto"/>
            <w:right w:val="none" w:sz="0" w:space="0" w:color="auto"/>
          </w:divBdr>
        </w:div>
        <w:div w:id="1503930566">
          <w:marLeft w:val="1166"/>
          <w:marRight w:val="0"/>
          <w:marTop w:val="0"/>
          <w:marBottom w:val="0"/>
          <w:divBdr>
            <w:top w:val="none" w:sz="0" w:space="0" w:color="auto"/>
            <w:left w:val="none" w:sz="0" w:space="0" w:color="auto"/>
            <w:bottom w:val="none" w:sz="0" w:space="0" w:color="auto"/>
            <w:right w:val="none" w:sz="0" w:space="0" w:color="auto"/>
          </w:divBdr>
        </w:div>
        <w:div w:id="1634092546">
          <w:marLeft w:val="1800"/>
          <w:marRight w:val="0"/>
          <w:marTop w:val="0"/>
          <w:marBottom w:val="0"/>
          <w:divBdr>
            <w:top w:val="none" w:sz="0" w:space="0" w:color="auto"/>
            <w:left w:val="none" w:sz="0" w:space="0" w:color="auto"/>
            <w:bottom w:val="none" w:sz="0" w:space="0" w:color="auto"/>
            <w:right w:val="none" w:sz="0" w:space="0" w:color="auto"/>
          </w:divBdr>
        </w:div>
      </w:divsChild>
    </w:div>
    <w:div w:id="307902364">
      <w:bodyDiv w:val="1"/>
      <w:marLeft w:val="0"/>
      <w:marRight w:val="0"/>
      <w:marTop w:val="0"/>
      <w:marBottom w:val="0"/>
      <w:divBdr>
        <w:top w:val="none" w:sz="0" w:space="0" w:color="auto"/>
        <w:left w:val="none" w:sz="0" w:space="0" w:color="auto"/>
        <w:bottom w:val="none" w:sz="0" w:space="0" w:color="auto"/>
        <w:right w:val="none" w:sz="0" w:space="0" w:color="auto"/>
      </w:divBdr>
    </w:div>
    <w:div w:id="331221724">
      <w:bodyDiv w:val="1"/>
      <w:marLeft w:val="0"/>
      <w:marRight w:val="0"/>
      <w:marTop w:val="0"/>
      <w:marBottom w:val="0"/>
      <w:divBdr>
        <w:top w:val="none" w:sz="0" w:space="0" w:color="auto"/>
        <w:left w:val="none" w:sz="0" w:space="0" w:color="auto"/>
        <w:bottom w:val="none" w:sz="0" w:space="0" w:color="auto"/>
        <w:right w:val="none" w:sz="0" w:space="0" w:color="auto"/>
      </w:divBdr>
      <w:divsChild>
        <w:div w:id="45490566">
          <w:marLeft w:val="547"/>
          <w:marRight w:val="0"/>
          <w:marTop w:val="20"/>
          <w:marBottom w:val="20"/>
          <w:divBdr>
            <w:top w:val="none" w:sz="0" w:space="0" w:color="auto"/>
            <w:left w:val="none" w:sz="0" w:space="0" w:color="auto"/>
            <w:bottom w:val="none" w:sz="0" w:space="0" w:color="auto"/>
            <w:right w:val="none" w:sz="0" w:space="0" w:color="auto"/>
          </w:divBdr>
        </w:div>
        <w:div w:id="45686385">
          <w:marLeft w:val="547"/>
          <w:marRight w:val="0"/>
          <w:marTop w:val="20"/>
          <w:marBottom w:val="20"/>
          <w:divBdr>
            <w:top w:val="none" w:sz="0" w:space="0" w:color="auto"/>
            <w:left w:val="none" w:sz="0" w:space="0" w:color="auto"/>
            <w:bottom w:val="none" w:sz="0" w:space="0" w:color="auto"/>
            <w:right w:val="none" w:sz="0" w:space="0" w:color="auto"/>
          </w:divBdr>
        </w:div>
        <w:div w:id="330529466">
          <w:marLeft w:val="547"/>
          <w:marRight w:val="0"/>
          <w:marTop w:val="20"/>
          <w:marBottom w:val="20"/>
          <w:divBdr>
            <w:top w:val="none" w:sz="0" w:space="0" w:color="auto"/>
            <w:left w:val="none" w:sz="0" w:space="0" w:color="auto"/>
            <w:bottom w:val="none" w:sz="0" w:space="0" w:color="auto"/>
            <w:right w:val="none" w:sz="0" w:space="0" w:color="auto"/>
          </w:divBdr>
        </w:div>
        <w:div w:id="416050604">
          <w:marLeft w:val="547"/>
          <w:marRight w:val="0"/>
          <w:marTop w:val="20"/>
          <w:marBottom w:val="20"/>
          <w:divBdr>
            <w:top w:val="none" w:sz="0" w:space="0" w:color="auto"/>
            <w:left w:val="none" w:sz="0" w:space="0" w:color="auto"/>
            <w:bottom w:val="none" w:sz="0" w:space="0" w:color="auto"/>
            <w:right w:val="none" w:sz="0" w:space="0" w:color="auto"/>
          </w:divBdr>
        </w:div>
        <w:div w:id="482432177">
          <w:marLeft w:val="547"/>
          <w:marRight w:val="0"/>
          <w:marTop w:val="20"/>
          <w:marBottom w:val="20"/>
          <w:divBdr>
            <w:top w:val="none" w:sz="0" w:space="0" w:color="auto"/>
            <w:left w:val="none" w:sz="0" w:space="0" w:color="auto"/>
            <w:bottom w:val="none" w:sz="0" w:space="0" w:color="auto"/>
            <w:right w:val="none" w:sz="0" w:space="0" w:color="auto"/>
          </w:divBdr>
        </w:div>
        <w:div w:id="500005078">
          <w:marLeft w:val="547"/>
          <w:marRight w:val="0"/>
          <w:marTop w:val="20"/>
          <w:marBottom w:val="20"/>
          <w:divBdr>
            <w:top w:val="none" w:sz="0" w:space="0" w:color="auto"/>
            <w:left w:val="none" w:sz="0" w:space="0" w:color="auto"/>
            <w:bottom w:val="none" w:sz="0" w:space="0" w:color="auto"/>
            <w:right w:val="none" w:sz="0" w:space="0" w:color="auto"/>
          </w:divBdr>
        </w:div>
        <w:div w:id="529222566">
          <w:marLeft w:val="547"/>
          <w:marRight w:val="0"/>
          <w:marTop w:val="20"/>
          <w:marBottom w:val="20"/>
          <w:divBdr>
            <w:top w:val="none" w:sz="0" w:space="0" w:color="auto"/>
            <w:left w:val="none" w:sz="0" w:space="0" w:color="auto"/>
            <w:bottom w:val="none" w:sz="0" w:space="0" w:color="auto"/>
            <w:right w:val="none" w:sz="0" w:space="0" w:color="auto"/>
          </w:divBdr>
        </w:div>
        <w:div w:id="554705557">
          <w:marLeft w:val="547"/>
          <w:marRight w:val="0"/>
          <w:marTop w:val="20"/>
          <w:marBottom w:val="20"/>
          <w:divBdr>
            <w:top w:val="none" w:sz="0" w:space="0" w:color="auto"/>
            <w:left w:val="none" w:sz="0" w:space="0" w:color="auto"/>
            <w:bottom w:val="none" w:sz="0" w:space="0" w:color="auto"/>
            <w:right w:val="none" w:sz="0" w:space="0" w:color="auto"/>
          </w:divBdr>
        </w:div>
        <w:div w:id="796410792">
          <w:marLeft w:val="547"/>
          <w:marRight w:val="0"/>
          <w:marTop w:val="20"/>
          <w:marBottom w:val="20"/>
          <w:divBdr>
            <w:top w:val="none" w:sz="0" w:space="0" w:color="auto"/>
            <w:left w:val="none" w:sz="0" w:space="0" w:color="auto"/>
            <w:bottom w:val="none" w:sz="0" w:space="0" w:color="auto"/>
            <w:right w:val="none" w:sz="0" w:space="0" w:color="auto"/>
          </w:divBdr>
        </w:div>
        <w:div w:id="807163216">
          <w:marLeft w:val="547"/>
          <w:marRight w:val="0"/>
          <w:marTop w:val="20"/>
          <w:marBottom w:val="20"/>
          <w:divBdr>
            <w:top w:val="none" w:sz="0" w:space="0" w:color="auto"/>
            <w:left w:val="none" w:sz="0" w:space="0" w:color="auto"/>
            <w:bottom w:val="none" w:sz="0" w:space="0" w:color="auto"/>
            <w:right w:val="none" w:sz="0" w:space="0" w:color="auto"/>
          </w:divBdr>
        </w:div>
        <w:div w:id="847911474">
          <w:marLeft w:val="547"/>
          <w:marRight w:val="0"/>
          <w:marTop w:val="20"/>
          <w:marBottom w:val="20"/>
          <w:divBdr>
            <w:top w:val="none" w:sz="0" w:space="0" w:color="auto"/>
            <w:left w:val="none" w:sz="0" w:space="0" w:color="auto"/>
            <w:bottom w:val="none" w:sz="0" w:space="0" w:color="auto"/>
            <w:right w:val="none" w:sz="0" w:space="0" w:color="auto"/>
          </w:divBdr>
        </w:div>
        <w:div w:id="933439838">
          <w:marLeft w:val="547"/>
          <w:marRight w:val="0"/>
          <w:marTop w:val="20"/>
          <w:marBottom w:val="20"/>
          <w:divBdr>
            <w:top w:val="none" w:sz="0" w:space="0" w:color="auto"/>
            <w:left w:val="none" w:sz="0" w:space="0" w:color="auto"/>
            <w:bottom w:val="none" w:sz="0" w:space="0" w:color="auto"/>
            <w:right w:val="none" w:sz="0" w:space="0" w:color="auto"/>
          </w:divBdr>
        </w:div>
        <w:div w:id="1042486757">
          <w:marLeft w:val="547"/>
          <w:marRight w:val="0"/>
          <w:marTop w:val="20"/>
          <w:marBottom w:val="20"/>
          <w:divBdr>
            <w:top w:val="none" w:sz="0" w:space="0" w:color="auto"/>
            <w:left w:val="none" w:sz="0" w:space="0" w:color="auto"/>
            <w:bottom w:val="none" w:sz="0" w:space="0" w:color="auto"/>
            <w:right w:val="none" w:sz="0" w:space="0" w:color="auto"/>
          </w:divBdr>
        </w:div>
        <w:div w:id="1046030884">
          <w:marLeft w:val="547"/>
          <w:marRight w:val="0"/>
          <w:marTop w:val="20"/>
          <w:marBottom w:val="20"/>
          <w:divBdr>
            <w:top w:val="none" w:sz="0" w:space="0" w:color="auto"/>
            <w:left w:val="none" w:sz="0" w:space="0" w:color="auto"/>
            <w:bottom w:val="none" w:sz="0" w:space="0" w:color="auto"/>
            <w:right w:val="none" w:sz="0" w:space="0" w:color="auto"/>
          </w:divBdr>
        </w:div>
        <w:div w:id="1047068878">
          <w:marLeft w:val="547"/>
          <w:marRight w:val="0"/>
          <w:marTop w:val="20"/>
          <w:marBottom w:val="20"/>
          <w:divBdr>
            <w:top w:val="none" w:sz="0" w:space="0" w:color="auto"/>
            <w:left w:val="none" w:sz="0" w:space="0" w:color="auto"/>
            <w:bottom w:val="none" w:sz="0" w:space="0" w:color="auto"/>
            <w:right w:val="none" w:sz="0" w:space="0" w:color="auto"/>
          </w:divBdr>
        </w:div>
        <w:div w:id="1066535558">
          <w:marLeft w:val="547"/>
          <w:marRight w:val="0"/>
          <w:marTop w:val="20"/>
          <w:marBottom w:val="20"/>
          <w:divBdr>
            <w:top w:val="none" w:sz="0" w:space="0" w:color="auto"/>
            <w:left w:val="none" w:sz="0" w:space="0" w:color="auto"/>
            <w:bottom w:val="none" w:sz="0" w:space="0" w:color="auto"/>
            <w:right w:val="none" w:sz="0" w:space="0" w:color="auto"/>
          </w:divBdr>
        </w:div>
        <w:div w:id="1091466446">
          <w:marLeft w:val="547"/>
          <w:marRight w:val="0"/>
          <w:marTop w:val="20"/>
          <w:marBottom w:val="20"/>
          <w:divBdr>
            <w:top w:val="none" w:sz="0" w:space="0" w:color="auto"/>
            <w:left w:val="none" w:sz="0" w:space="0" w:color="auto"/>
            <w:bottom w:val="none" w:sz="0" w:space="0" w:color="auto"/>
            <w:right w:val="none" w:sz="0" w:space="0" w:color="auto"/>
          </w:divBdr>
        </w:div>
        <w:div w:id="1151750380">
          <w:marLeft w:val="547"/>
          <w:marRight w:val="0"/>
          <w:marTop w:val="20"/>
          <w:marBottom w:val="20"/>
          <w:divBdr>
            <w:top w:val="none" w:sz="0" w:space="0" w:color="auto"/>
            <w:left w:val="none" w:sz="0" w:space="0" w:color="auto"/>
            <w:bottom w:val="none" w:sz="0" w:space="0" w:color="auto"/>
            <w:right w:val="none" w:sz="0" w:space="0" w:color="auto"/>
          </w:divBdr>
        </w:div>
        <w:div w:id="1193422706">
          <w:marLeft w:val="547"/>
          <w:marRight w:val="0"/>
          <w:marTop w:val="20"/>
          <w:marBottom w:val="20"/>
          <w:divBdr>
            <w:top w:val="none" w:sz="0" w:space="0" w:color="auto"/>
            <w:left w:val="none" w:sz="0" w:space="0" w:color="auto"/>
            <w:bottom w:val="none" w:sz="0" w:space="0" w:color="auto"/>
            <w:right w:val="none" w:sz="0" w:space="0" w:color="auto"/>
          </w:divBdr>
        </w:div>
        <w:div w:id="1231188835">
          <w:marLeft w:val="547"/>
          <w:marRight w:val="0"/>
          <w:marTop w:val="20"/>
          <w:marBottom w:val="20"/>
          <w:divBdr>
            <w:top w:val="none" w:sz="0" w:space="0" w:color="auto"/>
            <w:left w:val="none" w:sz="0" w:space="0" w:color="auto"/>
            <w:bottom w:val="none" w:sz="0" w:space="0" w:color="auto"/>
            <w:right w:val="none" w:sz="0" w:space="0" w:color="auto"/>
          </w:divBdr>
        </w:div>
        <w:div w:id="1368869212">
          <w:marLeft w:val="547"/>
          <w:marRight w:val="0"/>
          <w:marTop w:val="20"/>
          <w:marBottom w:val="20"/>
          <w:divBdr>
            <w:top w:val="none" w:sz="0" w:space="0" w:color="auto"/>
            <w:left w:val="none" w:sz="0" w:space="0" w:color="auto"/>
            <w:bottom w:val="none" w:sz="0" w:space="0" w:color="auto"/>
            <w:right w:val="none" w:sz="0" w:space="0" w:color="auto"/>
          </w:divBdr>
        </w:div>
        <w:div w:id="1406031199">
          <w:marLeft w:val="547"/>
          <w:marRight w:val="0"/>
          <w:marTop w:val="20"/>
          <w:marBottom w:val="20"/>
          <w:divBdr>
            <w:top w:val="none" w:sz="0" w:space="0" w:color="auto"/>
            <w:left w:val="none" w:sz="0" w:space="0" w:color="auto"/>
            <w:bottom w:val="none" w:sz="0" w:space="0" w:color="auto"/>
            <w:right w:val="none" w:sz="0" w:space="0" w:color="auto"/>
          </w:divBdr>
        </w:div>
        <w:div w:id="1450973389">
          <w:marLeft w:val="547"/>
          <w:marRight w:val="0"/>
          <w:marTop w:val="20"/>
          <w:marBottom w:val="20"/>
          <w:divBdr>
            <w:top w:val="none" w:sz="0" w:space="0" w:color="auto"/>
            <w:left w:val="none" w:sz="0" w:space="0" w:color="auto"/>
            <w:bottom w:val="none" w:sz="0" w:space="0" w:color="auto"/>
            <w:right w:val="none" w:sz="0" w:space="0" w:color="auto"/>
          </w:divBdr>
        </w:div>
        <w:div w:id="1613124328">
          <w:marLeft w:val="547"/>
          <w:marRight w:val="0"/>
          <w:marTop w:val="20"/>
          <w:marBottom w:val="20"/>
          <w:divBdr>
            <w:top w:val="none" w:sz="0" w:space="0" w:color="auto"/>
            <w:left w:val="none" w:sz="0" w:space="0" w:color="auto"/>
            <w:bottom w:val="none" w:sz="0" w:space="0" w:color="auto"/>
            <w:right w:val="none" w:sz="0" w:space="0" w:color="auto"/>
          </w:divBdr>
        </w:div>
        <w:div w:id="1689791040">
          <w:marLeft w:val="547"/>
          <w:marRight w:val="0"/>
          <w:marTop w:val="20"/>
          <w:marBottom w:val="20"/>
          <w:divBdr>
            <w:top w:val="none" w:sz="0" w:space="0" w:color="auto"/>
            <w:left w:val="none" w:sz="0" w:space="0" w:color="auto"/>
            <w:bottom w:val="none" w:sz="0" w:space="0" w:color="auto"/>
            <w:right w:val="none" w:sz="0" w:space="0" w:color="auto"/>
          </w:divBdr>
        </w:div>
        <w:div w:id="1692145848">
          <w:marLeft w:val="547"/>
          <w:marRight w:val="0"/>
          <w:marTop w:val="20"/>
          <w:marBottom w:val="20"/>
          <w:divBdr>
            <w:top w:val="none" w:sz="0" w:space="0" w:color="auto"/>
            <w:left w:val="none" w:sz="0" w:space="0" w:color="auto"/>
            <w:bottom w:val="none" w:sz="0" w:space="0" w:color="auto"/>
            <w:right w:val="none" w:sz="0" w:space="0" w:color="auto"/>
          </w:divBdr>
        </w:div>
        <w:div w:id="1754207286">
          <w:marLeft w:val="547"/>
          <w:marRight w:val="0"/>
          <w:marTop w:val="20"/>
          <w:marBottom w:val="20"/>
          <w:divBdr>
            <w:top w:val="none" w:sz="0" w:space="0" w:color="auto"/>
            <w:left w:val="none" w:sz="0" w:space="0" w:color="auto"/>
            <w:bottom w:val="none" w:sz="0" w:space="0" w:color="auto"/>
            <w:right w:val="none" w:sz="0" w:space="0" w:color="auto"/>
          </w:divBdr>
        </w:div>
        <w:div w:id="1885867687">
          <w:marLeft w:val="547"/>
          <w:marRight w:val="0"/>
          <w:marTop w:val="20"/>
          <w:marBottom w:val="20"/>
          <w:divBdr>
            <w:top w:val="none" w:sz="0" w:space="0" w:color="auto"/>
            <w:left w:val="none" w:sz="0" w:space="0" w:color="auto"/>
            <w:bottom w:val="none" w:sz="0" w:space="0" w:color="auto"/>
            <w:right w:val="none" w:sz="0" w:space="0" w:color="auto"/>
          </w:divBdr>
        </w:div>
        <w:div w:id="1888175671">
          <w:marLeft w:val="547"/>
          <w:marRight w:val="0"/>
          <w:marTop w:val="20"/>
          <w:marBottom w:val="20"/>
          <w:divBdr>
            <w:top w:val="none" w:sz="0" w:space="0" w:color="auto"/>
            <w:left w:val="none" w:sz="0" w:space="0" w:color="auto"/>
            <w:bottom w:val="none" w:sz="0" w:space="0" w:color="auto"/>
            <w:right w:val="none" w:sz="0" w:space="0" w:color="auto"/>
          </w:divBdr>
        </w:div>
        <w:div w:id="1935430765">
          <w:marLeft w:val="547"/>
          <w:marRight w:val="0"/>
          <w:marTop w:val="20"/>
          <w:marBottom w:val="20"/>
          <w:divBdr>
            <w:top w:val="none" w:sz="0" w:space="0" w:color="auto"/>
            <w:left w:val="none" w:sz="0" w:space="0" w:color="auto"/>
            <w:bottom w:val="none" w:sz="0" w:space="0" w:color="auto"/>
            <w:right w:val="none" w:sz="0" w:space="0" w:color="auto"/>
          </w:divBdr>
        </w:div>
        <w:div w:id="1966502453">
          <w:marLeft w:val="547"/>
          <w:marRight w:val="0"/>
          <w:marTop w:val="20"/>
          <w:marBottom w:val="20"/>
          <w:divBdr>
            <w:top w:val="none" w:sz="0" w:space="0" w:color="auto"/>
            <w:left w:val="none" w:sz="0" w:space="0" w:color="auto"/>
            <w:bottom w:val="none" w:sz="0" w:space="0" w:color="auto"/>
            <w:right w:val="none" w:sz="0" w:space="0" w:color="auto"/>
          </w:divBdr>
        </w:div>
        <w:div w:id="1983465476">
          <w:marLeft w:val="547"/>
          <w:marRight w:val="0"/>
          <w:marTop w:val="20"/>
          <w:marBottom w:val="20"/>
          <w:divBdr>
            <w:top w:val="none" w:sz="0" w:space="0" w:color="auto"/>
            <w:left w:val="none" w:sz="0" w:space="0" w:color="auto"/>
            <w:bottom w:val="none" w:sz="0" w:space="0" w:color="auto"/>
            <w:right w:val="none" w:sz="0" w:space="0" w:color="auto"/>
          </w:divBdr>
        </w:div>
        <w:div w:id="1984382526">
          <w:marLeft w:val="547"/>
          <w:marRight w:val="0"/>
          <w:marTop w:val="20"/>
          <w:marBottom w:val="20"/>
          <w:divBdr>
            <w:top w:val="none" w:sz="0" w:space="0" w:color="auto"/>
            <w:left w:val="none" w:sz="0" w:space="0" w:color="auto"/>
            <w:bottom w:val="none" w:sz="0" w:space="0" w:color="auto"/>
            <w:right w:val="none" w:sz="0" w:space="0" w:color="auto"/>
          </w:divBdr>
        </w:div>
        <w:div w:id="1989750378">
          <w:marLeft w:val="547"/>
          <w:marRight w:val="0"/>
          <w:marTop w:val="20"/>
          <w:marBottom w:val="20"/>
          <w:divBdr>
            <w:top w:val="none" w:sz="0" w:space="0" w:color="auto"/>
            <w:left w:val="none" w:sz="0" w:space="0" w:color="auto"/>
            <w:bottom w:val="none" w:sz="0" w:space="0" w:color="auto"/>
            <w:right w:val="none" w:sz="0" w:space="0" w:color="auto"/>
          </w:divBdr>
        </w:div>
        <w:div w:id="2015960125">
          <w:marLeft w:val="547"/>
          <w:marRight w:val="0"/>
          <w:marTop w:val="20"/>
          <w:marBottom w:val="20"/>
          <w:divBdr>
            <w:top w:val="none" w:sz="0" w:space="0" w:color="auto"/>
            <w:left w:val="none" w:sz="0" w:space="0" w:color="auto"/>
            <w:bottom w:val="none" w:sz="0" w:space="0" w:color="auto"/>
            <w:right w:val="none" w:sz="0" w:space="0" w:color="auto"/>
          </w:divBdr>
        </w:div>
      </w:divsChild>
    </w:div>
    <w:div w:id="340814017">
      <w:bodyDiv w:val="1"/>
      <w:marLeft w:val="0"/>
      <w:marRight w:val="0"/>
      <w:marTop w:val="0"/>
      <w:marBottom w:val="0"/>
      <w:divBdr>
        <w:top w:val="none" w:sz="0" w:space="0" w:color="auto"/>
        <w:left w:val="none" w:sz="0" w:space="0" w:color="auto"/>
        <w:bottom w:val="none" w:sz="0" w:space="0" w:color="auto"/>
        <w:right w:val="none" w:sz="0" w:space="0" w:color="auto"/>
      </w:divBdr>
      <w:divsChild>
        <w:div w:id="965696576">
          <w:marLeft w:val="274"/>
          <w:marRight w:val="0"/>
          <w:marTop w:val="200"/>
          <w:marBottom w:val="0"/>
          <w:divBdr>
            <w:top w:val="none" w:sz="0" w:space="0" w:color="auto"/>
            <w:left w:val="none" w:sz="0" w:space="0" w:color="auto"/>
            <w:bottom w:val="none" w:sz="0" w:space="0" w:color="auto"/>
            <w:right w:val="none" w:sz="0" w:space="0" w:color="auto"/>
          </w:divBdr>
        </w:div>
        <w:div w:id="1096973191">
          <w:marLeft w:val="274"/>
          <w:marRight w:val="0"/>
          <w:marTop w:val="200"/>
          <w:marBottom w:val="0"/>
          <w:divBdr>
            <w:top w:val="none" w:sz="0" w:space="0" w:color="auto"/>
            <w:left w:val="none" w:sz="0" w:space="0" w:color="auto"/>
            <w:bottom w:val="none" w:sz="0" w:space="0" w:color="auto"/>
            <w:right w:val="none" w:sz="0" w:space="0" w:color="auto"/>
          </w:divBdr>
        </w:div>
      </w:divsChild>
    </w:div>
    <w:div w:id="347608468">
      <w:bodyDiv w:val="1"/>
      <w:marLeft w:val="0"/>
      <w:marRight w:val="0"/>
      <w:marTop w:val="0"/>
      <w:marBottom w:val="0"/>
      <w:divBdr>
        <w:top w:val="none" w:sz="0" w:space="0" w:color="auto"/>
        <w:left w:val="none" w:sz="0" w:space="0" w:color="auto"/>
        <w:bottom w:val="none" w:sz="0" w:space="0" w:color="auto"/>
        <w:right w:val="none" w:sz="0" w:space="0" w:color="auto"/>
      </w:divBdr>
    </w:div>
    <w:div w:id="364598018">
      <w:bodyDiv w:val="1"/>
      <w:marLeft w:val="0"/>
      <w:marRight w:val="0"/>
      <w:marTop w:val="0"/>
      <w:marBottom w:val="0"/>
      <w:divBdr>
        <w:top w:val="none" w:sz="0" w:space="0" w:color="auto"/>
        <w:left w:val="none" w:sz="0" w:space="0" w:color="auto"/>
        <w:bottom w:val="none" w:sz="0" w:space="0" w:color="auto"/>
        <w:right w:val="none" w:sz="0" w:space="0" w:color="auto"/>
      </w:divBdr>
      <w:divsChild>
        <w:div w:id="192765683">
          <w:marLeft w:val="274"/>
          <w:marRight w:val="0"/>
          <w:marTop w:val="0"/>
          <w:marBottom w:val="120"/>
          <w:divBdr>
            <w:top w:val="none" w:sz="0" w:space="0" w:color="auto"/>
            <w:left w:val="none" w:sz="0" w:space="0" w:color="auto"/>
            <w:bottom w:val="none" w:sz="0" w:space="0" w:color="auto"/>
            <w:right w:val="none" w:sz="0" w:space="0" w:color="auto"/>
          </w:divBdr>
        </w:div>
        <w:div w:id="512112071">
          <w:marLeft w:val="274"/>
          <w:marRight w:val="0"/>
          <w:marTop w:val="0"/>
          <w:marBottom w:val="120"/>
          <w:divBdr>
            <w:top w:val="none" w:sz="0" w:space="0" w:color="auto"/>
            <w:left w:val="none" w:sz="0" w:space="0" w:color="auto"/>
            <w:bottom w:val="none" w:sz="0" w:space="0" w:color="auto"/>
            <w:right w:val="none" w:sz="0" w:space="0" w:color="auto"/>
          </w:divBdr>
        </w:div>
        <w:div w:id="526942161">
          <w:marLeft w:val="274"/>
          <w:marRight w:val="0"/>
          <w:marTop w:val="0"/>
          <w:marBottom w:val="120"/>
          <w:divBdr>
            <w:top w:val="none" w:sz="0" w:space="0" w:color="auto"/>
            <w:left w:val="none" w:sz="0" w:space="0" w:color="auto"/>
            <w:bottom w:val="none" w:sz="0" w:space="0" w:color="auto"/>
            <w:right w:val="none" w:sz="0" w:space="0" w:color="auto"/>
          </w:divBdr>
        </w:div>
        <w:div w:id="529608200">
          <w:marLeft w:val="274"/>
          <w:marRight w:val="0"/>
          <w:marTop w:val="0"/>
          <w:marBottom w:val="120"/>
          <w:divBdr>
            <w:top w:val="none" w:sz="0" w:space="0" w:color="auto"/>
            <w:left w:val="none" w:sz="0" w:space="0" w:color="auto"/>
            <w:bottom w:val="none" w:sz="0" w:space="0" w:color="auto"/>
            <w:right w:val="none" w:sz="0" w:space="0" w:color="auto"/>
          </w:divBdr>
        </w:div>
        <w:div w:id="539976663">
          <w:marLeft w:val="274"/>
          <w:marRight w:val="0"/>
          <w:marTop w:val="0"/>
          <w:marBottom w:val="120"/>
          <w:divBdr>
            <w:top w:val="none" w:sz="0" w:space="0" w:color="auto"/>
            <w:left w:val="none" w:sz="0" w:space="0" w:color="auto"/>
            <w:bottom w:val="none" w:sz="0" w:space="0" w:color="auto"/>
            <w:right w:val="none" w:sz="0" w:space="0" w:color="auto"/>
          </w:divBdr>
        </w:div>
        <w:div w:id="566191182">
          <w:marLeft w:val="274"/>
          <w:marRight w:val="0"/>
          <w:marTop w:val="0"/>
          <w:marBottom w:val="120"/>
          <w:divBdr>
            <w:top w:val="none" w:sz="0" w:space="0" w:color="auto"/>
            <w:left w:val="none" w:sz="0" w:space="0" w:color="auto"/>
            <w:bottom w:val="none" w:sz="0" w:space="0" w:color="auto"/>
            <w:right w:val="none" w:sz="0" w:space="0" w:color="auto"/>
          </w:divBdr>
        </w:div>
        <w:div w:id="624427657">
          <w:marLeft w:val="274"/>
          <w:marRight w:val="0"/>
          <w:marTop w:val="0"/>
          <w:marBottom w:val="120"/>
          <w:divBdr>
            <w:top w:val="none" w:sz="0" w:space="0" w:color="auto"/>
            <w:left w:val="none" w:sz="0" w:space="0" w:color="auto"/>
            <w:bottom w:val="none" w:sz="0" w:space="0" w:color="auto"/>
            <w:right w:val="none" w:sz="0" w:space="0" w:color="auto"/>
          </w:divBdr>
        </w:div>
        <w:div w:id="642974506">
          <w:marLeft w:val="274"/>
          <w:marRight w:val="0"/>
          <w:marTop w:val="0"/>
          <w:marBottom w:val="120"/>
          <w:divBdr>
            <w:top w:val="none" w:sz="0" w:space="0" w:color="auto"/>
            <w:left w:val="none" w:sz="0" w:space="0" w:color="auto"/>
            <w:bottom w:val="none" w:sz="0" w:space="0" w:color="auto"/>
            <w:right w:val="none" w:sz="0" w:space="0" w:color="auto"/>
          </w:divBdr>
        </w:div>
        <w:div w:id="821584361">
          <w:marLeft w:val="274"/>
          <w:marRight w:val="0"/>
          <w:marTop w:val="0"/>
          <w:marBottom w:val="120"/>
          <w:divBdr>
            <w:top w:val="none" w:sz="0" w:space="0" w:color="auto"/>
            <w:left w:val="none" w:sz="0" w:space="0" w:color="auto"/>
            <w:bottom w:val="none" w:sz="0" w:space="0" w:color="auto"/>
            <w:right w:val="none" w:sz="0" w:space="0" w:color="auto"/>
          </w:divBdr>
        </w:div>
        <w:div w:id="858736484">
          <w:marLeft w:val="274"/>
          <w:marRight w:val="0"/>
          <w:marTop w:val="0"/>
          <w:marBottom w:val="120"/>
          <w:divBdr>
            <w:top w:val="none" w:sz="0" w:space="0" w:color="auto"/>
            <w:left w:val="none" w:sz="0" w:space="0" w:color="auto"/>
            <w:bottom w:val="none" w:sz="0" w:space="0" w:color="auto"/>
            <w:right w:val="none" w:sz="0" w:space="0" w:color="auto"/>
          </w:divBdr>
        </w:div>
        <w:div w:id="1293361748">
          <w:marLeft w:val="274"/>
          <w:marRight w:val="0"/>
          <w:marTop w:val="0"/>
          <w:marBottom w:val="120"/>
          <w:divBdr>
            <w:top w:val="none" w:sz="0" w:space="0" w:color="auto"/>
            <w:left w:val="none" w:sz="0" w:space="0" w:color="auto"/>
            <w:bottom w:val="none" w:sz="0" w:space="0" w:color="auto"/>
            <w:right w:val="none" w:sz="0" w:space="0" w:color="auto"/>
          </w:divBdr>
        </w:div>
        <w:div w:id="1686130918">
          <w:marLeft w:val="274"/>
          <w:marRight w:val="0"/>
          <w:marTop w:val="0"/>
          <w:marBottom w:val="120"/>
          <w:divBdr>
            <w:top w:val="none" w:sz="0" w:space="0" w:color="auto"/>
            <w:left w:val="none" w:sz="0" w:space="0" w:color="auto"/>
            <w:bottom w:val="none" w:sz="0" w:space="0" w:color="auto"/>
            <w:right w:val="none" w:sz="0" w:space="0" w:color="auto"/>
          </w:divBdr>
        </w:div>
        <w:div w:id="1802964228">
          <w:marLeft w:val="274"/>
          <w:marRight w:val="0"/>
          <w:marTop w:val="0"/>
          <w:marBottom w:val="120"/>
          <w:divBdr>
            <w:top w:val="none" w:sz="0" w:space="0" w:color="auto"/>
            <w:left w:val="none" w:sz="0" w:space="0" w:color="auto"/>
            <w:bottom w:val="none" w:sz="0" w:space="0" w:color="auto"/>
            <w:right w:val="none" w:sz="0" w:space="0" w:color="auto"/>
          </w:divBdr>
        </w:div>
        <w:div w:id="1989045239">
          <w:marLeft w:val="274"/>
          <w:marRight w:val="0"/>
          <w:marTop w:val="0"/>
          <w:marBottom w:val="120"/>
          <w:divBdr>
            <w:top w:val="none" w:sz="0" w:space="0" w:color="auto"/>
            <w:left w:val="none" w:sz="0" w:space="0" w:color="auto"/>
            <w:bottom w:val="none" w:sz="0" w:space="0" w:color="auto"/>
            <w:right w:val="none" w:sz="0" w:space="0" w:color="auto"/>
          </w:divBdr>
        </w:div>
        <w:div w:id="2039499906">
          <w:marLeft w:val="274"/>
          <w:marRight w:val="0"/>
          <w:marTop w:val="0"/>
          <w:marBottom w:val="120"/>
          <w:divBdr>
            <w:top w:val="none" w:sz="0" w:space="0" w:color="auto"/>
            <w:left w:val="none" w:sz="0" w:space="0" w:color="auto"/>
            <w:bottom w:val="none" w:sz="0" w:space="0" w:color="auto"/>
            <w:right w:val="none" w:sz="0" w:space="0" w:color="auto"/>
          </w:divBdr>
        </w:div>
        <w:div w:id="2100132878">
          <w:marLeft w:val="274"/>
          <w:marRight w:val="0"/>
          <w:marTop w:val="0"/>
          <w:marBottom w:val="120"/>
          <w:divBdr>
            <w:top w:val="none" w:sz="0" w:space="0" w:color="auto"/>
            <w:left w:val="none" w:sz="0" w:space="0" w:color="auto"/>
            <w:bottom w:val="none" w:sz="0" w:space="0" w:color="auto"/>
            <w:right w:val="none" w:sz="0" w:space="0" w:color="auto"/>
          </w:divBdr>
        </w:div>
      </w:divsChild>
    </w:div>
    <w:div w:id="384178474">
      <w:bodyDiv w:val="1"/>
      <w:marLeft w:val="0"/>
      <w:marRight w:val="0"/>
      <w:marTop w:val="0"/>
      <w:marBottom w:val="0"/>
      <w:divBdr>
        <w:top w:val="none" w:sz="0" w:space="0" w:color="auto"/>
        <w:left w:val="none" w:sz="0" w:space="0" w:color="auto"/>
        <w:bottom w:val="none" w:sz="0" w:space="0" w:color="auto"/>
        <w:right w:val="none" w:sz="0" w:space="0" w:color="auto"/>
      </w:divBdr>
    </w:div>
    <w:div w:id="387537289">
      <w:bodyDiv w:val="1"/>
      <w:marLeft w:val="0"/>
      <w:marRight w:val="0"/>
      <w:marTop w:val="0"/>
      <w:marBottom w:val="0"/>
      <w:divBdr>
        <w:top w:val="none" w:sz="0" w:space="0" w:color="auto"/>
        <w:left w:val="none" w:sz="0" w:space="0" w:color="auto"/>
        <w:bottom w:val="none" w:sz="0" w:space="0" w:color="auto"/>
        <w:right w:val="none" w:sz="0" w:space="0" w:color="auto"/>
      </w:divBdr>
    </w:div>
    <w:div w:id="390428137">
      <w:bodyDiv w:val="1"/>
      <w:marLeft w:val="0"/>
      <w:marRight w:val="0"/>
      <w:marTop w:val="0"/>
      <w:marBottom w:val="0"/>
      <w:divBdr>
        <w:top w:val="none" w:sz="0" w:space="0" w:color="auto"/>
        <w:left w:val="none" w:sz="0" w:space="0" w:color="auto"/>
        <w:bottom w:val="none" w:sz="0" w:space="0" w:color="auto"/>
        <w:right w:val="none" w:sz="0" w:space="0" w:color="auto"/>
      </w:divBdr>
    </w:div>
    <w:div w:id="405032190">
      <w:bodyDiv w:val="1"/>
      <w:marLeft w:val="0"/>
      <w:marRight w:val="0"/>
      <w:marTop w:val="0"/>
      <w:marBottom w:val="0"/>
      <w:divBdr>
        <w:top w:val="none" w:sz="0" w:space="0" w:color="auto"/>
        <w:left w:val="none" w:sz="0" w:space="0" w:color="auto"/>
        <w:bottom w:val="none" w:sz="0" w:space="0" w:color="auto"/>
        <w:right w:val="none" w:sz="0" w:space="0" w:color="auto"/>
      </w:divBdr>
    </w:div>
    <w:div w:id="418451753">
      <w:bodyDiv w:val="1"/>
      <w:marLeft w:val="0"/>
      <w:marRight w:val="0"/>
      <w:marTop w:val="0"/>
      <w:marBottom w:val="0"/>
      <w:divBdr>
        <w:top w:val="none" w:sz="0" w:space="0" w:color="auto"/>
        <w:left w:val="none" w:sz="0" w:space="0" w:color="auto"/>
        <w:bottom w:val="none" w:sz="0" w:space="0" w:color="auto"/>
        <w:right w:val="none" w:sz="0" w:space="0" w:color="auto"/>
      </w:divBdr>
      <w:divsChild>
        <w:div w:id="120194174">
          <w:marLeft w:val="446"/>
          <w:marRight w:val="0"/>
          <w:marTop w:val="0"/>
          <w:marBottom w:val="0"/>
          <w:divBdr>
            <w:top w:val="none" w:sz="0" w:space="0" w:color="auto"/>
            <w:left w:val="none" w:sz="0" w:space="0" w:color="auto"/>
            <w:bottom w:val="none" w:sz="0" w:space="0" w:color="auto"/>
            <w:right w:val="none" w:sz="0" w:space="0" w:color="auto"/>
          </w:divBdr>
        </w:div>
        <w:div w:id="270743660">
          <w:marLeft w:val="446"/>
          <w:marRight w:val="0"/>
          <w:marTop w:val="0"/>
          <w:marBottom w:val="0"/>
          <w:divBdr>
            <w:top w:val="none" w:sz="0" w:space="0" w:color="auto"/>
            <w:left w:val="none" w:sz="0" w:space="0" w:color="auto"/>
            <w:bottom w:val="none" w:sz="0" w:space="0" w:color="auto"/>
            <w:right w:val="none" w:sz="0" w:space="0" w:color="auto"/>
          </w:divBdr>
        </w:div>
        <w:div w:id="657609021">
          <w:marLeft w:val="446"/>
          <w:marRight w:val="0"/>
          <w:marTop w:val="0"/>
          <w:marBottom w:val="0"/>
          <w:divBdr>
            <w:top w:val="none" w:sz="0" w:space="0" w:color="auto"/>
            <w:left w:val="none" w:sz="0" w:space="0" w:color="auto"/>
            <w:bottom w:val="none" w:sz="0" w:space="0" w:color="auto"/>
            <w:right w:val="none" w:sz="0" w:space="0" w:color="auto"/>
          </w:divBdr>
        </w:div>
        <w:div w:id="1370837988">
          <w:marLeft w:val="446"/>
          <w:marRight w:val="0"/>
          <w:marTop w:val="0"/>
          <w:marBottom w:val="0"/>
          <w:divBdr>
            <w:top w:val="none" w:sz="0" w:space="0" w:color="auto"/>
            <w:left w:val="none" w:sz="0" w:space="0" w:color="auto"/>
            <w:bottom w:val="none" w:sz="0" w:space="0" w:color="auto"/>
            <w:right w:val="none" w:sz="0" w:space="0" w:color="auto"/>
          </w:divBdr>
        </w:div>
        <w:div w:id="1532526060">
          <w:marLeft w:val="446"/>
          <w:marRight w:val="0"/>
          <w:marTop w:val="0"/>
          <w:marBottom w:val="0"/>
          <w:divBdr>
            <w:top w:val="none" w:sz="0" w:space="0" w:color="auto"/>
            <w:left w:val="none" w:sz="0" w:space="0" w:color="auto"/>
            <w:bottom w:val="none" w:sz="0" w:space="0" w:color="auto"/>
            <w:right w:val="none" w:sz="0" w:space="0" w:color="auto"/>
          </w:divBdr>
        </w:div>
        <w:div w:id="1898127784">
          <w:marLeft w:val="446"/>
          <w:marRight w:val="0"/>
          <w:marTop w:val="0"/>
          <w:marBottom w:val="0"/>
          <w:divBdr>
            <w:top w:val="none" w:sz="0" w:space="0" w:color="auto"/>
            <w:left w:val="none" w:sz="0" w:space="0" w:color="auto"/>
            <w:bottom w:val="none" w:sz="0" w:space="0" w:color="auto"/>
            <w:right w:val="none" w:sz="0" w:space="0" w:color="auto"/>
          </w:divBdr>
        </w:div>
        <w:div w:id="1987582757">
          <w:marLeft w:val="446"/>
          <w:marRight w:val="0"/>
          <w:marTop w:val="0"/>
          <w:marBottom w:val="0"/>
          <w:divBdr>
            <w:top w:val="none" w:sz="0" w:space="0" w:color="auto"/>
            <w:left w:val="none" w:sz="0" w:space="0" w:color="auto"/>
            <w:bottom w:val="none" w:sz="0" w:space="0" w:color="auto"/>
            <w:right w:val="none" w:sz="0" w:space="0" w:color="auto"/>
          </w:divBdr>
        </w:div>
      </w:divsChild>
    </w:div>
    <w:div w:id="423379431">
      <w:bodyDiv w:val="1"/>
      <w:marLeft w:val="0"/>
      <w:marRight w:val="0"/>
      <w:marTop w:val="0"/>
      <w:marBottom w:val="0"/>
      <w:divBdr>
        <w:top w:val="none" w:sz="0" w:space="0" w:color="auto"/>
        <w:left w:val="none" w:sz="0" w:space="0" w:color="auto"/>
        <w:bottom w:val="none" w:sz="0" w:space="0" w:color="auto"/>
        <w:right w:val="none" w:sz="0" w:space="0" w:color="auto"/>
      </w:divBdr>
    </w:div>
    <w:div w:id="448478935">
      <w:bodyDiv w:val="1"/>
      <w:marLeft w:val="0"/>
      <w:marRight w:val="0"/>
      <w:marTop w:val="0"/>
      <w:marBottom w:val="0"/>
      <w:divBdr>
        <w:top w:val="none" w:sz="0" w:space="0" w:color="auto"/>
        <w:left w:val="none" w:sz="0" w:space="0" w:color="auto"/>
        <w:bottom w:val="none" w:sz="0" w:space="0" w:color="auto"/>
        <w:right w:val="none" w:sz="0" w:space="0" w:color="auto"/>
      </w:divBdr>
    </w:div>
    <w:div w:id="487286441">
      <w:bodyDiv w:val="1"/>
      <w:marLeft w:val="0"/>
      <w:marRight w:val="0"/>
      <w:marTop w:val="0"/>
      <w:marBottom w:val="0"/>
      <w:divBdr>
        <w:top w:val="none" w:sz="0" w:space="0" w:color="auto"/>
        <w:left w:val="none" w:sz="0" w:space="0" w:color="auto"/>
        <w:bottom w:val="none" w:sz="0" w:space="0" w:color="auto"/>
        <w:right w:val="none" w:sz="0" w:space="0" w:color="auto"/>
      </w:divBdr>
    </w:div>
    <w:div w:id="492255478">
      <w:bodyDiv w:val="1"/>
      <w:marLeft w:val="0"/>
      <w:marRight w:val="0"/>
      <w:marTop w:val="0"/>
      <w:marBottom w:val="0"/>
      <w:divBdr>
        <w:top w:val="none" w:sz="0" w:space="0" w:color="auto"/>
        <w:left w:val="none" w:sz="0" w:space="0" w:color="auto"/>
        <w:bottom w:val="none" w:sz="0" w:space="0" w:color="auto"/>
        <w:right w:val="none" w:sz="0" w:space="0" w:color="auto"/>
      </w:divBdr>
    </w:div>
    <w:div w:id="537087247">
      <w:bodyDiv w:val="1"/>
      <w:marLeft w:val="0"/>
      <w:marRight w:val="0"/>
      <w:marTop w:val="0"/>
      <w:marBottom w:val="0"/>
      <w:divBdr>
        <w:top w:val="none" w:sz="0" w:space="0" w:color="auto"/>
        <w:left w:val="none" w:sz="0" w:space="0" w:color="auto"/>
        <w:bottom w:val="none" w:sz="0" w:space="0" w:color="auto"/>
        <w:right w:val="none" w:sz="0" w:space="0" w:color="auto"/>
      </w:divBdr>
    </w:div>
    <w:div w:id="543568256">
      <w:bodyDiv w:val="1"/>
      <w:marLeft w:val="0"/>
      <w:marRight w:val="0"/>
      <w:marTop w:val="0"/>
      <w:marBottom w:val="0"/>
      <w:divBdr>
        <w:top w:val="none" w:sz="0" w:space="0" w:color="auto"/>
        <w:left w:val="none" w:sz="0" w:space="0" w:color="auto"/>
        <w:bottom w:val="none" w:sz="0" w:space="0" w:color="auto"/>
        <w:right w:val="none" w:sz="0" w:space="0" w:color="auto"/>
      </w:divBdr>
    </w:div>
    <w:div w:id="580019339">
      <w:bodyDiv w:val="1"/>
      <w:marLeft w:val="0"/>
      <w:marRight w:val="0"/>
      <w:marTop w:val="0"/>
      <w:marBottom w:val="0"/>
      <w:divBdr>
        <w:top w:val="none" w:sz="0" w:space="0" w:color="auto"/>
        <w:left w:val="none" w:sz="0" w:space="0" w:color="auto"/>
        <w:bottom w:val="none" w:sz="0" w:space="0" w:color="auto"/>
        <w:right w:val="none" w:sz="0" w:space="0" w:color="auto"/>
      </w:divBdr>
      <w:divsChild>
        <w:div w:id="32390844">
          <w:marLeft w:val="230"/>
          <w:marRight w:val="0"/>
          <w:marTop w:val="60"/>
          <w:marBottom w:val="0"/>
          <w:divBdr>
            <w:top w:val="none" w:sz="0" w:space="0" w:color="auto"/>
            <w:left w:val="none" w:sz="0" w:space="0" w:color="auto"/>
            <w:bottom w:val="none" w:sz="0" w:space="0" w:color="auto"/>
            <w:right w:val="none" w:sz="0" w:space="0" w:color="auto"/>
          </w:divBdr>
        </w:div>
        <w:div w:id="280497611">
          <w:marLeft w:val="230"/>
          <w:marRight w:val="0"/>
          <w:marTop w:val="60"/>
          <w:marBottom w:val="0"/>
          <w:divBdr>
            <w:top w:val="none" w:sz="0" w:space="0" w:color="auto"/>
            <w:left w:val="none" w:sz="0" w:space="0" w:color="auto"/>
            <w:bottom w:val="none" w:sz="0" w:space="0" w:color="auto"/>
            <w:right w:val="none" w:sz="0" w:space="0" w:color="auto"/>
          </w:divBdr>
        </w:div>
        <w:div w:id="867837036">
          <w:marLeft w:val="230"/>
          <w:marRight w:val="0"/>
          <w:marTop w:val="60"/>
          <w:marBottom w:val="0"/>
          <w:divBdr>
            <w:top w:val="none" w:sz="0" w:space="0" w:color="auto"/>
            <w:left w:val="none" w:sz="0" w:space="0" w:color="auto"/>
            <w:bottom w:val="none" w:sz="0" w:space="0" w:color="auto"/>
            <w:right w:val="none" w:sz="0" w:space="0" w:color="auto"/>
          </w:divBdr>
        </w:div>
      </w:divsChild>
    </w:div>
    <w:div w:id="599292709">
      <w:bodyDiv w:val="1"/>
      <w:marLeft w:val="0"/>
      <w:marRight w:val="0"/>
      <w:marTop w:val="0"/>
      <w:marBottom w:val="0"/>
      <w:divBdr>
        <w:top w:val="none" w:sz="0" w:space="0" w:color="auto"/>
        <w:left w:val="none" w:sz="0" w:space="0" w:color="auto"/>
        <w:bottom w:val="none" w:sz="0" w:space="0" w:color="auto"/>
        <w:right w:val="none" w:sz="0" w:space="0" w:color="auto"/>
      </w:divBdr>
      <w:divsChild>
        <w:div w:id="452869996">
          <w:marLeft w:val="274"/>
          <w:marRight w:val="0"/>
          <w:marTop w:val="0"/>
          <w:marBottom w:val="0"/>
          <w:divBdr>
            <w:top w:val="none" w:sz="0" w:space="0" w:color="auto"/>
            <w:left w:val="none" w:sz="0" w:space="0" w:color="auto"/>
            <w:bottom w:val="none" w:sz="0" w:space="0" w:color="auto"/>
            <w:right w:val="none" w:sz="0" w:space="0" w:color="auto"/>
          </w:divBdr>
        </w:div>
        <w:div w:id="859391353">
          <w:marLeft w:val="274"/>
          <w:marRight w:val="0"/>
          <w:marTop w:val="0"/>
          <w:marBottom w:val="0"/>
          <w:divBdr>
            <w:top w:val="none" w:sz="0" w:space="0" w:color="auto"/>
            <w:left w:val="none" w:sz="0" w:space="0" w:color="auto"/>
            <w:bottom w:val="none" w:sz="0" w:space="0" w:color="auto"/>
            <w:right w:val="none" w:sz="0" w:space="0" w:color="auto"/>
          </w:divBdr>
        </w:div>
      </w:divsChild>
    </w:div>
    <w:div w:id="625085407">
      <w:bodyDiv w:val="1"/>
      <w:marLeft w:val="0"/>
      <w:marRight w:val="0"/>
      <w:marTop w:val="0"/>
      <w:marBottom w:val="0"/>
      <w:divBdr>
        <w:top w:val="none" w:sz="0" w:space="0" w:color="auto"/>
        <w:left w:val="none" w:sz="0" w:space="0" w:color="auto"/>
        <w:bottom w:val="none" w:sz="0" w:space="0" w:color="auto"/>
        <w:right w:val="none" w:sz="0" w:space="0" w:color="auto"/>
      </w:divBdr>
    </w:div>
    <w:div w:id="638460056">
      <w:bodyDiv w:val="1"/>
      <w:marLeft w:val="0"/>
      <w:marRight w:val="0"/>
      <w:marTop w:val="0"/>
      <w:marBottom w:val="0"/>
      <w:divBdr>
        <w:top w:val="none" w:sz="0" w:space="0" w:color="auto"/>
        <w:left w:val="none" w:sz="0" w:space="0" w:color="auto"/>
        <w:bottom w:val="none" w:sz="0" w:space="0" w:color="auto"/>
        <w:right w:val="none" w:sz="0" w:space="0" w:color="auto"/>
      </w:divBdr>
    </w:div>
    <w:div w:id="662045201">
      <w:bodyDiv w:val="1"/>
      <w:marLeft w:val="0"/>
      <w:marRight w:val="0"/>
      <w:marTop w:val="0"/>
      <w:marBottom w:val="0"/>
      <w:divBdr>
        <w:top w:val="none" w:sz="0" w:space="0" w:color="auto"/>
        <w:left w:val="none" w:sz="0" w:space="0" w:color="auto"/>
        <w:bottom w:val="none" w:sz="0" w:space="0" w:color="auto"/>
        <w:right w:val="none" w:sz="0" w:space="0" w:color="auto"/>
      </w:divBdr>
    </w:div>
    <w:div w:id="665062137">
      <w:bodyDiv w:val="1"/>
      <w:marLeft w:val="0"/>
      <w:marRight w:val="0"/>
      <w:marTop w:val="0"/>
      <w:marBottom w:val="0"/>
      <w:divBdr>
        <w:top w:val="none" w:sz="0" w:space="0" w:color="auto"/>
        <w:left w:val="none" w:sz="0" w:space="0" w:color="auto"/>
        <w:bottom w:val="none" w:sz="0" w:space="0" w:color="auto"/>
        <w:right w:val="none" w:sz="0" w:space="0" w:color="auto"/>
      </w:divBdr>
    </w:div>
    <w:div w:id="722141779">
      <w:bodyDiv w:val="1"/>
      <w:marLeft w:val="0"/>
      <w:marRight w:val="0"/>
      <w:marTop w:val="0"/>
      <w:marBottom w:val="0"/>
      <w:divBdr>
        <w:top w:val="none" w:sz="0" w:space="0" w:color="auto"/>
        <w:left w:val="none" w:sz="0" w:space="0" w:color="auto"/>
        <w:bottom w:val="none" w:sz="0" w:space="0" w:color="auto"/>
        <w:right w:val="none" w:sz="0" w:space="0" w:color="auto"/>
      </w:divBdr>
    </w:div>
    <w:div w:id="722410816">
      <w:bodyDiv w:val="1"/>
      <w:marLeft w:val="0"/>
      <w:marRight w:val="0"/>
      <w:marTop w:val="0"/>
      <w:marBottom w:val="0"/>
      <w:divBdr>
        <w:top w:val="none" w:sz="0" w:space="0" w:color="auto"/>
        <w:left w:val="none" w:sz="0" w:space="0" w:color="auto"/>
        <w:bottom w:val="none" w:sz="0" w:space="0" w:color="auto"/>
        <w:right w:val="none" w:sz="0" w:space="0" w:color="auto"/>
      </w:divBdr>
    </w:div>
    <w:div w:id="726151783">
      <w:bodyDiv w:val="1"/>
      <w:marLeft w:val="0"/>
      <w:marRight w:val="0"/>
      <w:marTop w:val="0"/>
      <w:marBottom w:val="0"/>
      <w:divBdr>
        <w:top w:val="none" w:sz="0" w:space="0" w:color="auto"/>
        <w:left w:val="none" w:sz="0" w:space="0" w:color="auto"/>
        <w:bottom w:val="none" w:sz="0" w:space="0" w:color="auto"/>
        <w:right w:val="none" w:sz="0" w:space="0" w:color="auto"/>
      </w:divBdr>
      <w:divsChild>
        <w:div w:id="1078208225">
          <w:marLeft w:val="274"/>
          <w:marRight w:val="0"/>
          <w:marTop w:val="0"/>
          <w:marBottom w:val="0"/>
          <w:divBdr>
            <w:top w:val="none" w:sz="0" w:space="0" w:color="auto"/>
            <w:left w:val="none" w:sz="0" w:space="0" w:color="auto"/>
            <w:bottom w:val="none" w:sz="0" w:space="0" w:color="auto"/>
            <w:right w:val="none" w:sz="0" w:space="0" w:color="auto"/>
          </w:divBdr>
        </w:div>
      </w:divsChild>
    </w:div>
    <w:div w:id="738017274">
      <w:bodyDiv w:val="1"/>
      <w:marLeft w:val="0"/>
      <w:marRight w:val="0"/>
      <w:marTop w:val="0"/>
      <w:marBottom w:val="0"/>
      <w:divBdr>
        <w:top w:val="none" w:sz="0" w:space="0" w:color="auto"/>
        <w:left w:val="none" w:sz="0" w:space="0" w:color="auto"/>
        <w:bottom w:val="none" w:sz="0" w:space="0" w:color="auto"/>
        <w:right w:val="none" w:sz="0" w:space="0" w:color="auto"/>
      </w:divBdr>
    </w:div>
    <w:div w:id="751199044">
      <w:bodyDiv w:val="1"/>
      <w:marLeft w:val="0"/>
      <w:marRight w:val="0"/>
      <w:marTop w:val="0"/>
      <w:marBottom w:val="0"/>
      <w:divBdr>
        <w:top w:val="none" w:sz="0" w:space="0" w:color="auto"/>
        <w:left w:val="none" w:sz="0" w:space="0" w:color="auto"/>
        <w:bottom w:val="none" w:sz="0" w:space="0" w:color="auto"/>
        <w:right w:val="none" w:sz="0" w:space="0" w:color="auto"/>
      </w:divBdr>
    </w:div>
    <w:div w:id="765922341">
      <w:bodyDiv w:val="1"/>
      <w:marLeft w:val="0"/>
      <w:marRight w:val="0"/>
      <w:marTop w:val="0"/>
      <w:marBottom w:val="0"/>
      <w:divBdr>
        <w:top w:val="none" w:sz="0" w:space="0" w:color="auto"/>
        <w:left w:val="none" w:sz="0" w:space="0" w:color="auto"/>
        <w:bottom w:val="none" w:sz="0" w:space="0" w:color="auto"/>
        <w:right w:val="none" w:sz="0" w:space="0" w:color="auto"/>
      </w:divBdr>
    </w:div>
    <w:div w:id="783110087">
      <w:bodyDiv w:val="1"/>
      <w:marLeft w:val="0"/>
      <w:marRight w:val="0"/>
      <w:marTop w:val="0"/>
      <w:marBottom w:val="0"/>
      <w:divBdr>
        <w:top w:val="none" w:sz="0" w:space="0" w:color="auto"/>
        <w:left w:val="none" w:sz="0" w:space="0" w:color="auto"/>
        <w:bottom w:val="none" w:sz="0" w:space="0" w:color="auto"/>
        <w:right w:val="none" w:sz="0" w:space="0" w:color="auto"/>
      </w:divBdr>
    </w:div>
    <w:div w:id="794831579">
      <w:bodyDiv w:val="1"/>
      <w:marLeft w:val="0"/>
      <w:marRight w:val="0"/>
      <w:marTop w:val="0"/>
      <w:marBottom w:val="0"/>
      <w:divBdr>
        <w:top w:val="none" w:sz="0" w:space="0" w:color="auto"/>
        <w:left w:val="none" w:sz="0" w:space="0" w:color="auto"/>
        <w:bottom w:val="none" w:sz="0" w:space="0" w:color="auto"/>
        <w:right w:val="none" w:sz="0" w:space="0" w:color="auto"/>
      </w:divBdr>
      <w:divsChild>
        <w:div w:id="65734977">
          <w:marLeft w:val="274"/>
          <w:marRight w:val="0"/>
          <w:marTop w:val="0"/>
          <w:marBottom w:val="0"/>
          <w:divBdr>
            <w:top w:val="none" w:sz="0" w:space="0" w:color="auto"/>
            <w:left w:val="none" w:sz="0" w:space="0" w:color="auto"/>
            <w:bottom w:val="none" w:sz="0" w:space="0" w:color="auto"/>
            <w:right w:val="none" w:sz="0" w:space="0" w:color="auto"/>
          </w:divBdr>
        </w:div>
        <w:div w:id="437221734">
          <w:marLeft w:val="274"/>
          <w:marRight w:val="0"/>
          <w:marTop w:val="0"/>
          <w:marBottom w:val="0"/>
          <w:divBdr>
            <w:top w:val="none" w:sz="0" w:space="0" w:color="auto"/>
            <w:left w:val="none" w:sz="0" w:space="0" w:color="auto"/>
            <w:bottom w:val="none" w:sz="0" w:space="0" w:color="auto"/>
            <w:right w:val="none" w:sz="0" w:space="0" w:color="auto"/>
          </w:divBdr>
        </w:div>
        <w:div w:id="522667576">
          <w:marLeft w:val="274"/>
          <w:marRight w:val="0"/>
          <w:marTop w:val="0"/>
          <w:marBottom w:val="0"/>
          <w:divBdr>
            <w:top w:val="none" w:sz="0" w:space="0" w:color="auto"/>
            <w:left w:val="none" w:sz="0" w:space="0" w:color="auto"/>
            <w:bottom w:val="none" w:sz="0" w:space="0" w:color="auto"/>
            <w:right w:val="none" w:sz="0" w:space="0" w:color="auto"/>
          </w:divBdr>
        </w:div>
        <w:div w:id="633369306">
          <w:marLeft w:val="274"/>
          <w:marRight w:val="0"/>
          <w:marTop w:val="0"/>
          <w:marBottom w:val="0"/>
          <w:divBdr>
            <w:top w:val="none" w:sz="0" w:space="0" w:color="auto"/>
            <w:left w:val="none" w:sz="0" w:space="0" w:color="auto"/>
            <w:bottom w:val="none" w:sz="0" w:space="0" w:color="auto"/>
            <w:right w:val="none" w:sz="0" w:space="0" w:color="auto"/>
          </w:divBdr>
        </w:div>
        <w:div w:id="702247736">
          <w:marLeft w:val="274"/>
          <w:marRight w:val="0"/>
          <w:marTop w:val="0"/>
          <w:marBottom w:val="0"/>
          <w:divBdr>
            <w:top w:val="none" w:sz="0" w:space="0" w:color="auto"/>
            <w:left w:val="none" w:sz="0" w:space="0" w:color="auto"/>
            <w:bottom w:val="none" w:sz="0" w:space="0" w:color="auto"/>
            <w:right w:val="none" w:sz="0" w:space="0" w:color="auto"/>
          </w:divBdr>
        </w:div>
        <w:div w:id="721750661">
          <w:marLeft w:val="274"/>
          <w:marRight w:val="0"/>
          <w:marTop w:val="0"/>
          <w:marBottom w:val="0"/>
          <w:divBdr>
            <w:top w:val="none" w:sz="0" w:space="0" w:color="auto"/>
            <w:left w:val="none" w:sz="0" w:space="0" w:color="auto"/>
            <w:bottom w:val="none" w:sz="0" w:space="0" w:color="auto"/>
            <w:right w:val="none" w:sz="0" w:space="0" w:color="auto"/>
          </w:divBdr>
        </w:div>
        <w:div w:id="782576097">
          <w:marLeft w:val="274"/>
          <w:marRight w:val="0"/>
          <w:marTop w:val="0"/>
          <w:marBottom w:val="0"/>
          <w:divBdr>
            <w:top w:val="none" w:sz="0" w:space="0" w:color="auto"/>
            <w:left w:val="none" w:sz="0" w:space="0" w:color="auto"/>
            <w:bottom w:val="none" w:sz="0" w:space="0" w:color="auto"/>
            <w:right w:val="none" w:sz="0" w:space="0" w:color="auto"/>
          </w:divBdr>
        </w:div>
        <w:div w:id="808940473">
          <w:marLeft w:val="274"/>
          <w:marRight w:val="0"/>
          <w:marTop w:val="0"/>
          <w:marBottom w:val="0"/>
          <w:divBdr>
            <w:top w:val="none" w:sz="0" w:space="0" w:color="auto"/>
            <w:left w:val="none" w:sz="0" w:space="0" w:color="auto"/>
            <w:bottom w:val="none" w:sz="0" w:space="0" w:color="auto"/>
            <w:right w:val="none" w:sz="0" w:space="0" w:color="auto"/>
          </w:divBdr>
        </w:div>
        <w:div w:id="823618412">
          <w:marLeft w:val="274"/>
          <w:marRight w:val="0"/>
          <w:marTop w:val="0"/>
          <w:marBottom w:val="0"/>
          <w:divBdr>
            <w:top w:val="none" w:sz="0" w:space="0" w:color="auto"/>
            <w:left w:val="none" w:sz="0" w:space="0" w:color="auto"/>
            <w:bottom w:val="none" w:sz="0" w:space="0" w:color="auto"/>
            <w:right w:val="none" w:sz="0" w:space="0" w:color="auto"/>
          </w:divBdr>
        </w:div>
        <w:div w:id="876359402">
          <w:marLeft w:val="274"/>
          <w:marRight w:val="0"/>
          <w:marTop w:val="0"/>
          <w:marBottom w:val="0"/>
          <w:divBdr>
            <w:top w:val="none" w:sz="0" w:space="0" w:color="auto"/>
            <w:left w:val="none" w:sz="0" w:space="0" w:color="auto"/>
            <w:bottom w:val="none" w:sz="0" w:space="0" w:color="auto"/>
            <w:right w:val="none" w:sz="0" w:space="0" w:color="auto"/>
          </w:divBdr>
        </w:div>
        <w:div w:id="913130693">
          <w:marLeft w:val="274"/>
          <w:marRight w:val="0"/>
          <w:marTop w:val="0"/>
          <w:marBottom w:val="0"/>
          <w:divBdr>
            <w:top w:val="none" w:sz="0" w:space="0" w:color="auto"/>
            <w:left w:val="none" w:sz="0" w:space="0" w:color="auto"/>
            <w:bottom w:val="none" w:sz="0" w:space="0" w:color="auto"/>
            <w:right w:val="none" w:sz="0" w:space="0" w:color="auto"/>
          </w:divBdr>
        </w:div>
        <w:div w:id="966204494">
          <w:marLeft w:val="274"/>
          <w:marRight w:val="0"/>
          <w:marTop w:val="0"/>
          <w:marBottom w:val="0"/>
          <w:divBdr>
            <w:top w:val="none" w:sz="0" w:space="0" w:color="auto"/>
            <w:left w:val="none" w:sz="0" w:space="0" w:color="auto"/>
            <w:bottom w:val="none" w:sz="0" w:space="0" w:color="auto"/>
            <w:right w:val="none" w:sz="0" w:space="0" w:color="auto"/>
          </w:divBdr>
        </w:div>
        <w:div w:id="1175681200">
          <w:marLeft w:val="274"/>
          <w:marRight w:val="0"/>
          <w:marTop w:val="0"/>
          <w:marBottom w:val="0"/>
          <w:divBdr>
            <w:top w:val="none" w:sz="0" w:space="0" w:color="auto"/>
            <w:left w:val="none" w:sz="0" w:space="0" w:color="auto"/>
            <w:bottom w:val="none" w:sz="0" w:space="0" w:color="auto"/>
            <w:right w:val="none" w:sz="0" w:space="0" w:color="auto"/>
          </w:divBdr>
        </w:div>
        <w:div w:id="1202396877">
          <w:marLeft w:val="274"/>
          <w:marRight w:val="0"/>
          <w:marTop w:val="0"/>
          <w:marBottom w:val="0"/>
          <w:divBdr>
            <w:top w:val="none" w:sz="0" w:space="0" w:color="auto"/>
            <w:left w:val="none" w:sz="0" w:space="0" w:color="auto"/>
            <w:bottom w:val="none" w:sz="0" w:space="0" w:color="auto"/>
            <w:right w:val="none" w:sz="0" w:space="0" w:color="auto"/>
          </w:divBdr>
        </w:div>
        <w:div w:id="1408917756">
          <w:marLeft w:val="274"/>
          <w:marRight w:val="0"/>
          <w:marTop w:val="0"/>
          <w:marBottom w:val="0"/>
          <w:divBdr>
            <w:top w:val="none" w:sz="0" w:space="0" w:color="auto"/>
            <w:left w:val="none" w:sz="0" w:space="0" w:color="auto"/>
            <w:bottom w:val="none" w:sz="0" w:space="0" w:color="auto"/>
            <w:right w:val="none" w:sz="0" w:space="0" w:color="auto"/>
          </w:divBdr>
        </w:div>
        <w:div w:id="1422019474">
          <w:marLeft w:val="274"/>
          <w:marRight w:val="0"/>
          <w:marTop w:val="0"/>
          <w:marBottom w:val="0"/>
          <w:divBdr>
            <w:top w:val="none" w:sz="0" w:space="0" w:color="auto"/>
            <w:left w:val="none" w:sz="0" w:space="0" w:color="auto"/>
            <w:bottom w:val="none" w:sz="0" w:space="0" w:color="auto"/>
            <w:right w:val="none" w:sz="0" w:space="0" w:color="auto"/>
          </w:divBdr>
        </w:div>
        <w:div w:id="1443955835">
          <w:marLeft w:val="274"/>
          <w:marRight w:val="0"/>
          <w:marTop w:val="0"/>
          <w:marBottom w:val="0"/>
          <w:divBdr>
            <w:top w:val="none" w:sz="0" w:space="0" w:color="auto"/>
            <w:left w:val="none" w:sz="0" w:space="0" w:color="auto"/>
            <w:bottom w:val="none" w:sz="0" w:space="0" w:color="auto"/>
            <w:right w:val="none" w:sz="0" w:space="0" w:color="auto"/>
          </w:divBdr>
        </w:div>
        <w:div w:id="1473281770">
          <w:marLeft w:val="274"/>
          <w:marRight w:val="0"/>
          <w:marTop w:val="0"/>
          <w:marBottom w:val="0"/>
          <w:divBdr>
            <w:top w:val="none" w:sz="0" w:space="0" w:color="auto"/>
            <w:left w:val="none" w:sz="0" w:space="0" w:color="auto"/>
            <w:bottom w:val="none" w:sz="0" w:space="0" w:color="auto"/>
            <w:right w:val="none" w:sz="0" w:space="0" w:color="auto"/>
          </w:divBdr>
        </w:div>
        <w:div w:id="1514303707">
          <w:marLeft w:val="274"/>
          <w:marRight w:val="0"/>
          <w:marTop w:val="0"/>
          <w:marBottom w:val="0"/>
          <w:divBdr>
            <w:top w:val="none" w:sz="0" w:space="0" w:color="auto"/>
            <w:left w:val="none" w:sz="0" w:space="0" w:color="auto"/>
            <w:bottom w:val="none" w:sz="0" w:space="0" w:color="auto"/>
            <w:right w:val="none" w:sz="0" w:space="0" w:color="auto"/>
          </w:divBdr>
        </w:div>
        <w:div w:id="2064481447">
          <w:marLeft w:val="274"/>
          <w:marRight w:val="0"/>
          <w:marTop w:val="0"/>
          <w:marBottom w:val="0"/>
          <w:divBdr>
            <w:top w:val="none" w:sz="0" w:space="0" w:color="auto"/>
            <w:left w:val="none" w:sz="0" w:space="0" w:color="auto"/>
            <w:bottom w:val="none" w:sz="0" w:space="0" w:color="auto"/>
            <w:right w:val="none" w:sz="0" w:space="0" w:color="auto"/>
          </w:divBdr>
        </w:div>
        <w:div w:id="2097749341">
          <w:marLeft w:val="274"/>
          <w:marRight w:val="0"/>
          <w:marTop w:val="0"/>
          <w:marBottom w:val="0"/>
          <w:divBdr>
            <w:top w:val="none" w:sz="0" w:space="0" w:color="auto"/>
            <w:left w:val="none" w:sz="0" w:space="0" w:color="auto"/>
            <w:bottom w:val="none" w:sz="0" w:space="0" w:color="auto"/>
            <w:right w:val="none" w:sz="0" w:space="0" w:color="auto"/>
          </w:divBdr>
        </w:div>
        <w:div w:id="2125810180">
          <w:marLeft w:val="274"/>
          <w:marRight w:val="0"/>
          <w:marTop w:val="0"/>
          <w:marBottom w:val="0"/>
          <w:divBdr>
            <w:top w:val="none" w:sz="0" w:space="0" w:color="auto"/>
            <w:left w:val="none" w:sz="0" w:space="0" w:color="auto"/>
            <w:bottom w:val="none" w:sz="0" w:space="0" w:color="auto"/>
            <w:right w:val="none" w:sz="0" w:space="0" w:color="auto"/>
          </w:divBdr>
        </w:div>
      </w:divsChild>
    </w:div>
    <w:div w:id="800341150">
      <w:bodyDiv w:val="1"/>
      <w:marLeft w:val="0"/>
      <w:marRight w:val="0"/>
      <w:marTop w:val="0"/>
      <w:marBottom w:val="0"/>
      <w:divBdr>
        <w:top w:val="none" w:sz="0" w:space="0" w:color="auto"/>
        <w:left w:val="none" w:sz="0" w:space="0" w:color="auto"/>
        <w:bottom w:val="none" w:sz="0" w:space="0" w:color="auto"/>
        <w:right w:val="none" w:sz="0" w:space="0" w:color="auto"/>
      </w:divBdr>
      <w:divsChild>
        <w:div w:id="161042949">
          <w:marLeft w:val="274"/>
          <w:marRight w:val="0"/>
          <w:marTop w:val="120"/>
          <w:marBottom w:val="0"/>
          <w:divBdr>
            <w:top w:val="none" w:sz="0" w:space="0" w:color="auto"/>
            <w:left w:val="none" w:sz="0" w:space="0" w:color="auto"/>
            <w:bottom w:val="none" w:sz="0" w:space="0" w:color="auto"/>
            <w:right w:val="none" w:sz="0" w:space="0" w:color="auto"/>
          </w:divBdr>
        </w:div>
        <w:div w:id="816188544">
          <w:marLeft w:val="274"/>
          <w:marRight w:val="0"/>
          <w:marTop w:val="120"/>
          <w:marBottom w:val="0"/>
          <w:divBdr>
            <w:top w:val="none" w:sz="0" w:space="0" w:color="auto"/>
            <w:left w:val="none" w:sz="0" w:space="0" w:color="auto"/>
            <w:bottom w:val="none" w:sz="0" w:space="0" w:color="auto"/>
            <w:right w:val="none" w:sz="0" w:space="0" w:color="auto"/>
          </w:divBdr>
        </w:div>
        <w:div w:id="1300190299">
          <w:marLeft w:val="274"/>
          <w:marRight w:val="0"/>
          <w:marTop w:val="120"/>
          <w:marBottom w:val="0"/>
          <w:divBdr>
            <w:top w:val="none" w:sz="0" w:space="0" w:color="auto"/>
            <w:left w:val="none" w:sz="0" w:space="0" w:color="auto"/>
            <w:bottom w:val="none" w:sz="0" w:space="0" w:color="auto"/>
            <w:right w:val="none" w:sz="0" w:space="0" w:color="auto"/>
          </w:divBdr>
        </w:div>
        <w:div w:id="1514303967">
          <w:marLeft w:val="274"/>
          <w:marRight w:val="0"/>
          <w:marTop w:val="120"/>
          <w:marBottom w:val="0"/>
          <w:divBdr>
            <w:top w:val="none" w:sz="0" w:space="0" w:color="auto"/>
            <w:left w:val="none" w:sz="0" w:space="0" w:color="auto"/>
            <w:bottom w:val="none" w:sz="0" w:space="0" w:color="auto"/>
            <w:right w:val="none" w:sz="0" w:space="0" w:color="auto"/>
          </w:divBdr>
        </w:div>
      </w:divsChild>
    </w:div>
    <w:div w:id="809202475">
      <w:bodyDiv w:val="1"/>
      <w:marLeft w:val="0"/>
      <w:marRight w:val="0"/>
      <w:marTop w:val="0"/>
      <w:marBottom w:val="0"/>
      <w:divBdr>
        <w:top w:val="none" w:sz="0" w:space="0" w:color="auto"/>
        <w:left w:val="none" w:sz="0" w:space="0" w:color="auto"/>
        <w:bottom w:val="none" w:sz="0" w:space="0" w:color="auto"/>
        <w:right w:val="none" w:sz="0" w:space="0" w:color="auto"/>
      </w:divBdr>
    </w:div>
    <w:div w:id="827131145">
      <w:bodyDiv w:val="1"/>
      <w:marLeft w:val="0"/>
      <w:marRight w:val="0"/>
      <w:marTop w:val="0"/>
      <w:marBottom w:val="0"/>
      <w:divBdr>
        <w:top w:val="none" w:sz="0" w:space="0" w:color="auto"/>
        <w:left w:val="none" w:sz="0" w:space="0" w:color="auto"/>
        <w:bottom w:val="none" w:sz="0" w:space="0" w:color="auto"/>
        <w:right w:val="none" w:sz="0" w:space="0" w:color="auto"/>
      </w:divBdr>
      <w:divsChild>
        <w:div w:id="1919246060">
          <w:marLeft w:val="274"/>
          <w:marRight w:val="0"/>
          <w:marTop w:val="0"/>
          <w:marBottom w:val="0"/>
          <w:divBdr>
            <w:top w:val="none" w:sz="0" w:space="0" w:color="auto"/>
            <w:left w:val="none" w:sz="0" w:space="0" w:color="auto"/>
            <w:bottom w:val="none" w:sz="0" w:space="0" w:color="auto"/>
            <w:right w:val="none" w:sz="0" w:space="0" w:color="auto"/>
          </w:divBdr>
        </w:div>
      </w:divsChild>
    </w:div>
    <w:div w:id="837505297">
      <w:bodyDiv w:val="1"/>
      <w:marLeft w:val="0"/>
      <w:marRight w:val="0"/>
      <w:marTop w:val="0"/>
      <w:marBottom w:val="0"/>
      <w:divBdr>
        <w:top w:val="none" w:sz="0" w:space="0" w:color="auto"/>
        <w:left w:val="none" w:sz="0" w:space="0" w:color="auto"/>
        <w:bottom w:val="none" w:sz="0" w:space="0" w:color="auto"/>
        <w:right w:val="none" w:sz="0" w:space="0" w:color="auto"/>
      </w:divBdr>
      <w:divsChild>
        <w:div w:id="143399687">
          <w:marLeft w:val="274"/>
          <w:marRight w:val="0"/>
          <w:marTop w:val="0"/>
          <w:marBottom w:val="0"/>
          <w:divBdr>
            <w:top w:val="none" w:sz="0" w:space="0" w:color="auto"/>
            <w:left w:val="none" w:sz="0" w:space="0" w:color="auto"/>
            <w:bottom w:val="none" w:sz="0" w:space="0" w:color="auto"/>
            <w:right w:val="none" w:sz="0" w:space="0" w:color="auto"/>
          </w:divBdr>
        </w:div>
        <w:div w:id="345444838">
          <w:marLeft w:val="274"/>
          <w:marRight w:val="0"/>
          <w:marTop w:val="0"/>
          <w:marBottom w:val="0"/>
          <w:divBdr>
            <w:top w:val="none" w:sz="0" w:space="0" w:color="auto"/>
            <w:left w:val="none" w:sz="0" w:space="0" w:color="auto"/>
            <w:bottom w:val="none" w:sz="0" w:space="0" w:color="auto"/>
            <w:right w:val="none" w:sz="0" w:space="0" w:color="auto"/>
          </w:divBdr>
        </w:div>
        <w:div w:id="1719209358">
          <w:marLeft w:val="274"/>
          <w:marRight w:val="0"/>
          <w:marTop w:val="0"/>
          <w:marBottom w:val="0"/>
          <w:divBdr>
            <w:top w:val="none" w:sz="0" w:space="0" w:color="auto"/>
            <w:left w:val="none" w:sz="0" w:space="0" w:color="auto"/>
            <w:bottom w:val="none" w:sz="0" w:space="0" w:color="auto"/>
            <w:right w:val="none" w:sz="0" w:space="0" w:color="auto"/>
          </w:divBdr>
        </w:div>
      </w:divsChild>
    </w:div>
    <w:div w:id="869411557">
      <w:bodyDiv w:val="1"/>
      <w:marLeft w:val="0"/>
      <w:marRight w:val="0"/>
      <w:marTop w:val="0"/>
      <w:marBottom w:val="0"/>
      <w:divBdr>
        <w:top w:val="none" w:sz="0" w:space="0" w:color="auto"/>
        <w:left w:val="none" w:sz="0" w:space="0" w:color="auto"/>
        <w:bottom w:val="none" w:sz="0" w:space="0" w:color="auto"/>
        <w:right w:val="none" w:sz="0" w:space="0" w:color="auto"/>
      </w:divBdr>
    </w:div>
    <w:div w:id="898128482">
      <w:bodyDiv w:val="1"/>
      <w:marLeft w:val="0"/>
      <w:marRight w:val="0"/>
      <w:marTop w:val="0"/>
      <w:marBottom w:val="0"/>
      <w:divBdr>
        <w:top w:val="none" w:sz="0" w:space="0" w:color="auto"/>
        <w:left w:val="none" w:sz="0" w:space="0" w:color="auto"/>
        <w:bottom w:val="none" w:sz="0" w:space="0" w:color="auto"/>
        <w:right w:val="none" w:sz="0" w:space="0" w:color="auto"/>
      </w:divBdr>
      <w:divsChild>
        <w:div w:id="502282828">
          <w:marLeft w:val="274"/>
          <w:marRight w:val="0"/>
          <w:marTop w:val="200"/>
          <w:marBottom w:val="0"/>
          <w:divBdr>
            <w:top w:val="none" w:sz="0" w:space="0" w:color="auto"/>
            <w:left w:val="none" w:sz="0" w:space="0" w:color="auto"/>
            <w:bottom w:val="none" w:sz="0" w:space="0" w:color="auto"/>
            <w:right w:val="none" w:sz="0" w:space="0" w:color="auto"/>
          </w:divBdr>
        </w:div>
        <w:div w:id="1423188772">
          <w:marLeft w:val="274"/>
          <w:marRight w:val="0"/>
          <w:marTop w:val="200"/>
          <w:marBottom w:val="0"/>
          <w:divBdr>
            <w:top w:val="none" w:sz="0" w:space="0" w:color="auto"/>
            <w:left w:val="none" w:sz="0" w:space="0" w:color="auto"/>
            <w:bottom w:val="none" w:sz="0" w:space="0" w:color="auto"/>
            <w:right w:val="none" w:sz="0" w:space="0" w:color="auto"/>
          </w:divBdr>
        </w:div>
        <w:div w:id="1987858289">
          <w:marLeft w:val="274"/>
          <w:marRight w:val="0"/>
          <w:marTop w:val="200"/>
          <w:marBottom w:val="0"/>
          <w:divBdr>
            <w:top w:val="none" w:sz="0" w:space="0" w:color="auto"/>
            <w:left w:val="none" w:sz="0" w:space="0" w:color="auto"/>
            <w:bottom w:val="none" w:sz="0" w:space="0" w:color="auto"/>
            <w:right w:val="none" w:sz="0" w:space="0" w:color="auto"/>
          </w:divBdr>
        </w:div>
      </w:divsChild>
    </w:div>
    <w:div w:id="901794682">
      <w:bodyDiv w:val="1"/>
      <w:marLeft w:val="0"/>
      <w:marRight w:val="0"/>
      <w:marTop w:val="0"/>
      <w:marBottom w:val="0"/>
      <w:divBdr>
        <w:top w:val="none" w:sz="0" w:space="0" w:color="auto"/>
        <w:left w:val="none" w:sz="0" w:space="0" w:color="auto"/>
        <w:bottom w:val="none" w:sz="0" w:space="0" w:color="auto"/>
        <w:right w:val="none" w:sz="0" w:space="0" w:color="auto"/>
      </w:divBdr>
      <w:divsChild>
        <w:div w:id="62873408">
          <w:marLeft w:val="446"/>
          <w:marRight w:val="0"/>
          <w:marTop w:val="0"/>
          <w:marBottom w:val="0"/>
          <w:divBdr>
            <w:top w:val="none" w:sz="0" w:space="0" w:color="auto"/>
            <w:left w:val="none" w:sz="0" w:space="0" w:color="auto"/>
            <w:bottom w:val="none" w:sz="0" w:space="0" w:color="auto"/>
            <w:right w:val="none" w:sz="0" w:space="0" w:color="auto"/>
          </w:divBdr>
        </w:div>
        <w:div w:id="165170289">
          <w:marLeft w:val="446"/>
          <w:marRight w:val="0"/>
          <w:marTop w:val="0"/>
          <w:marBottom w:val="0"/>
          <w:divBdr>
            <w:top w:val="none" w:sz="0" w:space="0" w:color="auto"/>
            <w:left w:val="none" w:sz="0" w:space="0" w:color="auto"/>
            <w:bottom w:val="none" w:sz="0" w:space="0" w:color="auto"/>
            <w:right w:val="none" w:sz="0" w:space="0" w:color="auto"/>
          </w:divBdr>
        </w:div>
        <w:div w:id="678509283">
          <w:marLeft w:val="446"/>
          <w:marRight w:val="0"/>
          <w:marTop w:val="0"/>
          <w:marBottom w:val="0"/>
          <w:divBdr>
            <w:top w:val="none" w:sz="0" w:space="0" w:color="auto"/>
            <w:left w:val="none" w:sz="0" w:space="0" w:color="auto"/>
            <w:bottom w:val="none" w:sz="0" w:space="0" w:color="auto"/>
            <w:right w:val="none" w:sz="0" w:space="0" w:color="auto"/>
          </w:divBdr>
        </w:div>
        <w:div w:id="1577202461">
          <w:marLeft w:val="446"/>
          <w:marRight w:val="0"/>
          <w:marTop w:val="0"/>
          <w:marBottom w:val="0"/>
          <w:divBdr>
            <w:top w:val="none" w:sz="0" w:space="0" w:color="auto"/>
            <w:left w:val="none" w:sz="0" w:space="0" w:color="auto"/>
            <w:bottom w:val="none" w:sz="0" w:space="0" w:color="auto"/>
            <w:right w:val="none" w:sz="0" w:space="0" w:color="auto"/>
          </w:divBdr>
        </w:div>
        <w:div w:id="1623001097">
          <w:marLeft w:val="446"/>
          <w:marRight w:val="0"/>
          <w:marTop w:val="0"/>
          <w:marBottom w:val="0"/>
          <w:divBdr>
            <w:top w:val="none" w:sz="0" w:space="0" w:color="auto"/>
            <w:left w:val="none" w:sz="0" w:space="0" w:color="auto"/>
            <w:bottom w:val="none" w:sz="0" w:space="0" w:color="auto"/>
            <w:right w:val="none" w:sz="0" w:space="0" w:color="auto"/>
          </w:divBdr>
        </w:div>
        <w:div w:id="1732802696">
          <w:marLeft w:val="446"/>
          <w:marRight w:val="0"/>
          <w:marTop w:val="0"/>
          <w:marBottom w:val="0"/>
          <w:divBdr>
            <w:top w:val="none" w:sz="0" w:space="0" w:color="auto"/>
            <w:left w:val="none" w:sz="0" w:space="0" w:color="auto"/>
            <w:bottom w:val="none" w:sz="0" w:space="0" w:color="auto"/>
            <w:right w:val="none" w:sz="0" w:space="0" w:color="auto"/>
          </w:divBdr>
        </w:div>
        <w:div w:id="2133593471">
          <w:marLeft w:val="446"/>
          <w:marRight w:val="0"/>
          <w:marTop w:val="0"/>
          <w:marBottom w:val="0"/>
          <w:divBdr>
            <w:top w:val="none" w:sz="0" w:space="0" w:color="auto"/>
            <w:left w:val="none" w:sz="0" w:space="0" w:color="auto"/>
            <w:bottom w:val="none" w:sz="0" w:space="0" w:color="auto"/>
            <w:right w:val="none" w:sz="0" w:space="0" w:color="auto"/>
          </w:divBdr>
        </w:div>
      </w:divsChild>
    </w:div>
    <w:div w:id="917522560">
      <w:bodyDiv w:val="1"/>
      <w:marLeft w:val="0"/>
      <w:marRight w:val="0"/>
      <w:marTop w:val="0"/>
      <w:marBottom w:val="0"/>
      <w:divBdr>
        <w:top w:val="none" w:sz="0" w:space="0" w:color="auto"/>
        <w:left w:val="none" w:sz="0" w:space="0" w:color="auto"/>
        <w:bottom w:val="none" w:sz="0" w:space="0" w:color="auto"/>
        <w:right w:val="none" w:sz="0" w:space="0" w:color="auto"/>
      </w:divBdr>
      <w:divsChild>
        <w:div w:id="157616553">
          <w:marLeft w:val="1066"/>
          <w:marRight w:val="0"/>
          <w:marTop w:val="0"/>
          <w:marBottom w:val="60"/>
          <w:divBdr>
            <w:top w:val="none" w:sz="0" w:space="0" w:color="auto"/>
            <w:left w:val="none" w:sz="0" w:space="0" w:color="auto"/>
            <w:bottom w:val="none" w:sz="0" w:space="0" w:color="auto"/>
            <w:right w:val="none" w:sz="0" w:space="0" w:color="auto"/>
          </w:divBdr>
        </w:div>
        <w:div w:id="169952246">
          <w:marLeft w:val="1066"/>
          <w:marRight w:val="0"/>
          <w:marTop w:val="0"/>
          <w:marBottom w:val="60"/>
          <w:divBdr>
            <w:top w:val="none" w:sz="0" w:space="0" w:color="auto"/>
            <w:left w:val="none" w:sz="0" w:space="0" w:color="auto"/>
            <w:bottom w:val="none" w:sz="0" w:space="0" w:color="auto"/>
            <w:right w:val="none" w:sz="0" w:space="0" w:color="auto"/>
          </w:divBdr>
        </w:div>
        <w:div w:id="193814930">
          <w:marLeft w:val="346"/>
          <w:marRight w:val="0"/>
          <w:marTop w:val="0"/>
          <w:marBottom w:val="60"/>
          <w:divBdr>
            <w:top w:val="none" w:sz="0" w:space="0" w:color="auto"/>
            <w:left w:val="none" w:sz="0" w:space="0" w:color="auto"/>
            <w:bottom w:val="none" w:sz="0" w:space="0" w:color="auto"/>
            <w:right w:val="none" w:sz="0" w:space="0" w:color="auto"/>
          </w:divBdr>
        </w:div>
        <w:div w:id="1346593964">
          <w:marLeft w:val="1066"/>
          <w:marRight w:val="0"/>
          <w:marTop w:val="0"/>
          <w:marBottom w:val="60"/>
          <w:divBdr>
            <w:top w:val="none" w:sz="0" w:space="0" w:color="auto"/>
            <w:left w:val="none" w:sz="0" w:space="0" w:color="auto"/>
            <w:bottom w:val="none" w:sz="0" w:space="0" w:color="auto"/>
            <w:right w:val="none" w:sz="0" w:space="0" w:color="auto"/>
          </w:divBdr>
        </w:div>
        <w:div w:id="1396395630">
          <w:marLeft w:val="1066"/>
          <w:marRight w:val="0"/>
          <w:marTop w:val="0"/>
          <w:marBottom w:val="60"/>
          <w:divBdr>
            <w:top w:val="none" w:sz="0" w:space="0" w:color="auto"/>
            <w:left w:val="none" w:sz="0" w:space="0" w:color="auto"/>
            <w:bottom w:val="none" w:sz="0" w:space="0" w:color="auto"/>
            <w:right w:val="none" w:sz="0" w:space="0" w:color="auto"/>
          </w:divBdr>
        </w:div>
        <w:div w:id="1557006341">
          <w:marLeft w:val="1066"/>
          <w:marRight w:val="0"/>
          <w:marTop w:val="0"/>
          <w:marBottom w:val="60"/>
          <w:divBdr>
            <w:top w:val="none" w:sz="0" w:space="0" w:color="auto"/>
            <w:left w:val="none" w:sz="0" w:space="0" w:color="auto"/>
            <w:bottom w:val="none" w:sz="0" w:space="0" w:color="auto"/>
            <w:right w:val="none" w:sz="0" w:space="0" w:color="auto"/>
          </w:divBdr>
        </w:div>
      </w:divsChild>
    </w:div>
    <w:div w:id="929047026">
      <w:bodyDiv w:val="1"/>
      <w:marLeft w:val="0"/>
      <w:marRight w:val="0"/>
      <w:marTop w:val="0"/>
      <w:marBottom w:val="0"/>
      <w:divBdr>
        <w:top w:val="none" w:sz="0" w:space="0" w:color="auto"/>
        <w:left w:val="none" w:sz="0" w:space="0" w:color="auto"/>
        <w:bottom w:val="none" w:sz="0" w:space="0" w:color="auto"/>
        <w:right w:val="none" w:sz="0" w:space="0" w:color="auto"/>
      </w:divBdr>
    </w:div>
    <w:div w:id="931475914">
      <w:bodyDiv w:val="1"/>
      <w:marLeft w:val="0"/>
      <w:marRight w:val="0"/>
      <w:marTop w:val="0"/>
      <w:marBottom w:val="0"/>
      <w:divBdr>
        <w:top w:val="none" w:sz="0" w:space="0" w:color="auto"/>
        <w:left w:val="none" w:sz="0" w:space="0" w:color="auto"/>
        <w:bottom w:val="none" w:sz="0" w:space="0" w:color="auto"/>
        <w:right w:val="none" w:sz="0" w:space="0" w:color="auto"/>
      </w:divBdr>
    </w:div>
    <w:div w:id="933513587">
      <w:bodyDiv w:val="1"/>
      <w:marLeft w:val="0"/>
      <w:marRight w:val="0"/>
      <w:marTop w:val="0"/>
      <w:marBottom w:val="0"/>
      <w:divBdr>
        <w:top w:val="none" w:sz="0" w:space="0" w:color="auto"/>
        <w:left w:val="none" w:sz="0" w:space="0" w:color="auto"/>
        <w:bottom w:val="none" w:sz="0" w:space="0" w:color="auto"/>
        <w:right w:val="none" w:sz="0" w:space="0" w:color="auto"/>
      </w:divBdr>
    </w:div>
    <w:div w:id="939065771">
      <w:bodyDiv w:val="1"/>
      <w:marLeft w:val="0"/>
      <w:marRight w:val="0"/>
      <w:marTop w:val="0"/>
      <w:marBottom w:val="0"/>
      <w:divBdr>
        <w:top w:val="none" w:sz="0" w:space="0" w:color="auto"/>
        <w:left w:val="none" w:sz="0" w:space="0" w:color="auto"/>
        <w:bottom w:val="none" w:sz="0" w:space="0" w:color="auto"/>
        <w:right w:val="none" w:sz="0" w:space="0" w:color="auto"/>
      </w:divBdr>
      <w:divsChild>
        <w:div w:id="329911551">
          <w:marLeft w:val="274"/>
          <w:marRight w:val="0"/>
          <w:marTop w:val="0"/>
          <w:marBottom w:val="0"/>
          <w:divBdr>
            <w:top w:val="none" w:sz="0" w:space="0" w:color="auto"/>
            <w:left w:val="none" w:sz="0" w:space="0" w:color="auto"/>
            <w:bottom w:val="none" w:sz="0" w:space="0" w:color="auto"/>
            <w:right w:val="none" w:sz="0" w:space="0" w:color="auto"/>
          </w:divBdr>
        </w:div>
        <w:div w:id="821118826">
          <w:marLeft w:val="274"/>
          <w:marRight w:val="0"/>
          <w:marTop w:val="0"/>
          <w:marBottom w:val="0"/>
          <w:divBdr>
            <w:top w:val="none" w:sz="0" w:space="0" w:color="auto"/>
            <w:left w:val="none" w:sz="0" w:space="0" w:color="auto"/>
            <w:bottom w:val="none" w:sz="0" w:space="0" w:color="auto"/>
            <w:right w:val="none" w:sz="0" w:space="0" w:color="auto"/>
          </w:divBdr>
        </w:div>
        <w:div w:id="1261063682">
          <w:marLeft w:val="274"/>
          <w:marRight w:val="0"/>
          <w:marTop w:val="0"/>
          <w:marBottom w:val="0"/>
          <w:divBdr>
            <w:top w:val="none" w:sz="0" w:space="0" w:color="auto"/>
            <w:left w:val="none" w:sz="0" w:space="0" w:color="auto"/>
            <w:bottom w:val="none" w:sz="0" w:space="0" w:color="auto"/>
            <w:right w:val="none" w:sz="0" w:space="0" w:color="auto"/>
          </w:divBdr>
        </w:div>
      </w:divsChild>
    </w:div>
    <w:div w:id="941498213">
      <w:bodyDiv w:val="1"/>
      <w:marLeft w:val="0"/>
      <w:marRight w:val="0"/>
      <w:marTop w:val="0"/>
      <w:marBottom w:val="0"/>
      <w:divBdr>
        <w:top w:val="none" w:sz="0" w:space="0" w:color="auto"/>
        <w:left w:val="none" w:sz="0" w:space="0" w:color="auto"/>
        <w:bottom w:val="none" w:sz="0" w:space="0" w:color="auto"/>
        <w:right w:val="none" w:sz="0" w:space="0" w:color="auto"/>
      </w:divBdr>
      <w:divsChild>
        <w:div w:id="1693451869">
          <w:marLeft w:val="173"/>
          <w:marRight w:val="0"/>
          <w:marTop w:val="0"/>
          <w:marBottom w:val="0"/>
          <w:divBdr>
            <w:top w:val="none" w:sz="0" w:space="0" w:color="auto"/>
            <w:left w:val="none" w:sz="0" w:space="0" w:color="auto"/>
            <w:bottom w:val="none" w:sz="0" w:space="0" w:color="auto"/>
            <w:right w:val="none" w:sz="0" w:space="0" w:color="auto"/>
          </w:divBdr>
        </w:div>
      </w:divsChild>
    </w:div>
    <w:div w:id="965811554">
      <w:bodyDiv w:val="1"/>
      <w:marLeft w:val="0"/>
      <w:marRight w:val="0"/>
      <w:marTop w:val="0"/>
      <w:marBottom w:val="0"/>
      <w:divBdr>
        <w:top w:val="none" w:sz="0" w:space="0" w:color="auto"/>
        <w:left w:val="none" w:sz="0" w:space="0" w:color="auto"/>
        <w:bottom w:val="none" w:sz="0" w:space="0" w:color="auto"/>
        <w:right w:val="none" w:sz="0" w:space="0" w:color="auto"/>
      </w:divBdr>
    </w:div>
    <w:div w:id="976452483">
      <w:bodyDiv w:val="1"/>
      <w:marLeft w:val="0"/>
      <w:marRight w:val="0"/>
      <w:marTop w:val="0"/>
      <w:marBottom w:val="0"/>
      <w:divBdr>
        <w:top w:val="none" w:sz="0" w:space="0" w:color="auto"/>
        <w:left w:val="none" w:sz="0" w:space="0" w:color="auto"/>
        <w:bottom w:val="none" w:sz="0" w:space="0" w:color="auto"/>
        <w:right w:val="none" w:sz="0" w:space="0" w:color="auto"/>
      </w:divBdr>
    </w:div>
    <w:div w:id="983853870">
      <w:bodyDiv w:val="1"/>
      <w:marLeft w:val="0"/>
      <w:marRight w:val="0"/>
      <w:marTop w:val="0"/>
      <w:marBottom w:val="0"/>
      <w:divBdr>
        <w:top w:val="none" w:sz="0" w:space="0" w:color="auto"/>
        <w:left w:val="none" w:sz="0" w:space="0" w:color="auto"/>
        <w:bottom w:val="none" w:sz="0" w:space="0" w:color="auto"/>
        <w:right w:val="none" w:sz="0" w:space="0" w:color="auto"/>
      </w:divBdr>
      <w:divsChild>
        <w:div w:id="234827980">
          <w:marLeft w:val="274"/>
          <w:marRight w:val="0"/>
          <w:marTop w:val="200"/>
          <w:marBottom w:val="0"/>
          <w:divBdr>
            <w:top w:val="none" w:sz="0" w:space="0" w:color="auto"/>
            <w:left w:val="none" w:sz="0" w:space="0" w:color="auto"/>
            <w:bottom w:val="none" w:sz="0" w:space="0" w:color="auto"/>
            <w:right w:val="none" w:sz="0" w:space="0" w:color="auto"/>
          </w:divBdr>
        </w:div>
        <w:div w:id="271982831">
          <w:marLeft w:val="274"/>
          <w:marRight w:val="0"/>
          <w:marTop w:val="200"/>
          <w:marBottom w:val="0"/>
          <w:divBdr>
            <w:top w:val="none" w:sz="0" w:space="0" w:color="auto"/>
            <w:left w:val="none" w:sz="0" w:space="0" w:color="auto"/>
            <w:bottom w:val="none" w:sz="0" w:space="0" w:color="auto"/>
            <w:right w:val="none" w:sz="0" w:space="0" w:color="auto"/>
          </w:divBdr>
        </w:div>
        <w:div w:id="600573453">
          <w:marLeft w:val="274"/>
          <w:marRight w:val="0"/>
          <w:marTop w:val="200"/>
          <w:marBottom w:val="0"/>
          <w:divBdr>
            <w:top w:val="none" w:sz="0" w:space="0" w:color="auto"/>
            <w:left w:val="none" w:sz="0" w:space="0" w:color="auto"/>
            <w:bottom w:val="none" w:sz="0" w:space="0" w:color="auto"/>
            <w:right w:val="none" w:sz="0" w:space="0" w:color="auto"/>
          </w:divBdr>
        </w:div>
        <w:div w:id="901212318">
          <w:marLeft w:val="274"/>
          <w:marRight w:val="0"/>
          <w:marTop w:val="200"/>
          <w:marBottom w:val="0"/>
          <w:divBdr>
            <w:top w:val="none" w:sz="0" w:space="0" w:color="auto"/>
            <w:left w:val="none" w:sz="0" w:space="0" w:color="auto"/>
            <w:bottom w:val="none" w:sz="0" w:space="0" w:color="auto"/>
            <w:right w:val="none" w:sz="0" w:space="0" w:color="auto"/>
          </w:divBdr>
        </w:div>
        <w:div w:id="906719438">
          <w:marLeft w:val="274"/>
          <w:marRight w:val="0"/>
          <w:marTop w:val="200"/>
          <w:marBottom w:val="0"/>
          <w:divBdr>
            <w:top w:val="none" w:sz="0" w:space="0" w:color="auto"/>
            <w:left w:val="none" w:sz="0" w:space="0" w:color="auto"/>
            <w:bottom w:val="none" w:sz="0" w:space="0" w:color="auto"/>
            <w:right w:val="none" w:sz="0" w:space="0" w:color="auto"/>
          </w:divBdr>
        </w:div>
        <w:div w:id="1894535274">
          <w:marLeft w:val="274"/>
          <w:marRight w:val="0"/>
          <w:marTop w:val="200"/>
          <w:marBottom w:val="0"/>
          <w:divBdr>
            <w:top w:val="none" w:sz="0" w:space="0" w:color="auto"/>
            <w:left w:val="none" w:sz="0" w:space="0" w:color="auto"/>
            <w:bottom w:val="none" w:sz="0" w:space="0" w:color="auto"/>
            <w:right w:val="none" w:sz="0" w:space="0" w:color="auto"/>
          </w:divBdr>
        </w:div>
      </w:divsChild>
    </w:div>
    <w:div w:id="1011108901">
      <w:bodyDiv w:val="1"/>
      <w:marLeft w:val="0"/>
      <w:marRight w:val="0"/>
      <w:marTop w:val="0"/>
      <w:marBottom w:val="0"/>
      <w:divBdr>
        <w:top w:val="none" w:sz="0" w:space="0" w:color="auto"/>
        <w:left w:val="none" w:sz="0" w:space="0" w:color="auto"/>
        <w:bottom w:val="none" w:sz="0" w:space="0" w:color="auto"/>
        <w:right w:val="none" w:sz="0" w:space="0" w:color="auto"/>
      </w:divBdr>
      <w:divsChild>
        <w:div w:id="1824462797">
          <w:marLeft w:val="274"/>
          <w:marRight w:val="0"/>
          <w:marTop w:val="0"/>
          <w:marBottom w:val="0"/>
          <w:divBdr>
            <w:top w:val="none" w:sz="0" w:space="0" w:color="auto"/>
            <w:left w:val="none" w:sz="0" w:space="0" w:color="auto"/>
            <w:bottom w:val="none" w:sz="0" w:space="0" w:color="auto"/>
            <w:right w:val="none" w:sz="0" w:space="0" w:color="auto"/>
          </w:divBdr>
        </w:div>
        <w:div w:id="34550417">
          <w:marLeft w:val="274"/>
          <w:marRight w:val="0"/>
          <w:marTop w:val="0"/>
          <w:marBottom w:val="0"/>
          <w:divBdr>
            <w:top w:val="none" w:sz="0" w:space="0" w:color="auto"/>
            <w:left w:val="none" w:sz="0" w:space="0" w:color="auto"/>
            <w:bottom w:val="none" w:sz="0" w:space="0" w:color="auto"/>
            <w:right w:val="none" w:sz="0" w:space="0" w:color="auto"/>
          </w:divBdr>
        </w:div>
      </w:divsChild>
    </w:div>
    <w:div w:id="1020010839">
      <w:bodyDiv w:val="1"/>
      <w:marLeft w:val="0"/>
      <w:marRight w:val="0"/>
      <w:marTop w:val="0"/>
      <w:marBottom w:val="0"/>
      <w:divBdr>
        <w:top w:val="none" w:sz="0" w:space="0" w:color="auto"/>
        <w:left w:val="none" w:sz="0" w:space="0" w:color="auto"/>
        <w:bottom w:val="none" w:sz="0" w:space="0" w:color="auto"/>
        <w:right w:val="none" w:sz="0" w:space="0" w:color="auto"/>
      </w:divBdr>
    </w:div>
    <w:div w:id="1027563163">
      <w:bodyDiv w:val="1"/>
      <w:marLeft w:val="0"/>
      <w:marRight w:val="0"/>
      <w:marTop w:val="0"/>
      <w:marBottom w:val="0"/>
      <w:divBdr>
        <w:top w:val="none" w:sz="0" w:space="0" w:color="auto"/>
        <w:left w:val="none" w:sz="0" w:space="0" w:color="auto"/>
        <w:bottom w:val="none" w:sz="0" w:space="0" w:color="auto"/>
        <w:right w:val="none" w:sz="0" w:space="0" w:color="auto"/>
      </w:divBdr>
    </w:div>
    <w:div w:id="1066605961">
      <w:bodyDiv w:val="1"/>
      <w:marLeft w:val="0"/>
      <w:marRight w:val="0"/>
      <w:marTop w:val="0"/>
      <w:marBottom w:val="0"/>
      <w:divBdr>
        <w:top w:val="none" w:sz="0" w:space="0" w:color="auto"/>
        <w:left w:val="none" w:sz="0" w:space="0" w:color="auto"/>
        <w:bottom w:val="none" w:sz="0" w:space="0" w:color="auto"/>
        <w:right w:val="none" w:sz="0" w:space="0" w:color="auto"/>
      </w:divBdr>
      <w:divsChild>
        <w:div w:id="30502264">
          <w:marLeft w:val="274"/>
          <w:marRight w:val="0"/>
          <w:marTop w:val="0"/>
          <w:marBottom w:val="0"/>
          <w:divBdr>
            <w:top w:val="none" w:sz="0" w:space="0" w:color="auto"/>
            <w:left w:val="none" w:sz="0" w:space="0" w:color="auto"/>
            <w:bottom w:val="none" w:sz="0" w:space="0" w:color="auto"/>
            <w:right w:val="none" w:sz="0" w:space="0" w:color="auto"/>
          </w:divBdr>
        </w:div>
        <w:div w:id="725179135">
          <w:marLeft w:val="274"/>
          <w:marRight w:val="0"/>
          <w:marTop w:val="0"/>
          <w:marBottom w:val="0"/>
          <w:divBdr>
            <w:top w:val="none" w:sz="0" w:space="0" w:color="auto"/>
            <w:left w:val="none" w:sz="0" w:space="0" w:color="auto"/>
            <w:bottom w:val="none" w:sz="0" w:space="0" w:color="auto"/>
            <w:right w:val="none" w:sz="0" w:space="0" w:color="auto"/>
          </w:divBdr>
        </w:div>
        <w:div w:id="1624266418">
          <w:marLeft w:val="274"/>
          <w:marRight w:val="0"/>
          <w:marTop w:val="0"/>
          <w:marBottom w:val="0"/>
          <w:divBdr>
            <w:top w:val="none" w:sz="0" w:space="0" w:color="auto"/>
            <w:left w:val="none" w:sz="0" w:space="0" w:color="auto"/>
            <w:bottom w:val="none" w:sz="0" w:space="0" w:color="auto"/>
            <w:right w:val="none" w:sz="0" w:space="0" w:color="auto"/>
          </w:divBdr>
        </w:div>
      </w:divsChild>
    </w:div>
    <w:div w:id="1078215552">
      <w:bodyDiv w:val="1"/>
      <w:marLeft w:val="0"/>
      <w:marRight w:val="0"/>
      <w:marTop w:val="0"/>
      <w:marBottom w:val="0"/>
      <w:divBdr>
        <w:top w:val="none" w:sz="0" w:space="0" w:color="auto"/>
        <w:left w:val="none" w:sz="0" w:space="0" w:color="auto"/>
        <w:bottom w:val="none" w:sz="0" w:space="0" w:color="auto"/>
        <w:right w:val="none" w:sz="0" w:space="0" w:color="auto"/>
      </w:divBdr>
    </w:div>
    <w:div w:id="1086997415">
      <w:bodyDiv w:val="1"/>
      <w:marLeft w:val="0"/>
      <w:marRight w:val="0"/>
      <w:marTop w:val="0"/>
      <w:marBottom w:val="0"/>
      <w:divBdr>
        <w:top w:val="none" w:sz="0" w:space="0" w:color="auto"/>
        <w:left w:val="none" w:sz="0" w:space="0" w:color="auto"/>
        <w:bottom w:val="none" w:sz="0" w:space="0" w:color="auto"/>
        <w:right w:val="none" w:sz="0" w:space="0" w:color="auto"/>
      </w:divBdr>
      <w:divsChild>
        <w:div w:id="837424837">
          <w:marLeft w:val="274"/>
          <w:marRight w:val="0"/>
          <w:marTop w:val="0"/>
          <w:marBottom w:val="0"/>
          <w:divBdr>
            <w:top w:val="none" w:sz="0" w:space="0" w:color="auto"/>
            <w:left w:val="none" w:sz="0" w:space="0" w:color="auto"/>
            <w:bottom w:val="none" w:sz="0" w:space="0" w:color="auto"/>
            <w:right w:val="none" w:sz="0" w:space="0" w:color="auto"/>
          </w:divBdr>
        </w:div>
        <w:div w:id="1142239036">
          <w:marLeft w:val="274"/>
          <w:marRight w:val="0"/>
          <w:marTop w:val="0"/>
          <w:marBottom w:val="0"/>
          <w:divBdr>
            <w:top w:val="none" w:sz="0" w:space="0" w:color="auto"/>
            <w:left w:val="none" w:sz="0" w:space="0" w:color="auto"/>
            <w:bottom w:val="none" w:sz="0" w:space="0" w:color="auto"/>
            <w:right w:val="none" w:sz="0" w:space="0" w:color="auto"/>
          </w:divBdr>
        </w:div>
      </w:divsChild>
    </w:div>
    <w:div w:id="1101221478">
      <w:bodyDiv w:val="1"/>
      <w:marLeft w:val="0"/>
      <w:marRight w:val="0"/>
      <w:marTop w:val="0"/>
      <w:marBottom w:val="0"/>
      <w:divBdr>
        <w:top w:val="none" w:sz="0" w:space="0" w:color="auto"/>
        <w:left w:val="none" w:sz="0" w:space="0" w:color="auto"/>
        <w:bottom w:val="none" w:sz="0" w:space="0" w:color="auto"/>
        <w:right w:val="none" w:sz="0" w:space="0" w:color="auto"/>
      </w:divBdr>
    </w:div>
    <w:div w:id="1106000437">
      <w:bodyDiv w:val="1"/>
      <w:marLeft w:val="0"/>
      <w:marRight w:val="0"/>
      <w:marTop w:val="0"/>
      <w:marBottom w:val="0"/>
      <w:divBdr>
        <w:top w:val="none" w:sz="0" w:space="0" w:color="auto"/>
        <w:left w:val="none" w:sz="0" w:space="0" w:color="auto"/>
        <w:bottom w:val="none" w:sz="0" w:space="0" w:color="auto"/>
        <w:right w:val="none" w:sz="0" w:space="0" w:color="auto"/>
      </w:divBdr>
    </w:div>
    <w:div w:id="1134105277">
      <w:bodyDiv w:val="1"/>
      <w:marLeft w:val="0"/>
      <w:marRight w:val="0"/>
      <w:marTop w:val="0"/>
      <w:marBottom w:val="0"/>
      <w:divBdr>
        <w:top w:val="none" w:sz="0" w:space="0" w:color="auto"/>
        <w:left w:val="none" w:sz="0" w:space="0" w:color="auto"/>
        <w:bottom w:val="none" w:sz="0" w:space="0" w:color="auto"/>
        <w:right w:val="none" w:sz="0" w:space="0" w:color="auto"/>
      </w:divBdr>
    </w:div>
    <w:div w:id="1142116335">
      <w:bodyDiv w:val="1"/>
      <w:marLeft w:val="0"/>
      <w:marRight w:val="0"/>
      <w:marTop w:val="0"/>
      <w:marBottom w:val="0"/>
      <w:divBdr>
        <w:top w:val="none" w:sz="0" w:space="0" w:color="auto"/>
        <w:left w:val="none" w:sz="0" w:space="0" w:color="auto"/>
        <w:bottom w:val="none" w:sz="0" w:space="0" w:color="auto"/>
        <w:right w:val="none" w:sz="0" w:space="0" w:color="auto"/>
      </w:divBdr>
    </w:div>
    <w:div w:id="1147358695">
      <w:bodyDiv w:val="1"/>
      <w:marLeft w:val="0"/>
      <w:marRight w:val="0"/>
      <w:marTop w:val="0"/>
      <w:marBottom w:val="0"/>
      <w:divBdr>
        <w:top w:val="none" w:sz="0" w:space="0" w:color="auto"/>
        <w:left w:val="none" w:sz="0" w:space="0" w:color="auto"/>
        <w:bottom w:val="none" w:sz="0" w:space="0" w:color="auto"/>
        <w:right w:val="none" w:sz="0" w:space="0" w:color="auto"/>
      </w:divBdr>
    </w:div>
    <w:div w:id="1148747463">
      <w:bodyDiv w:val="1"/>
      <w:marLeft w:val="0"/>
      <w:marRight w:val="0"/>
      <w:marTop w:val="0"/>
      <w:marBottom w:val="0"/>
      <w:divBdr>
        <w:top w:val="none" w:sz="0" w:space="0" w:color="auto"/>
        <w:left w:val="none" w:sz="0" w:space="0" w:color="auto"/>
        <w:bottom w:val="none" w:sz="0" w:space="0" w:color="auto"/>
        <w:right w:val="none" w:sz="0" w:space="0" w:color="auto"/>
      </w:divBdr>
    </w:div>
    <w:div w:id="1153444996">
      <w:bodyDiv w:val="1"/>
      <w:marLeft w:val="0"/>
      <w:marRight w:val="0"/>
      <w:marTop w:val="0"/>
      <w:marBottom w:val="0"/>
      <w:divBdr>
        <w:top w:val="none" w:sz="0" w:space="0" w:color="auto"/>
        <w:left w:val="none" w:sz="0" w:space="0" w:color="auto"/>
        <w:bottom w:val="none" w:sz="0" w:space="0" w:color="auto"/>
        <w:right w:val="none" w:sz="0" w:space="0" w:color="auto"/>
      </w:divBdr>
    </w:div>
    <w:div w:id="1153525002">
      <w:bodyDiv w:val="1"/>
      <w:marLeft w:val="0"/>
      <w:marRight w:val="0"/>
      <w:marTop w:val="0"/>
      <w:marBottom w:val="0"/>
      <w:divBdr>
        <w:top w:val="none" w:sz="0" w:space="0" w:color="auto"/>
        <w:left w:val="none" w:sz="0" w:space="0" w:color="auto"/>
        <w:bottom w:val="none" w:sz="0" w:space="0" w:color="auto"/>
        <w:right w:val="none" w:sz="0" w:space="0" w:color="auto"/>
      </w:divBdr>
      <w:divsChild>
        <w:div w:id="1145514849">
          <w:marLeft w:val="274"/>
          <w:marRight w:val="0"/>
          <w:marTop w:val="0"/>
          <w:marBottom w:val="0"/>
          <w:divBdr>
            <w:top w:val="none" w:sz="0" w:space="0" w:color="auto"/>
            <w:left w:val="none" w:sz="0" w:space="0" w:color="auto"/>
            <w:bottom w:val="none" w:sz="0" w:space="0" w:color="auto"/>
            <w:right w:val="none" w:sz="0" w:space="0" w:color="auto"/>
          </w:divBdr>
        </w:div>
        <w:div w:id="1280801148">
          <w:marLeft w:val="274"/>
          <w:marRight w:val="0"/>
          <w:marTop w:val="0"/>
          <w:marBottom w:val="0"/>
          <w:divBdr>
            <w:top w:val="none" w:sz="0" w:space="0" w:color="auto"/>
            <w:left w:val="none" w:sz="0" w:space="0" w:color="auto"/>
            <w:bottom w:val="none" w:sz="0" w:space="0" w:color="auto"/>
            <w:right w:val="none" w:sz="0" w:space="0" w:color="auto"/>
          </w:divBdr>
        </w:div>
        <w:div w:id="1787113372">
          <w:marLeft w:val="274"/>
          <w:marRight w:val="0"/>
          <w:marTop w:val="0"/>
          <w:marBottom w:val="0"/>
          <w:divBdr>
            <w:top w:val="none" w:sz="0" w:space="0" w:color="auto"/>
            <w:left w:val="none" w:sz="0" w:space="0" w:color="auto"/>
            <w:bottom w:val="none" w:sz="0" w:space="0" w:color="auto"/>
            <w:right w:val="none" w:sz="0" w:space="0" w:color="auto"/>
          </w:divBdr>
        </w:div>
        <w:div w:id="2015910767">
          <w:marLeft w:val="274"/>
          <w:marRight w:val="0"/>
          <w:marTop w:val="0"/>
          <w:marBottom w:val="0"/>
          <w:divBdr>
            <w:top w:val="none" w:sz="0" w:space="0" w:color="auto"/>
            <w:left w:val="none" w:sz="0" w:space="0" w:color="auto"/>
            <w:bottom w:val="none" w:sz="0" w:space="0" w:color="auto"/>
            <w:right w:val="none" w:sz="0" w:space="0" w:color="auto"/>
          </w:divBdr>
        </w:div>
      </w:divsChild>
    </w:div>
    <w:div w:id="1155223890">
      <w:bodyDiv w:val="1"/>
      <w:marLeft w:val="0"/>
      <w:marRight w:val="0"/>
      <w:marTop w:val="0"/>
      <w:marBottom w:val="0"/>
      <w:divBdr>
        <w:top w:val="none" w:sz="0" w:space="0" w:color="auto"/>
        <w:left w:val="none" w:sz="0" w:space="0" w:color="auto"/>
        <w:bottom w:val="none" w:sz="0" w:space="0" w:color="auto"/>
        <w:right w:val="none" w:sz="0" w:space="0" w:color="auto"/>
      </w:divBdr>
      <w:divsChild>
        <w:div w:id="18241441">
          <w:marLeft w:val="274"/>
          <w:marRight w:val="0"/>
          <w:marTop w:val="0"/>
          <w:marBottom w:val="240"/>
          <w:divBdr>
            <w:top w:val="none" w:sz="0" w:space="0" w:color="auto"/>
            <w:left w:val="none" w:sz="0" w:space="0" w:color="auto"/>
            <w:bottom w:val="none" w:sz="0" w:space="0" w:color="auto"/>
            <w:right w:val="none" w:sz="0" w:space="0" w:color="auto"/>
          </w:divBdr>
        </w:div>
        <w:div w:id="89357969">
          <w:marLeft w:val="274"/>
          <w:marRight w:val="0"/>
          <w:marTop w:val="0"/>
          <w:marBottom w:val="240"/>
          <w:divBdr>
            <w:top w:val="none" w:sz="0" w:space="0" w:color="auto"/>
            <w:left w:val="none" w:sz="0" w:space="0" w:color="auto"/>
            <w:bottom w:val="none" w:sz="0" w:space="0" w:color="auto"/>
            <w:right w:val="none" w:sz="0" w:space="0" w:color="auto"/>
          </w:divBdr>
        </w:div>
        <w:div w:id="200828565">
          <w:marLeft w:val="274"/>
          <w:marRight w:val="0"/>
          <w:marTop w:val="0"/>
          <w:marBottom w:val="240"/>
          <w:divBdr>
            <w:top w:val="none" w:sz="0" w:space="0" w:color="auto"/>
            <w:left w:val="none" w:sz="0" w:space="0" w:color="auto"/>
            <w:bottom w:val="none" w:sz="0" w:space="0" w:color="auto"/>
            <w:right w:val="none" w:sz="0" w:space="0" w:color="auto"/>
          </w:divBdr>
        </w:div>
        <w:div w:id="328749422">
          <w:marLeft w:val="274"/>
          <w:marRight w:val="0"/>
          <w:marTop w:val="0"/>
          <w:marBottom w:val="240"/>
          <w:divBdr>
            <w:top w:val="none" w:sz="0" w:space="0" w:color="auto"/>
            <w:left w:val="none" w:sz="0" w:space="0" w:color="auto"/>
            <w:bottom w:val="none" w:sz="0" w:space="0" w:color="auto"/>
            <w:right w:val="none" w:sz="0" w:space="0" w:color="auto"/>
          </w:divBdr>
        </w:div>
        <w:div w:id="872621907">
          <w:marLeft w:val="274"/>
          <w:marRight w:val="0"/>
          <w:marTop w:val="0"/>
          <w:marBottom w:val="240"/>
          <w:divBdr>
            <w:top w:val="none" w:sz="0" w:space="0" w:color="auto"/>
            <w:left w:val="none" w:sz="0" w:space="0" w:color="auto"/>
            <w:bottom w:val="none" w:sz="0" w:space="0" w:color="auto"/>
            <w:right w:val="none" w:sz="0" w:space="0" w:color="auto"/>
          </w:divBdr>
        </w:div>
        <w:div w:id="1016613257">
          <w:marLeft w:val="274"/>
          <w:marRight w:val="0"/>
          <w:marTop w:val="0"/>
          <w:marBottom w:val="240"/>
          <w:divBdr>
            <w:top w:val="none" w:sz="0" w:space="0" w:color="auto"/>
            <w:left w:val="none" w:sz="0" w:space="0" w:color="auto"/>
            <w:bottom w:val="none" w:sz="0" w:space="0" w:color="auto"/>
            <w:right w:val="none" w:sz="0" w:space="0" w:color="auto"/>
          </w:divBdr>
        </w:div>
        <w:div w:id="1399985302">
          <w:marLeft w:val="274"/>
          <w:marRight w:val="0"/>
          <w:marTop w:val="0"/>
          <w:marBottom w:val="240"/>
          <w:divBdr>
            <w:top w:val="none" w:sz="0" w:space="0" w:color="auto"/>
            <w:left w:val="none" w:sz="0" w:space="0" w:color="auto"/>
            <w:bottom w:val="none" w:sz="0" w:space="0" w:color="auto"/>
            <w:right w:val="none" w:sz="0" w:space="0" w:color="auto"/>
          </w:divBdr>
        </w:div>
      </w:divsChild>
    </w:div>
    <w:div w:id="1157838997">
      <w:bodyDiv w:val="1"/>
      <w:marLeft w:val="0"/>
      <w:marRight w:val="0"/>
      <w:marTop w:val="0"/>
      <w:marBottom w:val="0"/>
      <w:divBdr>
        <w:top w:val="none" w:sz="0" w:space="0" w:color="auto"/>
        <w:left w:val="none" w:sz="0" w:space="0" w:color="auto"/>
        <w:bottom w:val="none" w:sz="0" w:space="0" w:color="auto"/>
        <w:right w:val="none" w:sz="0" w:space="0" w:color="auto"/>
      </w:divBdr>
    </w:div>
    <w:div w:id="1158424147">
      <w:bodyDiv w:val="1"/>
      <w:marLeft w:val="0"/>
      <w:marRight w:val="0"/>
      <w:marTop w:val="0"/>
      <w:marBottom w:val="0"/>
      <w:divBdr>
        <w:top w:val="none" w:sz="0" w:space="0" w:color="auto"/>
        <w:left w:val="none" w:sz="0" w:space="0" w:color="auto"/>
        <w:bottom w:val="none" w:sz="0" w:space="0" w:color="auto"/>
        <w:right w:val="none" w:sz="0" w:space="0" w:color="auto"/>
      </w:divBdr>
    </w:div>
    <w:div w:id="1163737264">
      <w:bodyDiv w:val="1"/>
      <w:marLeft w:val="0"/>
      <w:marRight w:val="0"/>
      <w:marTop w:val="0"/>
      <w:marBottom w:val="0"/>
      <w:divBdr>
        <w:top w:val="none" w:sz="0" w:space="0" w:color="auto"/>
        <w:left w:val="none" w:sz="0" w:space="0" w:color="auto"/>
        <w:bottom w:val="none" w:sz="0" w:space="0" w:color="auto"/>
        <w:right w:val="none" w:sz="0" w:space="0" w:color="auto"/>
      </w:divBdr>
    </w:div>
    <w:div w:id="1172064790">
      <w:bodyDiv w:val="1"/>
      <w:marLeft w:val="0"/>
      <w:marRight w:val="0"/>
      <w:marTop w:val="0"/>
      <w:marBottom w:val="0"/>
      <w:divBdr>
        <w:top w:val="none" w:sz="0" w:space="0" w:color="auto"/>
        <w:left w:val="none" w:sz="0" w:space="0" w:color="auto"/>
        <w:bottom w:val="none" w:sz="0" w:space="0" w:color="auto"/>
        <w:right w:val="none" w:sz="0" w:space="0" w:color="auto"/>
      </w:divBdr>
    </w:div>
    <w:div w:id="1178811841">
      <w:bodyDiv w:val="1"/>
      <w:marLeft w:val="0"/>
      <w:marRight w:val="0"/>
      <w:marTop w:val="0"/>
      <w:marBottom w:val="0"/>
      <w:divBdr>
        <w:top w:val="none" w:sz="0" w:space="0" w:color="auto"/>
        <w:left w:val="none" w:sz="0" w:space="0" w:color="auto"/>
        <w:bottom w:val="none" w:sz="0" w:space="0" w:color="auto"/>
        <w:right w:val="none" w:sz="0" w:space="0" w:color="auto"/>
      </w:divBdr>
    </w:div>
    <w:div w:id="1198348805">
      <w:bodyDiv w:val="1"/>
      <w:marLeft w:val="0"/>
      <w:marRight w:val="0"/>
      <w:marTop w:val="0"/>
      <w:marBottom w:val="0"/>
      <w:divBdr>
        <w:top w:val="none" w:sz="0" w:space="0" w:color="auto"/>
        <w:left w:val="none" w:sz="0" w:space="0" w:color="auto"/>
        <w:bottom w:val="none" w:sz="0" w:space="0" w:color="auto"/>
        <w:right w:val="none" w:sz="0" w:space="0" w:color="auto"/>
      </w:divBdr>
    </w:div>
    <w:div w:id="1274635915">
      <w:bodyDiv w:val="1"/>
      <w:marLeft w:val="0"/>
      <w:marRight w:val="0"/>
      <w:marTop w:val="0"/>
      <w:marBottom w:val="0"/>
      <w:divBdr>
        <w:top w:val="none" w:sz="0" w:space="0" w:color="auto"/>
        <w:left w:val="none" w:sz="0" w:space="0" w:color="auto"/>
        <w:bottom w:val="none" w:sz="0" w:space="0" w:color="auto"/>
        <w:right w:val="none" w:sz="0" w:space="0" w:color="auto"/>
      </w:divBdr>
    </w:div>
    <w:div w:id="1297565730">
      <w:bodyDiv w:val="1"/>
      <w:marLeft w:val="0"/>
      <w:marRight w:val="0"/>
      <w:marTop w:val="0"/>
      <w:marBottom w:val="0"/>
      <w:divBdr>
        <w:top w:val="none" w:sz="0" w:space="0" w:color="auto"/>
        <w:left w:val="none" w:sz="0" w:space="0" w:color="auto"/>
        <w:bottom w:val="none" w:sz="0" w:space="0" w:color="auto"/>
        <w:right w:val="none" w:sz="0" w:space="0" w:color="auto"/>
      </w:divBdr>
      <w:divsChild>
        <w:div w:id="495003388">
          <w:marLeft w:val="274"/>
          <w:marRight w:val="0"/>
          <w:marTop w:val="0"/>
          <w:marBottom w:val="0"/>
          <w:divBdr>
            <w:top w:val="none" w:sz="0" w:space="0" w:color="auto"/>
            <w:left w:val="none" w:sz="0" w:space="0" w:color="auto"/>
            <w:bottom w:val="none" w:sz="0" w:space="0" w:color="auto"/>
            <w:right w:val="none" w:sz="0" w:space="0" w:color="auto"/>
          </w:divBdr>
        </w:div>
        <w:div w:id="1043290873">
          <w:marLeft w:val="274"/>
          <w:marRight w:val="0"/>
          <w:marTop w:val="0"/>
          <w:marBottom w:val="0"/>
          <w:divBdr>
            <w:top w:val="none" w:sz="0" w:space="0" w:color="auto"/>
            <w:left w:val="none" w:sz="0" w:space="0" w:color="auto"/>
            <w:bottom w:val="none" w:sz="0" w:space="0" w:color="auto"/>
            <w:right w:val="none" w:sz="0" w:space="0" w:color="auto"/>
          </w:divBdr>
        </w:div>
        <w:div w:id="1193769017">
          <w:marLeft w:val="274"/>
          <w:marRight w:val="0"/>
          <w:marTop w:val="0"/>
          <w:marBottom w:val="0"/>
          <w:divBdr>
            <w:top w:val="none" w:sz="0" w:space="0" w:color="auto"/>
            <w:left w:val="none" w:sz="0" w:space="0" w:color="auto"/>
            <w:bottom w:val="none" w:sz="0" w:space="0" w:color="auto"/>
            <w:right w:val="none" w:sz="0" w:space="0" w:color="auto"/>
          </w:divBdr>
        </w:div>
      </w:divsChild>
    </w:div>
    <w:div w:id="1312826506">
      <w:bodyDiv w:val="1"/>
      <w:marLeft w:val="0"/>
      <w:marRight w:val="0"/>
      <w:marTop w:val="0"/>
      <w:marBottom w:val="0"/>
      <w:divBdr>
        <w:top w:val="none" w:sz="0" w:space="0" w:color="auto"/>
        <w:left w:val="none" w:sz="0" w:space="0" w:color="auto"/>
        <w:bottom w:val="none" w:sz="0" w:space="0" w:color="auto"/>
        <w:right w:val="none" w:sz="0" w:space="0" w:color="auto"/>
      </w:divBdr>
    </w:div>
    <w:div w:id="1333603211">
      <w:bodyDiv w:val="1"/>
      <w:marLeft w:val="0"/>
      <w:marRight w:val="0"/>
      <w:marTop w:val="0"/>
      <w:marBottom w:val="0"/>
      <w:divBdr>
        <w:top w:val="none" w:sz="0" w:space="0" w:color="auto"/>
        <w:left w:val="none" w:sz="0" w:space="0" w:color="auto"/>
        <w:bottom w:val="none" w:sz="0" w:space="0" w:color="auto"/>
        <w:right w:val="none" w:sz="0" w:space="0" w:color="auto"/>
      </w:divBdr>
    </w:div>
    <w:div w:id="1333798864">
      <w:bodyDiv w:val="1"/>
      <w:marLeft w:val="0"/>
      <w:marRight w:val="0"/>
      <w:marTop w:val="0"/>
      <w:marBottom w:val="0"/>
      <w:divBdr>
        <w:top w:val="none" w:sz="0" w:space="0" w:color="auto"/>
        <w:left w:val="none" w:sz="0" w:space="0" w:color="auto"/>
        <w:bottom w:val="none" w:sz="0" w:space="0" w:color="auto"/>
        <w:right w:val="none" w:sz="0" w:space="0" w:color="auto"/>
      </w:divBdr>
    </w:div>
    <w:div w:id="1401519284">
      <w:bodyDiv w:val="1"/>
      <w:marLeft w:val="0"/>
      <w:marRight w:val="0"/>
      <w:marTop w:val="0"/>
      <w:marBottom w:val="0"/>
      <w:divBdr>
        <w:top w:val="none" w:sz="0" w:space="0" w:color="auto"/>
        <w:left w:val="none" w:sz="0" w:space="0" w:color="auto"/>
        <w:bottom w:val="none" w:sz="0" w:space="0" w:color="auto"/>
        <w:right w:val="none" w:sz="0" w:space="0" w:color="auto"/>
      </w:divBdr>
    </w:div>
    <w:div w:id="1411733280">
      <w:bodyDiv w:val="1"/>
      <w:marLeft w:val="0"/>
      <w:marRight w:val="0"/>
      <w:marTop w:val="0"/>
      <w:marBottom w:val="0"/>
      <w:divBdr>
        <w:top w:val="none" w:sz="0" w:space="0" w:color="auto"/>
        <w:left w:val="none" w:sz="0" w:space="0" w:color="auto"/>
        <w:bottom w:val="none" w:sz="0" w:space="0" w:color="auto"/>
        <w:right w:val="none" w:sz="0" w:space="0" w:color="auto"/>
      </w:divBdr>
    </w:div>
    <w:div w:id="1438215323">
      <w:bodyDiv w:val="1"/>
      <w:marLeft w:val="0"/>
      <w:marRight w:val="0"/>
      <w:marTop w:val="0"/>
      <w:marBottom w:val="0"/>
      <w:divBdr>
        <w:top w:val="none" w:sz="0" w:space="0" w:color="auto"/>
        <w:left w:val="none" w:sz="0" w:space="0" w:color="auto"/>
        <w:bottom w:val="none" w:sz="0" w:space="0" w:color="auto"/>
        <w:right w:val="none" w:sz="0" w:space="0" w:color="auto"/>
      </w:divBdr>
      <w:divsChild>
        <w:div w:id="27145519">
          <w:marLeft w:val="360"/>
          <w:marRight w:val="0"/>
          <w:marTop w:val="0"/>
          <w:marBottom w:val="0"/>
          <w:divBdr>
            <w:top w:val="none" w:sz="0" w:space="0" w:color="auto"/>
            <w:left w:val="none" w:sz="0" w:space="0" w:color="auto"/>
            <w:bottom w:val="none" w:sz="0" w:space="0" w:color="auto"/>
            <w:right w:val="none" w:sz="0" w:space="0" w:color="auto"/>
          </w:divBdr>
        </w:div>
        <w:div w:id="1085879802">
          <w:marLeft w:val="360"/>
          <w:marRight w:val="0"/>
          <w:marTop w:val="0"/>
          <w:marBottom w:val="0"/>
          <w:divBdr>
            <w:top w:val="none" w:sz="0" w:space="0" w:color="auto"/>
            <w:left w:val="none" w:sz="0" w:space="0" w:color="auto"/>
            <w:bottom w:val="none" w:sz="0" w:space="0" w:color="auto"/>
            <w:right w:val="none" w:sz="0" w:space="0" w:color="auto"/>
          </w:divBdr>
        </w:div>
        <w:div w:id="1941064449">
          <w:marLeft w:val="360"/>
          <w:marRight w:val="0"/>
          <w:marTop w:val="0"/>
          <w:marBottom w:val="0"/>
          <w:divBdr>
            <w:top w:val="none" w:sz="0" w:space="0" w:color="auto"/>
            <w:left w:val="none" w:sz="0" w:space="0" w:color="auto"/>
            <w:bottom w:val="none" w:sz="0" w:space="0" w:color="auto"/>
            <w:right w:val="none" w:sz="0" w:space="0" w:color="auto"/>
          </w:divBdr>
        </w:div>
      </w:divsChild>
    </w:div>
    <w:div w:id="1444306847">
      <w:bodyDiv w:val="1"/>
      <w:marLeft w:val="0"/>
      <w:marRight w:val="0"/>
      <w:marTop w:val="0"/>
      <w:marBottom w:val="0"/>
      <w:divBdr>
        <w:top w:val="none" w:sz="0" w:space="0" w:color="auto"/>
        <w:left w:val="none" w:sz="0" w:space="0" w:color="auto"/>
        <w:bottom w:val="none" w:sz="0" w:space="0" w:color="auto"/>
        <w:right w:val="none" w:sz="0" w:space="0" w:color="auto"/>
      </w:divBdr>
      <w:divsChild>
        <w:div w:id="168297846">
          <w:marLeft w:val="446"/>
          <w:marRight w:val="0"/>
          <w:marTop w:val="0"/>
          <w:marBottom w:val="0"/>
          <w:divBdr>
            <w:top w:val="none" w:sz="0" w:space="0" w:color="auto"/>
            <w:left w:val="none" w:sz="0" w:space="0" w:color="auto"/>
            <w:bottom w:val="none" w:sz="0" w:space="0" w:color="auto"/>
            <w:right w:val="none" w:sz="0" w:space="0" w:color="auto"/>
          </w:divBdr>
        </w:div>
        <w:div w:id="350880147">
          <w:marLeft w:val="446"/>
          <w:marRight w:val="0"/>
          <w:marTop w:val="0"/>
          <w:marBottom w:val="0"/>
          <w:divBdr>
            <w:top w:val="none" w:sz="0" w:space="0" w:color="auto"/>
            <w:left w:val="none" w:sz="0" w:space="0" w:color="auto"/>
            <w:bottom w:val="none" w:sz="0" w:space="0" w:color="auto"/>
            <w:right w:val="none" w:sz="0" w:space="0" w:color="auto"/>
          </w:divBdr>
        </w:div>
        <w:div w:id="391585399">
          <w:marLeft w:val="446"/>
          <w:marRight w:val="0"/>
          <w:marTop w:val="0"/>
          <w:marBottom w:val="0"/>
          <w:divBdr>
            <w:top w:val="none" w:sz="0" w:space="0" w:color="auto"/>
            <w:left w:val="none" w:sz="0" w:space="0" w:color="auto"/>
            <w:bottom w:val="none" w:sz="0" w:space="0" w:color="auto"/>
            <w:right w:val="none" w:sz="0" w:space="0" w:color="auto"/>
          </w:divBdr>
        </w:div>
        <w:div w:id="1100417743">
          <w:marLeft w:val="446"/>
          <w:marRight w:val="0"/>
          <w:marTop w:val="0"/>
          <w:marBottom w:val="0"/>
          <w:divBdr>
            <w:top w:val="none" w:sz="0" w:space="0" w:color="auto"/>
            <w:left w:val="none" w:sz="0" w:space="0" w:color="auto"/>
            <w:bottom w:val="none" w:sz="0" w:space="0" w:color="auto"/>
            <w:right w:val="none" w:sz="0" w:space="0" w:color="auto"/>
          </w:divBdr>
        </w:div>
        <w:div w:id="1191992266">
          <w:marLeft w:val="446"/>
          <w:marRight w:val="0"/>
          <w:marTop w:val="0"/>
          <w:marBottom w:val="0"/>
          <w:divBdr>
            <w:top w:val="none" w:sz="0" w:space="0" w:color="auto"/>
            <w:left w:val="none" w:sz="0" w:space="0" w:color="auto"/>
            <w:bottom w:val="none" w:sz="0" w:space="0" w:color="auto"/>
            <w:right w:val="none" w:sz="0" w:space="0" w:color="auto"/>
          </w:divBdr>
        </w:div>
        <w:div w:id="1473447626">
          <w:marLeft w:val="446"/>
          <w:marRight w:val="0"/>
          <w:marTop w:val="0"/>
          <w:marBottom w:val="0"/>
          <w:divBdr>
            <w:top w:val="none" w:sz="0" w:space="0" w:color="auto"/>
            <w:left w:val="none" w:sz="0" w:space="0" w:color="auto"/>
            <w:bottom w:val="none" w:sz="0" w:space="0" w:color="auto"/>
            <w:right w:val="none" w:sz="0" w:space="0" w:color="auto"/>
          </w:divBdr>
        </w:div>
        <w:div w:id="1848668544">
          <w:marLeft w:val="446"/>
          <w:marRight w:val="0"/>
          <w:marTop w:val="0"/>
          <w:marBottom w:val="0"/>
          <w:divBdr>
            <w:top w:val="none" w:sz="0" w:space="0" w:color="auto"/>
            <w:left w:val="none" w:sz="0" w:space="0" w:color="auto"/>
            <w:bottom w:val="none" w:sz="0" w:space="0" w:color="auto"/>
            <w:right w:val="none" w:sz="0" w:space="0" w:color="auto"/>
          </w:divBdr>
        </w:div>
        <w:div w:id="1979921320">
          <w:marLeft w:val="446"/>
          <w:marRight w:val="0"/>
          <w:marTop w:val="0"/>
          <w:marBottom w:val="0"/>
          <w:divBdr>
            <w:top w:val="none" w:sz="0" w:space="0" w:color="auto"/>
            <w:left w:val="none" w:sz="0" w:space="0" w:color="auto"/>
            <w:bottom w:val="none" w:sz="0" w:space="0" w:color="auto"/>
            <w:right w:val="none" w:sz="0" w:space="0" w:color="auto"/>
          </w:divBdr>
        </w:div>
        <w:div w:id="2066561604">
          <w:marLeft w:val="446"/>
          <w:marRight w:val="0"/>
          <w:marTop w:val="0"/>
          <w:marBottom w:val="0"/>
          <w:divBdr>
            <w:top w:val="none" w:sz="0" w:space="0" w:color="auto"/>
            <w:left w:val="none" w:sz="0" w:space="0" w:color="auto"/>
            <w:bottom w:val="none" w:sz="0" w:space="0" w:color="auto"/>
            <w:right w:val="none" w:sz="0" w:space="0" w:color="auto"/>
          </w:divBdr>
        </w:div>
      </w:divsChild>
    </w:div>
    <w:div w:id="1463889755">
      <w:bodyDiv w:val="1"/>
      <w:marLeft w:val="0"/>
      <w:marRight w:val="0"/>
      <w:marTop w:val="0"/>
      <w:marBottom w:val="0"/>
      <w:divBdr>
        <w:top w:val="none" w:sz="0" w:space="0" w:color="auto"/>
        <w:left w:val="none" w:sz="0" w:space="0" w:color="auto"/>
        <w:bottom w:val="none" w:sz="0" w:space="0" w:color="auto"/>
        <w:right w:val="none" w:sz="0" w:space="0" w:color="auto"/>
      </w:divBdr>
    </w:div>
    <w:div w:id="1464225346">
      <w:bodyDiv w:val="1"/>
      <w:marLeft w:val="0"/>
      <w:marRight w:val="0"/>
      <w:marTop w:val="0"/>
      <w:marBottom w:val="0"/>
      <w:divBdr>
        <w:top w:val="none" w:sz="0" w:space="0" w:color="auto"/>
        <w:left w:val="none" w:sz="0" w:space="0" w:color="auto"/>
        <w:bottom w:val="none" w:sz="0" w:space="0" w:color="auto"/>
        <w:right w:val="none" w:sz="0" w:space="0" w:color="auto"/>
      </w:divBdr>
    </w:div>
    <w:div w:id="1467240387">
      <w:bodyDiv w:val="1"/>
      <w:marLeft w:val="0"/>
      <w:marRight w:val="0"/>
      <w:marTop w:val="0"/>
      <w:marBottom w:val="0"/>
      <w:divBdr>
        <w:top w:val="none" w:sz="0" w:space="0" w:color="auto"/>
        <w:left w:val="none" w:sz="0" w:space="0" w:color="auto"/>
        <w:bottom w:val="none" w:sz="0" w:space="0" w:color="auto"/>
        <w:right w:val="none" w:sz="0" w:space="0" w:color="auto"/>
      </w:divBdr>
      <w:divsChild>
        <w:div w:id="644822996">
          <w:marLeft w:val="274"/>
          <w:marRight w:val="0"/>
          <w:marTop w:val="0"/>
          <w:marBottom w:val="0"/>
          <w:divBdr>
            <w:top w:val="none" w:sz="0" w:space="0" w:color="auto"/>
            <w:left w:val="none" w:sz="0" w:space="0" w:color="auto"/>
            <w:bottom w:val="none" w:sz="0" w:space="0" w:color="auto"/>
            <w:right w:val="none" w:sz="0" w:space="0" w:color="auto"/>
          </w:divBdr>
        </w:div>
        <w:div w:id="2085492896">
          <w:marLeft w:val="274"/>
          <w:marRight w:val="0"/>
          <w:marTop w:val="0"/>
          <w:marBottom w:val="0"/>
          <w:divBdr>
            <w:top w:val="none" w:sz="0" w:space="0" w:color="auto"/>
            <w:left w:val="none" w:sz="0" w:space="0" w:color="auto"/>
            <w:bottom w:val="none" w:sz="0" w:space="0" w:color="auto"/>
            <w:right w:val="none" w:sz="0" w:space="0" w:color="auto"/>
          </w:divBdr>
        </w:div>
      </w:divsChild>
    </w:div>
    <w:div w:id="1467312087">
      <w:bodyDiv w:val="1"/>
      <w:marLeft w:val="0"/>
      <w:marRight w:val="0"/>
      <w:marTop w:val="0"/>
      <w:marBottom w:val="0"/>
      <w:divBdr>
        <w:top w:val="none" w:sz="0" w:space="0" w:color="auto"/>
        <w:left w:val="none" w:sz="0" w:space="0" w:color="auto"/>
        <w:bottom w:val="none" w:sz="0" w:space="0" w:color="auto"/>
        <w:right w:val="none" w:sz="0" w:space="0" w:color="auto"/>
      </w:divBdr>
    </w:div>
    <w:div w:id="1480345827">
      <w:bodyDiv w:val="1"/>
      <w:marLeft w:val="0"/>
      <w:marRight w:val="0"/>
      <w:marTop w:val="0"/>
      <w:marBottom w:val="0"/>
      <w:divBdr>
        <w:top w:val="none" w:sz="0" w:space="0" w:color="auto"/>
        <w:left w:val="none" w:sz="0" w:space="0" w:color="auto"/>
        <w:bottom w:val="none" w:sz="0" w:space="0" w:color="auto"/>
        <w:right w:val="none" w:sz="0" w:space="0" w:color="auto"/>
      </w:divBdr>
    </w:div>
    <w:div w:id="1502771418">
      <w:bodyDiv w:val="1"/>
      <w:marLeft w:val="0"/>
      <w:marRight w:val="0"/>
      <w:marTop w:val="0"/>
      <w:marBottom w:val="0"/>
      <w:divBdr>
        <w:top w:val="none" w:sz="0" w:space="0" w:color="auto"/>
        <w:left w:val="none" w:sz="0" w:space="0" w:color="auto"/>
        <w:bottom w:val="none" w:sz="0" w:space="0" w:color="auto"/>
        <w:right w:val="none" w:sz="0" w:space="0" w:color="auto"/>
      </w:divBdr>
    </w:div>
    <w:div w:id="1547568823">
      <w:bodyDiv w:val="1"/>
      <w:marLeft w:val="0"/>
      <w:marRight w:val="0"/>
      <w:marTop w:val="0"/>
      <w:marBottom w:val="0"/>
      <w:divBdr>
        <w:top w:val="none" w:sz="0" w:space="0" w:color="auto"/>
        <w:left w:val="none" w:sz="0" w:space="0" w:color="auto"/>
        <w:bottom w:val="none" w:sz="0" w:space="0" w:color="auto"/>
        <w:right w:val="none" w:sz="0" w:space="0" w:color="auto"/>
      </w:divBdr>
      <w:divsChild>
        <w:div w:id="232739281">
          <w:marLeft w:val="994"/>
          <w:marRight w:val="0"/>
          <w:marTop w:val="0"/>
          <w:marBottom w:val="120"/>
          <w:divBdr>
            <w:top w:val="none" w:sz="0" w:space="0" w:color="auto"/>
            <w:left w:val="none" w:sz="0" w:space="0" w:color="auto"/>
            <w:bottom w:val="none" w:sz="0" w:space="0" w:color="auto"/>
            <w:right w:val="none" w:sz="0" w:space="0" w:color="auto"/>
          </w:divBdr>
        </w:div>
        <w:div w:id="808280051">
          <w:marLeft w:val="274"/>
          <w:marRight w:val="0"/>
          <w:marTop w:val="0"/>
          <w:marBottom w:val="120"/>
          <w:divBdr>
            <w:top w:val="none" w:sz="0" w:space="0" w:color="auto"/>
            <w:left w:val="none" w:sz="0" w:space="0" w:color="auto"/>
            <w:bottom w:val="none" w:sz="0" w:space="0" w:color="auto"/>
            <w:right w:val="none" w:sz="0" w:space="0" w:color="auto"/>
          </w:divBdr>
        </w:div>
        <w:div w:id="810901545">
          <w:marLeft w:val="994"/>
          <w:marRight w:val="0"/>
          <w:marTop w:val="0"/>
          <w:marBottom w:val="120"/>
          <w:divBdr>
            <w:top w:val="none" w:sz="0" w:space="0" w:color="auto"/>
            <w:left w:val="none" w:sz="0" w:space="0" w:color="auto"/>
            <w:bottom w:val="none" w:sz="0" w:space="0" w:color="auto"/>
            <w:right w:val="none" w:sz="0" w:space="0" w:color="auto"/>
          </w:divBdr>
        </w:div>
        <w:div w:id="1034765567">
          <w:marLeft w:val="274"/>
          <w:marRight w:val="0"/>
          <w:marTop w:val="0"/>
          <w:marBottom w:val="120"/>
          <w:divBdr>
            <w:top w:val="none" w:sz="0" w:space="0" w:color="auto"/>
            <w:left w:val="none" w:sz="0" w:space="0" w:color="auto"/>
            <w:bottom w:val="none" w:sz="0" w:space="0" w:color="auto"/>
            <w:right w:val="none" w:sz="0" w:space="0" w:color="auto"/>
          </w:divBdr>
        </w:div>
        <w:div w:id="1405108631">
          <w:marLeft w:val="274"/>
          <w:marRight w:val="0"/>
          <w:marTop w:val="0"/>
          <w:marBottom w:val="120"/>
          <w:divBdr>
            <w:top w:val="none" w:sz="0" w:space="0" w:color="auto"/>
            <w:left w:val="none" w:sz="0" w:space="0" w:color="auto"/>
            <w:bottom w:val="none" w:sz="0" w:space="0" w:color="auto"/>
            <w:right w:val="none" w:sz="0" w:space="0" w:color="auto"/>
          </w:divBdr>
        </w:div>
        <w:div w:id="1600989708">
          <w:marLeft w:val="274"/>
          <w:marRight w:val="0"/>
          <w:marTop w:val="0"/>
          <w:marBottom w:val="120"/>
          <w:divBdr>
            <w:top w:val="none" w:sz="0" w:space="0" w:color="auto"/>
            <w:left w:val="none" w:sz="0" w:space="0" w:color="auto"/>
            <w:bottom w:val="none" w:sz="0" w:space="0" w:color="auto"/>
            <w:right w:val="none" w:sz="0" w:space="0" w:color="auto"/>
          </w:divBdr>
        </w:div>
        <w:div w:id="1631209505">
          <w:marLeft w:val="274"/>
          <w:marRight w:val="0"/>
          <w:marTop w:val="0"/>
          <w:marBottom w:val="120"/>
          <w:divBdr>
            <w:top w:val="none" w:sz="0" w:space="0" w:color="auto"/>
            <w:left w:val="none" w:sz="0" w:space="0" w:color="auto"/>
            <w:bottom w:val="none" w:sz="0" w:space="0" w:color="auto"/>
            <w:right w:val="none" w:sz="0" w:space="0" w:color="auto"/>
          </w:divBdr>
        </w:div>
        <w:div w:id="1747073454">
          <w:marLeft w:val="274"/>
          <w:marRight w:val="0"/>
          <w:marTop w:val="0"/>
          <w:marBottom w:val="120"/>
          <w:divBdr>
            <w:top w:val="none" w:sz="0" w:space="0" w:color="auto"/>
            <w:left w:val="none" w:sz="0" w:space="0" w:color="auto"/>
            <w:bottom w:val="none" w:sz="0" w:space="0" w:color="auto"/>
            <w:right w:val="none" w:sz="0" w:space="0" w:color="auto"/>
          </w:divBdr>
        </w:div>
        <w:div w:id="1887598500">
          <w:marLeft w:val="994"/>
          <w:marRight w:val="0"/>
          <w:marTop w:val="0"/>
          <w:marBottom w:val="120"/>
          <w:divBdr>
            <w:top w:val="none" w:sz="0" w:space="0" w:color="auto"/>
            <w:left w:val="none" w:sz="0" w:space="0" w:color="auto"/>
            <w:bottom w:val="none" w:sz="0" w:space="0" w:color="auto"/>
            <w:right w:val="none" w:sz="0" w:space="0" w:color="auto"/>
          </w:divBdr>
        </w:div>
        <w:div w:id="2081975496">
          <w:marLeft w:val="274"/>
          <w:marRight w:val="0"/>
          <w:marTop w:val="0"/>
          <w:marBottom w:val="120"/>
          <w:divBdr>
            <w:top w:val="none" w:sz="0" w:space="0" w:color="auto"/>
            <w:left w:val="none" w:sz="0" w:space="0" w:color="auto"/>
            <w:bottom w:val="none" w:sz="0" w:space="0" w:color="auto"/>
            <w:right w:val="none" w:sz="0" w:space="0" w:color="auto"/>
          </w:divBdr>
        </w:div>
      </w:divsChild>
    </w:div>
    <w:div w:id="1549533363">
      <w:bodyDiv w:val="1"/>
      <w:marLeft w:val="0"/>
      <w:marRight w:val="0"/>
      <w:marTop w:val="0"/>
      <w:marBottom w:val="0"/>
      <w:divBdr>
        <w:top w:val="none" w:sz="0" w:space="0" w:color="auto"/>
        <w:left w:val="none" w:sz="0" w:space="0" w:color="auto"/>
        <w:bottom w:val="none" w:sz="0" w:space="0" w:color="auto"/>
        <w:right w:val="none" w:sz="0" w:space="0" w:color="auto"/>
      </w:divBdr>
      <w:divsChild>
        <w:div w:id="466975832">
          <w:marLeft w:val="274"/>
          <w:marRight w:val="0"/>
          <w:marTop w:val="0"/>
          <w:marBottom w:val="0"/>
          <w:divBdr>
            <w:top w:val="none" w:sz="0" w:space="0" w:color="auto"/>
            <w:left w:val="none" w:sz="0" w:space="0" w:color="auto"/>
            <w:bottom w:val="none" w:sz="0" w:space="0" w:color="auto"/>
            <w:right w:val="none" w:sz="0" w:space="0" w:color="auto"/>
          </w:divBdr>
        </w:div>
        <w:div w:id="968389720">
          <w:marLeft w:val="274"/>
          <w:marRight w:val="0"/>
          <w:marTop w:val="0"/>
          <w:marBottom w:val="0"/>
          <w:divBdr>
            <w:top w:val="none" w:sz="0" w:space="0" w:color="auto"/>
            <w:left w:val="none" w:sz="0" w:space="0" w:color="auto"/>
            <w:bottom w:val="none" w:sz="0" w:space="0" w:color="auto"/>
            <w:right w:val="none" w:sz="0" w:space="0" w:color="auto"/>
          </w:divBdr>
        </w:div>
        <w:div w:id="1910186828">
          <w:marLeft w:val="274"/>
          <w:marRight w:val="0"/>
          <w:marTop w:val="0"/>
          <w:marBottom w:val="0"/>
          <w:divBdr>
            <w:top w:val="none" w:sz="0" w:space="0" w:color="auto"/>
            <w:left w:val="none" w:sz="0" w:space="0" w:color="auto"/>
            <w:bottom w:val="none" w:sz="0" w:space="0" w:color="auto"/>
            <w:right w:val="none" w:sz="0" w:space="0" w:color="auto"/>
          </w:divBdr>
        </w:div>
      </w:divsChild>
    </w:div>
    <w:div w:id="1564488326">
      <w:bodyDiv w:val="1"/>
      <w:marLeft w:val="0"/>
      <w:marRight w:val="0"/>
      <w:marTop w:val="0"/>
      <w:marBottom w:val="0"/>
      <w:divBdr>
        <w:top w:val="none" w:sz="0" w:space="0" w:color="auto"/>
        <w:left w:val="none" w:sz="0" w:space="0" w:color="auto"/>
        <w:bottom w:val="none" w:sz="0" w:space="0" w:color="auto"/>
        <w:right w:val="none" w:sz="0" w:space="0" w:color="auto"/>
      </w:divBdr>
    </w:div>
    <w:div w:id="1568103318">
      <w:bodyDiv w:val="1"/>
      <w:marLeft w:val="0"/>
      <w:marRight w:val="0"/>
      <w:marTop w:val="0"/>
      <w:marBottom w:val="0"/>
      <w:divBdr>
        <w:top w:val="none" w:sz="0" w:space="0" w:color="auto"/>
        <w:left w:val="none" w:sz="0" w:space="0" w:color="auto"/>
        <w:bottom w:val="none" w:sz="0" w:space="0" w:color="auto"/>
        <w:right w:val="none" w:sz="0" w:space="0" w:color="auto"/>
      </w:divBdr>
    </w:div>
    <w:div w:id="1602907011">
      <w:bodyDiv w:val="1"/>
      <w:marLeft w:val="0"/>
      <w:marRight w:val="0"/>
      <w:marTop w:val="0"/>
      <w:marBottom w:val="0"/>
      <w:divBdr>
        <w:top w:val="none" w:sz="0" w:space="0" w:color="auto"/>
        <w:left w:val="none" w:sz="0" w:space="0" w:color="auto"/>
        <w:bottom w:val="none" w:sz="0" w:space="0" w:color="auto"/>
        <w:right w:val="none" w:sz="0" w:space="0" w:color="auto"/>
      </w:divBdr>
    </w:div>
    <w:div w:id="1619332848">
      <w:bodyDiv w:val="1"/>
      <w:marLeft w:val="0"/>
      <w:marRight w:val="0"/>
      <w:marTop w:val="0"/>
      <w:marBottom w:val="0"/>
      <w:divBdr>
        <w:top w:val="none" w:sz="0" w:space="0" w:color="auto"/>
        <w:left w:val="none" w:sz="0" w:space="0" w:color="auto"/>
        <w:bottom w:val="none" w:sz="0" w:space="0" w:color="auto"/>
        <w:right w:val="none" w:sz="0" w:space="0" w:color="auto"/>
      </w:divBdr>
      <w:divsChild>
        <w:div w:id="565074422">
          <w:marLeft w:val="446"/>
          <w:marRight w:val="0"/>
          <w:marTop w:val="0"/>
          <w:marBottom w:val="0"/>
          <w:divBdr>
            <w:top w:val="none" w:sz="0" w:space="0" w:color="auto"/>
            <w:left w:val="none" w:sz="0" w:space="0" w:color="auto"/>
            <w:bottom w:val="none" w:sz="0" w:space="0" w:color="auto"/>
            <w:right w:val="none" w:sz="0" w:space="0" w:color="auto"/>
          </w:divBdr>
        </w:div>
        <w:div w:id="736247310">
          <w:marLeft w:val="446"/>
          <w:marRight w:val="0"/>
          <w:marTop w:val="0"/>
          <w:marBottom w:val="0"/>
          <w:divBdr>
            <w:top w:val="none" w:sz="0" w:space="0" w:color="auto"/>
            <w:left w:val="none" w:sz="0" w:space="0" w:color="auto"/>
            <w:bottom w:val="none" w:sz="0" w:space="0" w:color="auto"/>
            <w:right w:val="none" w:sz="0" w:space="0" w:color="auto"/>
          </w:divBdr>
        </w:div>
        <w:div w:id="888996795">
          <w:marLeft w:val="446"/>
          <w:marRight w:val="0"/>
          <w:marTop w:val="0"/>
          <w:marBottom w:val="0"/>
          <w:divBdr>
            <w:top w:val="none" w:sz="0" w:space="0" w:color="auto"/>
            <w:left w:val="none" w:sz="0" w:space="0" w:color="auto"/>
            <w:bottom w:val="none" w:sz="0" w:space="0" w:color="auto"/>
            <w:right w:val="none" w:sz="0" w:space="0" w:color="auto"/>
          </w:divBdr>
        </w:div>
        <w:div w:id="1101414215">
          <w:marLeft w:val="446"/>
          <w:marRight w:val="0"/>
          <w:marTop w:val="0"/>
          <w:marBottom w:val="0"/>
          <w:divBdr>
            <w:top w:val="none" w:sz="0" w:space="0" w:color="auto"/>
            <w:left w:val="none" w:sz="0" w:space="0" w:color="auto"/>
            <w:bottom w:val="none" w:sz="0" w:space="0" w:color="auto"/>
            <w:right w:val="none" w:sz="0" w:space="0" w:color="auto"/>
          </w:divBdr>
        </w:div>
        <w:div w:id="1292127334">
          <w:marLeft w:val="446"/>
          <w:marRight w:val="0"/>
          <w:marTop w:val="0"/>
          <w:marBottom w:val="0"/>
          <w:divBdr>
            <w:top w:val="none" w:sz="0" w:space="0" w:color="auto"/>
            <w:left w:val="none" w:sz="0" w:space="0" w:color="auto"/>
            <w:bottom w:val="none" w:sz="0" w:space="0" w:color="auto"/>
            <w:right w:val="none" w:sz="0" w:space="0" w:color="auto"/>
          </w:divBdr>
        </w:div>
        <w:div w:id="1497763545">
          <w:marLeft w:val="446"/>
          <w:marRight w:val="0"/>
          <w:marTop w:val="0"/>
          <w:marBottom w:val="0"/>
          <w:divBdr>
            <w:top w:val="none" w:sz="0" w:space="0" w:color="auto"/>
            <w:left w:val="none" w:sz="0" w:space="0" w:color="auto"/>
            <w:bottom w:val="none" w:sz="0" w:space="0" w:color="auto"/>
            <w:right w:val="none" w:sz="0" w:space="0" w:color="auto"/>
          </w:divBdr>
        </w:div>
        <w:div w:id="1640111019">
          <w:marLeft w:val="446"/>
          <w:marRight w:val="0"/>
          <w:marTop w:val="0"/>
          <w:marBottom w:val="0"/>
          <w:divBdr>
            <w:top w:val="none" w:sz="0" w:space="0" w:color="auto"/>
            <w:left w:val="none" w:sz="0" w:space="0" w:color="auto"/>
            <w:bottom w:val="none" w:sz="0" w:space="0" w:color="auto"/>
            <w:right w:val="none" w:sz="0" w:space="0" w:color="auto"/>
          </w:divBdr>
        </w:div>
        <w:div w:id="1700475545">
          <w:marLeft w:val="446"/>
          <w:marRight w:val="0"/>
          <w:marTop w:val="0"/>
          <w:marBottom w:val="0"/>
          <w:divBdr>
            <w:top w:val="none" w:sz="0" w:space="0" w:color="auto"/>
            <w:left w:val="none" w:sz="0" w:space="0" w:color="auto"/>
            <w:bottom w:val="none" w:sz="0" w:space="0" w:color="auto"/>
            <w:right w:val="none" w:sz="0" w:space="0" w:color="auto"/>
          </w:divBdr>
        </w:div>
        <w:div w:id="1873957988">
          <w:marLeft w:val="446"/>
          <w:marRight w:val="0"/>
          <w:marTop w:val="0"/>
          <w:marBottom w:val="0"/>
          <w:divBdr>
            <w:top w:val="none" w:sz="0" w:space="0" w:color="auto"/>
            <w:left w:val="none" w:sz="0" w:space="0" w:color="auto"/>
            <w:bottom w:val="none" w:sz="0" w:space="0" w:color="auto"/>
            <w:right w:val="none" w:sz="0" w:space="0" w:color="auto"/>
          </w:divBdr>
        </w:div>
      </w:divsChild>
    </w:div>
    <w:div w:id="1634365202">
      <w:bodyDiv w:val="1"/>
      <w:marLeft w:val="0"/>
      <w:marRight w:val="0"/>
      <w:marTop w:val="0"/>
      <w:marBottom w:val="0"/>
      <w:divBdr>
        <w:top w:val="none" w:sz="0" w:space="0" w:color="auto"/>
        <w:left w:val="none" w:sz="0" w:space="0" w:color="auto"/>
        <w:bottom w:val="none" w:sz="0" w:space="0" w:color="auto"/>
        <w:right w:val="none" w:sz="0" w:space="0" w:color="auto"/>
      </w:divBdr>
    </w:div>
    <w:div w:id="1645697655">
      <w:bodyDiv w:val="1"/>
      <w:marLeft w:val="0"/>
      <w:marRight w:val="0"/>
      <w:marTop w:val="0"/>
      <w:marBottom w:val="0"/>
      <w:divBdr>
        <w:top w:val="none" w:sz="0" w:space="0" w:color="auto"/>
        <w:left w:val="none" w:sz="0" w:space="0" w:color="auto"/>
        <w:bottom w:val="none" w:sz="0" w:space="0" w:color="auto"/>
        <w:right w:val="none" w:sz="0" w:space="0" w:color="auto"/>
      </w:divBdr>
    </w:div>
    <w:div w:id="1657998238">
      <w:bodyDiv w:val="1"/>
      <w:marLeft w:val="0"/>
      <w:marRight w:val="0"/>
      <w:marTop w:val="0"/>
      <w:marBottom w:val="0"/>
      <w:divBdr>
        <w:top w:val="none" w:sz="0" w:space="0" w:color="auto"/>
        <w:left w:val="none" w:sz="0" w:space="0" w:color="auto"/>
        <w:bottom w:val="none" w:sz="0" w:space="0" w:color="auto"/>
        <w:right w:val="none" w:sz="0" w:space="0" w:color="auto"/>
      </w:divBdr>
    </w:div>
    <w:div w:id="1661613641">
      <w:bodyDiv w:val="1"/>
      <w:marLeft w:val="0"/>
      <w:marRight w:val="0"/>
      <w:marTop w:val="0"/>
      <w:marBottom w:val="0"/>
      <w:divBdr>
        <w:top w:val="none" w:sz="0" w:space="0" w:color="auto"/>
        <w:left w:val="none" w:sz="0" w:space="0" w:color="auto"/>
        <w:bottom w:val="none" w:sz="0" w:space="0" w:color="auto"/>
        <w:right w:val="none" w:sz="0" w:space="0" w:color="auto"/>
      </w:divBdr>
    </w:div>
    <w:div w:id="1697274087">
      <w:bodyDiv w:val="1"/>
      <w:marLeft w:val="0"/>
      <w:marRight w:val="0"/>
      <w:marTop w:val="0"/>
      <w:marBottom w:val="0"/>
      <w:divBdr>
        <w:top w:val="none" w:sz="0" w:space="0" w:color="auto"/>
        <w:left w:val="none" w:sz="0" w:space="0" w:color="auto"/>
        <w:bottom w:val="none" w:sz="0" w:space="0" w:color="auto"/>
        <w:right w:val="none" w:sz="0" w:space="0" w:color="auto"/>
      </w:divBdr>
      <w:divsChild>
        <w:div w:id="234511975">
          <w:marLeft w:val="360"/>
          <w:marRight w:val="0"/>
          <w:marTop w:val="200"/>
          <w:marBottom w:val="0"/>
          <w:divBdr>
            <w:top w:val="none" w:sz="0" w:space="0" w:color="auto"/>
            <w:left w:val="none" w:sz="0" w:space="0" w:color="auto"/>
            <w:bottom w:val="none" w:sz="0" w:space="0" w:color="auto"/>
            <w:right w:val="none" w:sz="0" w:space="0" w:color="auto"/>
          </w:divBdr>
        </w:div>
        <w:div w:id="838234359">
          <w:marLeft w:val="360"/>
          <w:marRight w:val="0"/>
          <w:marTop w:val="120"/>
          <w:marBottom w:val="0"/>
          <w:divBdr>
            <w:top w:val="none" w:sz="0" w:space="0" w:color="auto"/>
            <w:left w:val="none" w:sz="0" w:space="0" w:color="auto"/>
            <w:bottom w:val="none" w:sz="0" w:space="0" w:color="auto"/>
            <w:right w:val="none" w:sz="0" w:space="0" w:color="auto"/>
          </w:divBdr>
        </w:div>
      </w:divsChild>
    </w:div>
    <w:div w:id="1699817521">
      <w:bodyDiv w:val="1"/>
      <w:marLeft w:val="0"/>
      <w:marRight w:val="0"/>
      <w:marTop w:val="0"/>
      <w:marBottom w:val="0"/>
      <w:divBdr>
        <w:top w:val="none" w:sz="0" w:space="0" w:color="auto"/>
        <w:left w:val="none" w:sz="0" w:space="0" w:color="auto"/>
        <w:bottom w:val="none" w:sz="0" w:space="0" w:color="auto"/>
        <w:right w:val="none" w:sz="0" w:space="0" w:color="auto"/>
      </w:divBdr>
      <w:divsChild>
        <w:div w:id="688529059">
          <w:marLeft w:val="360"/>
          <w:marRight w:val="0"/>
          <w:marTop w:val="0"/>
          <w:marBottom w:val="0"/>
          <w:divBdr>
            <w:top w:val="none" w:sz="0" w:space="0" w:color="auto"/>
            <w:left w:val="none" w:sz="0" w:space="0" w:color="auto"/>
            <w:bottom w:val="none" w:sz="0" w:space="0" w:color="auto"/>
            <w:right w:val="none" w:sz="0" w:space="0" w:color="auto"/>
          </w:divBdr>
        </w:div>
      </w:divsChild>
    </w:div>
    <w:div w:id="1719233691">
      <w:bodyDiv w:val="1"/>
      <w:marLeft w:val="0"/>
      <w:marRight w:val="0"/>
      <w:marTop w:val="0"/>
      <w:marBottom w:val="0"/>
      <w:divBdr>
        <w:top w:val="none" w:sz="0" w:space="0" w:color="auto"/>
        <w:left w:val="none" w:sz="0" w:space="0" w:color="auto"/>
        <w:bottom w:val="none" w:sz="0" w:space="0" w:color="auto"/>
        <w:right w:val="none" w:sz="0" w:space="0" w:color="auto"/>
      </w:divBdr>
      <w:divsChild>
        <w:div w:id="323971846">
          <w:marLeft w:val="346"/>
          <w:marRight w:val="0"/>
          <w:marTop w:val="0"/>
          <w:marBottom w:val="0"/>
          <w:divBdr>
            <w:top w:val="none" w:sz="0" w:space="0" w:color="auto"/>
            <w:left w:val="none" w:sz="0" w:space="0" w:color="auto"/>
            <w:bottom w:val="none" w:sz="0" w:space="0" w:color="auto"/>
            <w:right w:val="none" w:sz="0" w:space="0" w:color="auto"/>
          </w:divBdr>
        </w:div>
      </w:divsChild>
    </w:div>
    <w:div w:id="1740786146">
      <w:bodyDiv w:val="1"/>
      <w:marLeft w:val="0"/>
      <w:marRight w:val="0"/>
      <w:marTop w:val="0"/>
      <w:marBottom w:val="0"/>
      <w:divBdr>
        <w:top w:val="none" w:sz="0" w:space="0" w:color="auto"/>
        <w:left w:val="none" w:sz="0" w:space="0" w:color="auto"/>
        <w:bottom w:val="none" w:sz="0" w:space="0" w:color="auto"/>
        <w:right w:val="none" w:sz="0" w:space="0" w:color="auto"/>
      </w:divBdr>
    </w:div>
    <w:div w:id="1744984878">
      <w:bodyDiv w:val="1"/>
      <w:marLeft w:val="0"/>
      <w:marRight w:val="0"/>
      <w:marTop w:val="0"/>
      <w:marBottom w:val="0"/>
      <w:divBdr>
        <w:top w:val="none" w:sz="0" w:space="0" w:color="auto"/>
        <w:left w:val="none" w:sz="0" w:space="0" w:color="auto"/>
        <w:bottom w:val="none" w:sz="0" w:space="0" w:color="auto"/>
        <w:right w:val="none" w:sz="0" w:space="0" w:color="auto"/>
      </w:divBdr>
    </w:div>
    <w:div w:id="1786583909">
      <w:bodyDiv w:val="1"/>
      <w:marLeft w:val="0"/>
      <w:marRight w:val="0"/>
      <w:marTop w:val="0"/>
      <w:marBottom w:val="0"/>
      <w:divBdr>
        <w:top w:val="none" w:sz="0" w:space="0" w:color="auto"/>
        <w:left w:val="none" w:sz="0" w:space="0" w:color="auto"/>
        <w:bottom w:val="none" w:sz="0" w:space="0" w:color="auto"/>
        <w:right w:val="none" w:sz="0" w:space="0" w:color="auto"/>
      </w:divBdr>
    </w:div>
    <w:div w:id="1825007275">
      <w:bodyDiv w:val="1"/>
      <w:marLeft w:val="0"/>
      <w:marRight w:val="0"/>
      <w:marTop w:val="0"/>
      <w:marBottom w:val="0"/>
      <w:divBdr>
        <w:top w:val="none" w:sz="0" w:space="0" w:color="auto"/>
        <w:left w:val="none" w:sz="0" w:space="0" w:color="auto"/>
        <w:bottom w:val="none" w:sz="0" w:space="0" w:color="auto"/>
        <w:right w:val="none" w:sz="0" w:space="0" w:color="auto"/>
      </w:divBdr>
    </w:div>
    <w:div w:id="1838763961">
      <w:bodyDiv w:val="1"/>
      <w:marLeft w:val="0"/>
      <w:marRight w:val="0"/>
      <w:marTop w:val="0"/>
      <w:marBottom w:val="0"/>
      <w:divBdr>
        <w:top w:val="none" w:sz="0" w:space="0" w:color="auto"/>
        <w:left w:val="none" w:sz="0" w:space="0" w:color="auto"/>
        <w:bottom w:val="none" w:sz="0" w:space="0" w:color="auto"/>
        <w:right w:val="none" w:sz="0" w:space="0" w:color="auto"/>
      </w:divBdr>
      <w:divsChild>
        <w:div w:id="208809587">
          <w:marLeft w:val="446"/>
          <w:marRight w:val="0"/>
          <w:marTop w:val="0"/>
          <w:marBottom w:val="0"/>
          <w:divBdr>
            <w:top w:val="none" w:sz="0" w:space="0" w:color="auto"/>
            <w:left w:val="none" w:sz="0" w:space="0" w:color="auto"/>
            <w:bottom w:val="none" w:sz="0" w:space="0" w:color="auto"/>
            <w:right w:val="none" w:sz="0" w:space="0" w:color="auto"/>
          </w:divBdr>
        </w:div>
        <w:div w:id="241644488">
          <w:marLeft w:val="446"/>
          <w:marRight w:val="0"/>
          <w:marTop w:val="0"/>
          <w:marBottom w:val="0"/>
          <w:divBdr>
            <w:top w:val="none" w:sz="0" w:space="0" w:color="auto"/>
            <w:left w:val="none" w:sz="0" w:space="0" w:color="auto"/>
            <w:bottom w:val="none" w:sz="0" w:space="0" w:color="auto"/>
            <w:right w:val="none" w:sz="0" w:space="0" w:color="auto"/>
          </w:divBdr>
        </w:div>
        <w:div w:id="289364766">
          <w:marLeft w:val="446"/>
          <w:marRight w:val="0"/>
          <w:marTop w:val="0"/>
          <w:marBottom w:val="0"/>
          <w:divBdr>
            <w:top w:val="none" w:sz="0" w:space="0" w:color="auto"/>
            <w:left w:val="none" w:sz="0" w:space="0" w:color="auto"/>
            <w:bottom w:val="none" w:sz="0" w:space="0" w:color="auto"/>
            <w:right w:val="none" w:sz="0" w:space="0" w:color="auto"/>
          </w:divBdr>
        </w:div>
        <w:div w:id="327943115">
          <w:marLeft w:val="446"/>
          <w:marRight w:val="0"/>
          <w:marTop w:val="0"/>
          <w:marBottom w:val="0"/>
          <w:divBdr>
            <w:top w:val="none" w:sz="0" w:space="0" w:color="auto"/>
            <w:left w:val="none" w:sz="0" w:space="0" w:color="auto"/>
            <w:bottom w:val="none" w:sz="0" w:space="0" w:color="auto"/>
            <w:right w:val="none" w:sz="0" w:space="0" w:color="auto"/>
          </w:divBdr>
        </w:div>
        <w:div w:id="423117126">
          <w:marLeft w:val="446"/>
          <w:marRight w:val="0"/>
          <w:marTop w:val="0"/>
          <w:marBottom w:val="0"/>
          <w:divBdr>
            <w:top w:val="none" w:sz="0" w:space="0" w:color="auto"/>
            <w:left w:val="none" w:sz="0" w:space="0" w:color="auto"/>
            <w:bottom w:val="none" w:sz="0" w:space="0" w:color="auto"/>
            <w:right w:val="none" w:sz="0" w:space="0" w:color="auto"/>
          </w:divBdr>
        </w:div>
        <w:div w:id="538711847">
          <w:marLeft w:val="446"/>
          <w:marRight w:val="0"/>
          <w:marTop w:val="0"/>
          <w:marBottom w:val="0"/>
          <w:divBdr>
            <w:top w:val="none" w:sz="0" w:space="0" w:color="auto"/>
            <w:left w:val="none" w:sz="0" w:space="0" w:color="auto"/>
            <w:bottom w:val="none" w:sz="0" w:space="0" w:color="auto"/>
            <w:right w:val="none" w:sz="0" w:space="0" w:color="auto"/>
          </w:divBdr>
        </w:div>
        <w:div w:id="662898845">
          <w:marLeft w:val="446"/>
          <w:marRight w:val="0"/>
          <w:marTop w:val="0"/>
          <w:marBottom w:val="0"/>
          <w:divBdr>
            <w:top w:val="none" w:sz="0" w:space="0" w:color="auto"/>
            <w:left w:val="none" w:sz="0" w:space="0" w:color="auto"/>
            <w:bottom w:val="none" w:sz="0" w:space="0" w:color="auto"/>
            <w:right w:val="none" w:sz="0" w:space="0" w:color="auto"/>
          </w:divBdr>
        </w:div>
        <w:div w:id="738984365">
          <w:marLeft w:val="446"/>
          <w:marRight w:val="0"/>
          <w:marTop w:val="0"/>
          <w:marBottom w:val="0"/>
          <w:divBdr>
            <w:top w:val="none" w:sz="0" w:space="0" w:color="auto"/>
            <w:left w:val="none" w:sz="0" w:space="0" w:color="auto"/>
            <w:bottom w:val="none" w:sz="0" w:space="0" w:color="auto"/>
            <w:right w:val="none" w:sz="0" w:space="0" w:color="auto"/>
          </w:divBdr>
        </w:div>
        <w:div w:id="967931589">
          <w:marLeft w:val="446"/>
          <w:marRight w:val="0"/>
          <w:marTop w:val="0"/>
          <w:marBottom w:val="0"/>
          <w:divBdr>
            <w:top w:val="none" w:sz="0" w:space="0" w:color="auto"/>
            <w:left w:val="none" w:sz="0" w:space="0" w:color="auto"/>
            <w:bottom w:val="none" w:sz="0" w:space="0" w:color="auto"/>
            <w:right w:val="none" w:sz="0" w:space="0" w:color="auto"/>
          </w:divBdr>
        </w:div>
        <w:div w:id="1012803392">
          <w:marLeft w:val="446"/>
          <w:marRight w:val="0"/>
          <w:marTop w:val="0"/>
          <w:marBottom w:val="0"/>
          <w:divBdr>
            <w:top w:val="none" w:sz="0" w:space="0" w:color="auto"/>
            <w:left w:val="none" w:sz="0" w:space="0" w:color="auto"/>
            <w:bottom w:val="none" w:sz="0" w:space="0" w:color="auto"/>
            <w:right w:val="none" w:sz="0" w:space="0" w:color="auto"/>
          </w:divBdr>
        </w:div>
        <w:div w:id="1069158349">
          <w:marLeft w:val="446"/>
          <w:marRight w:val="0"/>
          <w:marTop w:val="0"/>
          <w:marBottom w:val="0"/>
          <w:divBdr>
            <w:top w:val="none" w:sz="0" w:space="0" w:color="auto"/>
            <w:left w:val="none" w:sz="0" w:space="0" w:color="auto"/>
            <w:bottom w:val="none" w:sz="0" w:space="0" w:color="auto"/>
            <w:right w:val="none" w:sz="0" w:space="0" w:color="auto"/>
          </w:divBdr>
        </w:div>
        <w:div w:id="1101754085">
          <w:marLeft w:val="446"/>
          <w:marRight w:val="0"/>
          <w:marTop w:val="0"/>
          <w:marBottom w:val="0"/>
          <w:divBdr>
            <w:top w:val="none" w:sz="0" w:space="0" w:color="auto"/>
            <w:left w:val="none" w:sz="0" w:space="0" w:color="auto"/>
            <w:bottom w:val="none" w:sz="0" w:space="0" w:color="auto"/>
            <w:right w:val="none" w:sz="0" w:space="0" w:color="auto"/>
          </w:divBdr>
        </w:div>
        <w:div w:id="1411541706">
          <w:marLeft w:val="446"/>
          <w:marRight w:val="0"/>
          <w:marTop w:val="0"/>
          <w:marBottom w:val="0"/>
          <w:divBdr>
            <w:top w:val="none" w:sz="0" w:space="0" w:color="auto"/>
            <w:left w:val="none" w:sz="0" w:space="0" w:color="auto"/>
            <w:bottom w:val="none" w:sz="0" w:space="0" w:color="auto"/>
            <w:right w:val="none" w:sz="0" w:space="0" w:color="auto"/>
          </w:divBdr>
        </w:div>
        <w:div w:id="1590389721">
          <w:marLeft w:val="446"/>
          <w:marRight w:val="0"/>
          <w:marTop w:val="0"/>
          <w:marBottom w:val="0"/>
          <w:divBdr>
            <w:top w:val="none" w:sz="0" w:space="0" w:color="auto"/>
            <w:left w:val="none" w:sz="0" w:space="0" w:color="auto"/>
            <w:bottom w:val="none" w:sz="0" w:space="0" w:color="auto"/>
            <w:right w:val="none" w:sz="0" w:space="0" w:color="auto"/>
          </w:divBdr>
        </w:div>
        <w:div w:id="2116437809">
          <w:marLeft w:val="446"/>
          <w:marRight w:val="0"/>
          <w:marTop w:val="0"/>
          <w:marBottom w:val="0"/>
          <w:divBdr>
            <w:top w:val="none" w:sz="0" w:space="0" w:color="auto"/>
            <w:left w:val="none" w:sz="0" w:space="0" w:color="auto"/>
            <w:bottom w:val="none" w:sz="0" w:space="0" w:color="auto"/>
            <w:right w:val="none" w:sz="0" w:space="0" w:color="auto"/>
          </w:divBdr>
        </w:div>
        <w:div w:id="2120101270">
          <w:marLeft w:val="446"/>
          <w:marRight w:val="0"/>
          <w:marTop w:val="0"/>
          <w:marBottom w:val="0"/>
          <w:divBdr>
            <w:top w:val="none" w:sz="0" w:space="0" w:color="auto"/>
            <w:left w:val="none" w:sz="0" w:space="0" w:color="auto"/>
            <w:bottom w:val="none" w:sz="0" w:space="0" w:color="auto"/>
            <w:right w:val="none" w:sz="0" w:space="0" w:color="auto"/>
          </w:divBdr>
        </w:div>
      </w:divsChild>
    </w:div>
    <w:div w:id="1879777980">
      <w:bodyDiv w:val="1"/>
      <w:marLeft w:val="0"/>
      <w:marRight w:val="0"/>
      <w:marTop w:val="0"/>
      <w:marBottom w:val="0"/>
      <w:divBdr>
        <w:top w:val="none" w:sz="0" w:space="0" w:color="auto"/>
        <w:left w:val="none" w:sz="0" w:space="0" w:color="auto"/>
        <w:bottom w:val="none" w:sz="0" w:space="0" w:color="auto"/>
        <w:right w:val="none" w:sz="0" w:space="0" w:color="auto"/>
      </w:divBdr>
    </w:div>
    <w:div w:id="1887182639">
      <w:bodyDiv w:val="1"/>
      <w:marLeft w:val="0"/>
      <w:marRight w:val="0"/>
      <w:marTop w:val="0"/>
      <w:marBottom w:val="0"/>
      <w:divBdr>
        <w:top w:val="none" w:sz="0" w:space="0" w:color="auto"/>
        <w:left w:val="none" w:sz="0" w:space="0" w:color="auto"/>
        <w:bottom w:val="none" w:sz="0" w:space="0" w:color="auto"/>
        <w:right w:val="none" w:sz="0" w:space="0" w:color="auto"/>
      </w:divBdr>
    </w:div>
    <w:div w:id="1891765657">
      <w:bodyDiv w:val="1"/>
      <w:marLeft w:val="0"/>
      <w:marRight w:val="0"/>
      <w:marTop w:val="0"/>
      <w:marBottom w:val="0"/>
      <w:divBdr>
        <w:top w:val="none" w:sz="0" w:space="0" w:color="auto"/>
        <w:left w:val="none" w:sz="0" w:space="0" w:color="auto"/>
        <w:bottom w:val="none" w:sz="0" w:space="0" w:color="auto"/>
        <w:right w:val="none" w:sz="0" w:space="0" w:color="auto"/>
      </w:divBdr>
      <w:divsChild>
        <w:div w:id="599217811">
          <w:marLeft w:val="274"/>
          <w:marRight w:val="0"/>
          <w:marTop w:val="0"/>
          <w:marBottom w:val="0"/>
          <w:divBdr>
            <w:top w:val="none" w:sz="0" w:space="0" w:color="auto"/>
            <w:left w:val="none" w:sz="0" w:space="0" w:color="auto"/>
            <w:bottom w:val="none" w:sz="0" w:space="0" w:color="auto"/>
            <w:right w:val="none" w:sz="0" w:space="0" w:color="auto"/>
          </w:divBdr>
        </w:div>
        <w:div w:id="1532450494">
          <w:marLeft w:val="274"/>
          <w:marRight w:val="0"/>
          <w:marTop w:val="0"/>
          <w:marBottom w:val="0"/>
          <w:divBdr>
            <w:top w:val="none" w:sz="0" w:space="0" w:color="auto"/>
            <w:left w:val="none" w:sz="0" w:space="0" w:color="auto"/>
            <w:bottom w:val="none" w:sz="0" w:space="0" w:color="auto"/>
            <w:right w:val="none" w:sz="0" w:space="0" w:color="auto"/>
          </w:divBdr>
        </w:div>
        <w:div w:id="1742868212">
          <w:marLeft w:val="274"/>
          <w:marRight w:val="0"/>
          <w:marTop w:val="0"/>
          <w:marBottom w:val="0"/>
          <w:divBdr>
            <w:top w:val="none" w:sz="0" w:space="0" w:color="auto"/>
            <w:left w:val="none" w:sz="0" w:space="0" w:color="auto"/>
            <w:bottom w:val="none" w:sz="0" w:space="0" w:color="auto"/>
            <w:right w:val="none" w:sz="0" w:space="0" w:color="auto"/>
          </w:divBdr>
        </w:div>
      </w:divsChild>
    </w:div>
    <w:div w:id="1921017629">
      <w:bodyDiv w:val="1"/>
      <w:marLeft w:val="0"/>
      <w:marRight w:val="0"/>
      <w:marTop w:val="0"/>
      <w:marBottom w:val="0"/>
      <w:divBdr>
        <w:top w:val="none" w:sz="0" w:space="0" w:color="auto"/>
        <w:left w:val="none" w:sz="0" w:space="0" w:color="auto"/>
        <w:bottom w:val="none" w:sz="0" w:space="0" w:color="auto"/>
        <w:right w:val="none" w:sz="0" w:space="0" w:color="auto"/>
      </w:divBdr>
      <w:divsChild>
        <w:div w:id="972826034">
          <w:marLeft w:val="346"/>
          <w:marRight w:val="0"/>
          <w:marTop w:val="0"/>
          <w:marBottom w:val="0"/>
          <w:divBdr>
            <w:top w:val="none" w:sz="0" w:space="0" w:color="auto"/>
            <w:left w:val="none" w:sz="0" w:space="0" w:color="auto"/>
            <w:bottom w:val="none" w:sz="0" w:space="0" w:color="auto"/>
            <w:right w:val="none" w:sz="0" w:space="0" w:color="auto"/>
          </w:divBdr>
        </w:div>
        <w:div w:id="1906530049">
          <w:marLeft w:val="346"/>
          <w:marRight w:val="0"/>
          <w:marTop w:val="0"/>
          <w:marBottom w:val="0"/>
          <w:divBdr>
            <w:top w:val="none" w:sz="0" w:space="0" w:color="auto"/>
            <w:left w:val="none" w:sz="0" w:space="0" w:color="auto"/>
            <w:bottom w:val="none" w:sz="0" w:space="0" w:color="auto"/>
            <w:right w:val="none" w:sz="0" w:space="0" w:color="auto"/>
          </w:divBdr>
        </w:div>
      </w:divsChild>
    </w:div>
    <w:div w:id="1930430920">
      <w:bodyDiv w:val="1"/>
      <w:marLeft w:val="0"/>
      <w:marRight w:val="0"/>
      <w:marTop w:val="0"/>
      <w:marBottom w:val="0"/>
      <w:divBdr>
        <w:top w:val="none" w:sz="0" w:space="0" w:color="auto"/>
        <w:left w:val="none" w:sz="0" w:space="0" w:color="auto"/>
        <w:bottom w:val="none" w:sz="0" w:space="0" w:color="auto"/>
        <w:right w:val="none" w:sz="0" w:space="0" w:color="auto"/>
      </w:divBdr>
    </w:div>
    <w:div w:id="1936211986">
      <w:bodyDiv w:val="1"/>
      <w:marLeft w:val="0"/>
      <w:marRight w:val="0"/>
      <w:marTop w:val="0"/>
      <w:marBottom w:val="0"/>
      <w:divBdr>
        <w:top w:val="none" w:sz="0" w:space="0" w:color="auto"/>
        <w:left w:val="none" w:sz="0" w:space="0" w:color="auto"/>
        <w:bottom w:val="none" w:sz="0" w:space="0" w:color="auto"/>
        <w:right w:val="none" w:sz="0" w:space="0" w:color="auto"/>
      </w:divBdr>
      <w:divsChild>
        <w:div w:id="138309771">
          <w:marLeft w:val="274"/>
          <w:marRight w:val="0"/>
          <w:marTop w:val="0"/>
          <w:marBottom w:val="120"/>
          <w:divBdr>
            <w:top w:val="none" w:sz="0" w:space="0" w:color="auto"/>
            <w:left w:val="none" w:sz="0" w:space="0" w:color="auto"/>
            <w:bottom w:val="none" w:sz="0" w:space="0" w:color="auto"/>
            <w:right w:val="none" w:sz="0" w:space="0" w:color="auto"/>
          </w:divBdr>
        </w:div>
        <w:div w:id="240137966">
          <w:marLeft w:val="274"/>
          <w:marRight w:val="0"/>
          <w:marTop w:val="0"/>
          <w:marBottom w:val="120"/>
          <w:divBdr>
            <w:top w:val="none" w:sz="0" w:space="0" w:color="auto"/>
            <w:left w:val="none" w:sz="0" w:space="0" w:color="auto"/>
            <w:bottom w:val="none" w:sz="0" w:space="0" w:color="auto"/>
            <w:right w:val="none" w:sz="0" w:space="0" w:color="auto"/>
          </w:divBdr>
        </w:div>
        <w:div w:id="326636989">
          <w:marLeft w:val="274"/>
          <w:marRight w:val="0"/>
          <w:marTop w:val="0"/>
          <w:marBottom w:val="120"/>
          <w:divBdr>
            <w:top w:val="none" w:sz="0" w:space="0" w:color="auto"/>
            <w:left w:val="none" w:sz="0" w:space="0" w:color="auto"/>
            <w:bottom w:val="none" w:sz="0" w:space="0" w:color="auto"/>
            <w:right w:val="none" w:sz="0" w:space="0" w:color="auto"/>
          </w:divBdr>
        </w:div>
        <w:div w:id="358776126">
          <w:marLeft w:val="274"/>
          <w:marRight w:val="0"/>
          <w:marTop w:val="0"/>
          <w:marBottom w:val="120"/>
          <w:divBdr>
            <w:top w:val="none" w:sz="0" w:space="0" w:color="auto"/>
            <w:left w:val="none" w:sz="0" w:space="0" w:color="auto"/>
            <w:bottom w:val="none" w:sz="0" w:space="0" w:color="auto"/>
            <w:right w:val="none" w:sz="0" w:space="0" w:color="auto"/>
          </w:divBdr>
        </w:div>
        <w:div w:id="426922072">
          <w:marLeft w:val="274"/>
          <w:marRight w:val="0"/>
          <w:marTop w:val="0"/>
          <w:marBottom w:val="120"/>
          <w:divBdr>
            <w:top w:val="none" w:sz="0" w:space="0" w:color="auto"/>
            <w:left w:val="none" w:sz="0" w:space="0" w:color="auto"/>
            <w:bottom w:val="none" w:sz="0" w:space="0" w:color="auto"/>
            <w:right w:val="none" w:sz="0" w:space="0" w:color="auto"/>
          </w:divBdr>
        </w:div>
        <w:div w:id="587542545">
          <w:marLeft w:val="274"/>
          <w:marRight w:val="0"/>
          <w:marTop w:val="0"/>
          <w:marBottom w:val="120"/>
          <w:divBdr>
            <w:top w:val="none" w:sz="0" w:space="0" w:color="auto"/>
            <w:left w:val="none" w:sz="0" w:space="0" w:color="auto"/>
            <w:bottom w:val="none" w:sz="0" w:space="0" w:color="auto"/>
            <w:right w:val="none" w:sz="0" w:space="0" w:color="auto"/>
          </w:divBdr>
        </w:div>
        <w:div w:id="626274579">
          <w:marLeft w:val="274"/>
          <w:marRight w:val="0"/>
          <w:marTop w:val="0"/>
          <w:marBottom w:val="120"/>
          <w:divBdr>
            <w:top w:val="none" w:sz="0" w:space="0" w:color="auto"/>
            <w:left w:val="none" w:sz="0" w:space="0" w:color="auto"/>
            <w:bottom w:val="none" w:sz="0" w:space="0" w:color="auto"/>
            <w:right w:val="none" w:sz="0" w:space="0" w:color="auto"/>
          </w:divBdr>
        </w:div>
        <w:div w:id="1082608360">
          <w:marLeft w:val="274"/>
          <w:marRight w:val="0"/>
          <w:marTop w:val="0"/>
          <w:marBottom w:val="120"/>
          <w:divBdr>
            <w:top w:val="none" w:sz="0" w:space="0" w:color="auto"/>
            <w:left w:val="none" w:sz="0" w:space="0" w:color="auto"/>
            <w:bottom w:val="none" w:sz="0" w:space="0" w:color="auto"/>
            <w:right w:val="none" w:sz="0" w:space="0" w:color="auto"/>
          </w:divBdr>
        </w:div>
        <w:div w:id="1378699618">
          <w:marLeft w:val="274"/>
          <w:marRight w:val="0"/>
          <w:marTop w:val="0"/>
          <w:marBottom w:val="120"/>
          <w:divBdr>
            <w:top w:val="none" w:sz="0" w:space="0" w:color="auto"/>
            <w:left w:val="none" w:sz="0" w:space="0" w:color="auto"/>
            <w:bottom w:val="none" w:sz="0" w:space="0" w:color="auto"/>
            <w:right w:val="none" w:sz="0" w:space="0" w:color="auto"/>
          </w:divBdr>
        </w:div>
        <w:div w:id="1392732875">
          <w:marLeft w:val="274"/>
          <w:marRight w:val="0"/>
          <w:marTop w:val="0"/>
          <w:marBottom w:val="120"/>
          <w:divBdr>
            <w:top w:val="none" w:sz="0" w:space="0" w:color="auto"/>
            <w:left w:val="none" w:sz="0" w:space="0" w:color="auto"/>
            <w:bottom w:val="none" w:sz="0" w:space="0" w:color="auto"/>
            <w:right w:val="none" w:sz="0" w:space="0" w:color="auto"/>
          </w:divBdr>
        </w:div>
        <w:div w:id="1465804857">
          <w:marLeft w:val="274"/>
          <w:marRight w:val="0"/>
          <w:marTop w:val="0"/>
          <w:marBottom w:val="120"/>
          <w:divBdr>
            <w:top w:val="none" w:sz="0" w:space="0" w:color="auto"/>
            <w:left w:val="none" w:sz="0" w:space="0" w:color="auto"/>
            <w:bottom w:val="none" w:sz="0" w:space="0" w:color="auto"/>
            <w:right w:val="none" w:sz="0" w:space="0" w:color="auto"/>
          </w:divBdr>
        </w:div>
        <w:div w:id="1518422851">
          <w:marLeft w:val="274"/>
          <w:marRight w:val="0"/>
          <w:marTop w:val="0"/>
          <w:marBottom w:val="120"/>
          <w:divBdr>
            <w:top w:val="none" w:sz="0" w:space="0" w:color="auto"/>
            <w:left w:val="none" w:sz="0" w:space="0" w:color="auto"/>
            <w:bottom w:val="none" w:sz="0" w:space="0" w:color="auto"/>
            <w:right w:val="none" w:sz="0" w:space="0" w:color="auto"/>
          </w:divBdr>
        </w:div>
        <w:div w:id="1750615480">
          <w:marLeft w:val="274"/>
          <w:marRight w:val="0"/>
          <w:marTop w:val="0"/>
          <w:marBottom w:val="120"/>
          <w:divBdr>
            <w:top w:val="none" w:sz="0" w:space="0" w:color="auto"/>
            <w:left w:val="none" w:sz="0" w:space="0" w:color="auto"/>
            <w:bottom w:val="none" w:sz="0" w:space="0" w:color="auto"/>
            <w:right w:val="none" w:sz="0" w:space="0" w:color="auto"/>
          </w:divBdr>
        </w:div>
        <w:div w:id="1757284733">
          <w:marLeft w:val="274"/>
          <w:marRight w:val="0"/>
          <w:marTop w:val="0"/>
          <w:marBottom w:val="120"/>
          <w:divBdr>
            <w:top w:val="none" w:sz="0" w:space="0" w:color="auto"/>
            <w:left w:val="none" w:sz="0" w:space="0" w:color="auto"/>
            <w:bottom w:val="none" w:sz="0" w:space="0" w:color="auto"/>
            <w:right w:val="none" w:sz="0" w:space="0" w:color="auto"/>
          </w:divBdr>
        </w:div>
        <w:div w:id="1978870486">
          <w:marLeft w:val="274"/>
          <w:marRight w:val="0"/>
          <w:marTop w:val="0"/>
          <w:marBottom w:val="120"/>
          <w:divBdr>
            <w:top w:val="none" w:sz="0" w:space="0" w:color="auto"/>
            <w:left w:val="none" w:sz="0" w:space="0" w:color="auto"/>
            <w:bottom w:val="none" w:sz="0" w:space="0" w:color="auto"/>
            <w:right w:val="none" w:sz="0" w:space="0" w:color="auto"/>
          </w:divBdr>
        </w:div>
        <w:div w:id="2130201512">
          <w:marLeft w:val="274"/>
          <w:marRight w:val="0"/>
          <w:marTop w:val="0"/>
          <w:marBottom w:val="120"/>
          <w:divBdr>
            <w:top w:val="none" w:sz="0" w:space="0" w:color="auto"/>
            <w:left w:val="none" w:sz="0" w:space="0" w:color="auto"/>
            <w:bottom w:val="none" w:sz="0" w:space="0" w:color="auto"/>
            <w:right w:val="none" w:sz="0" w:space="0" w:color="auto"/>
          </w:divBdr>
        </w:div>
      </w:divsChild>
    </w:div>
    <w:div w:id="1943688490">
      <w:bodyDiv w:val="1"/>
      <w:marLeft w:val="0"/>
      <w:marRight w:val="0"/>
      <w:marTop w:val="0"/>
      <w:marBottom w:val="0"/>
      <w:divBdr>
        <w:top w:val="none" w:sz="0" w:space="0" w:color="auto"/>
        <w:left w:val="none" w:sz="0" w:space="0" w:color="auto"/>
        <w:bottom w:val="none" w:sz="0" w:space="0" w:color="auto"/>
        <w:right w:val="none" w:sz="0" w:space="0" w:color="auto"/>
      </w:divBdr>
    </w:div>
    <w:div w:id="1948609902">
      <w:bodyDiv w:val="1"/>
      <w:marLeft w:val="0"/>
      <w:marRight w:val="0"/>
      <w:marTop w:val="0"/>
      <w:marBottom w:val="0"/>
      <w:divBdr>
        <w:top w:val="none" w:sz="0" w:space="0" w:color="auto"/>
        <w:left w:val="none" w:sz="0" w:space="0" w:color="auto"/>
        <w:bottom w:val="none" w:sz="0" w:space="0" w:color="auto"/>
        <w:right w:val="none" w:sz="0" w:space="0" w:color="auto"/>
      </w:divBdr>
    </w:div>
    <w:div w:id="1970668246">
      <w:bodyDiv w:val="1"/>
      <w:marLeft w:val="0"/>
      <w:marRight w:val="0"/>
      <w:marTop w:val="0"/>
      <w:marBottom w:val="0"/>
      <w:divBdr>
        <w:top w:val="none" w:sz="0" w:space="0" w:color="auto"/>
        <w:left w:val="none" w:sz="0" w:space="0" w:color="auto"/>
        <w:bottom w:val="none" w:sz="0" w:space="0" w:color="auto"/>
        <w:right w:val="none" w:sz="0" w:space="0" w:color="auto"/>
      </w:divBdr>
    </w:div>
    <w:div w:id="1972442676">
      <w:bodyDiv w:val="1"/>
      <w:marLeft w:val="0"/>
      <w:marRight w:val="0"/>
      <w:marTop w:val="0"/>
      <w:marBottom w:val="0"/>
      <w:divBdr>
        <w:top w:val="none" w:sz="0" w:space="0" w:color="auto"/>
        <w:left w:val="none" w:sz="0" w:space="0" w:color="auto"/>
        <w:bottom w:val="none" w:sz="0" w:space="0" w:color="auto"/>
        <w:right w:val="none" w:sz="0" w:space="0" w:color="auto"/>
      </w:divBdr>
    </w:div>
    <w:div w:id="1994406795">
      <w:bodyDiv w:val="1"/>
      <w:marLeft w:val="0"/>
      <w:marRight w:val="0"/>
      <w:marTop w:val="0"/>
      <w:marBottom w:val="0"/>
      <w:divBdr>
        <w:top w:val="none" w:sz="0" w:space="0" w:color="auto"/>
        <w:left w:val="none" w:sz="0" w:space="0" w:color="auto"/>
        <w:bottom w:val="none" w:sz="0" w:space="0" w:color="auto"/>
        <w:right w:val="none" w:sz="0" w:space="0" w:color="auto"/>
      </w:divBdr>
      <w:divsChild>
        <w:div w:id="1907640529">
          <w:marLeft w:val="274"/>
          <w:marRight w:val="0"/>
          <w:marTop w:val="0"/>
          <w:marBottom w:val="0"/>
          <w:divBdr>
            <w:top w:val="none" w:sz="0" w:space="0" w:color="auto"/>
            <w:left w:val="none" w:sz="0" w:space="0" w:color="auto"/>
            <w:bottom w:val="none" w:sz="0" w:space="0" w:color="auto"/>
            <w:right w:val="none" w:sz="0" w:space="0" w:color="auto"/>
          </w:divBdr>
        </w:div>
        <w:div w:id="1544444719">
          <w:marLeft w:val="274"/>
          <w:marRight w:val="0"/>
          <w:marTop w:val="0"/>
          <w:marBottom w:val="0"/>
          <w:divBdr>
            <w:top w:val="none" w:sz="0" w:space="0" w:color="auto"/>
            <w:left w:val="none" w:sz="0" w:space="0" w:color="auto"/>
            <w:bottom w:val="none" w:sz="0" w:space="0" w:color="auto"/>
            <w:right w:val="none" w:sz="0" w:space="0" w:color="auto"/>
          </w:divBdr>
        </w:div>
      </w:divsChild>
    </w:div>
    <w:div w:id="1995528057">
      <w:bodyDiv w:val="1"/>
      <w:marLeft w:val="0"/>
      <w:marRight w:val="0"/>
      <w:marTop w:val="0"/>
      <w:marBottom w:val="0"/>
      <w:divBdr>
        <w:top w:val="none" w:sz="0" w:space="0" w:color="auto"/>
        <w:left w:val="none" w:sz="0" w:space="0" w:color="auto"/>
        <w:bottom w:val="none" w:sz="0" w:space="0" w:color="auto"/>
        <w:right w:val="none" w:sz="0" w:space="0" w:color="auto"/>
      </w:divBdr>
      <w:divsChild>
        <w:div w:id="1557666888">
          <w:marLeft w:val="274"/>
          <w:marRight w:val="0"/>
          <w:marTop w:val="0"/>
          <w:marBottom w:val="0"/>
          <w:divBdr>
            <w:top w:val="none" w:sz="0" w:space="0" w:color="auto"/>
            <w:left w:val="none" w:sz="0" w:space="0" w:color="auto"/>
            <w:bottom w:val="none" w:sz="0" w:space="0" w:color="auto"/>
            <w:right w:val="none" w:sz="0" w:space="0" w:color="auto"/>
          </w:divBdr>
        </w:div>
        <w:div w:id="1584485782">
          <w:marLeft w:val="274"/>
          <w:marRight w:val="0"/>
          <w:marTop w:val="0"/>
          <w:marBottom w:val="0"/>
          <w:divBdr>
            <w:top w:val="none" w:sz="0" w:space="0" w:color="auto"/>
            <w:left w:val="none" w:sz="0" w:space="0" w:color="auto"/>
            <w:bottom w:val="none" w:sz="0" w:space="0" w:color="auto"/>
            <w:right w:val="none" w:sz="0" w:space="0" w:color="auto"/>
          </w:divBdr>
        </w:div>
      </w:divsChild>
    </w:div>
    <w:div w:id="2002005979">
      <w:bodyDiv w:val="1"/>
      <w:marLeft w:val="0"/>
      <w:marRight w:val="0"/>
      <w:marTop w:val="0"/>
      <w:marBottom w:val="0"/>
      <w:divBdr>
        <w:top w:val="none" w:sz="0" w:space="0" w:color="auto"/>
        <w:left w:val="none" w:sz="0" w:space="0" w:color="auto"/>
        <w:bottom w:val="none" w:sz="0" w:space="0" w:color="auto"/>
        <w:right w:val="none" w:sz="0" w:space="0" w:color="auto"/>
      </w:divBdr>
    </w:div>
    <w:div w:id="2007123262">
      <w:bodyDiv w:val="1"/>
      <w:marLeft w:val="0"/>
      <w:marRight w:val="0"/>
      <w:marTop w:val="0"/>
      <w:marBottom w:val="0"/>
      <w:divBdr>
        <w:top w:val="none" w:sz="0" w:space="0" w:color="auto"/>
        <w:left w:val="none" w:sz="0" w:space="0" w:color="auto"/>
        <w:bottom w:val="none" w:sz="0" w:space="0" w:color="auto"/>
        <w:right w:val="none" w:sz="0" w:space="0" w:color="auto"/>
      </w:divBdr>
      <w:divsChild>
        <w:div w:id="1246840153">
          <w:marLeft w:val="346"/>
          <w:marRight w:val="0"/>
          <w:marTop w:val="0"/>
          <w:marBottom w:val="0"/>
          <w:divBdr>
            <w:top w:val="none" w:sz="0" w:space="0" w:color="auto"/>
            <w:left w:val="none" w:sz="0" w:space="0" w:color="auto"/>
            <w:bottom w:val="none" w:sz="0" w:space="0" w:color="auto"/>
            <w:right w:val="none" w:sz="0" w:space="0" w:color="auto"/>
          </w:divBdr>
        </w:div>
      </w:divsChild>
    </w:div>
    <w:div w:id="2014645738">
      <w:bodyDiv w:val="1"/>
      <w:marLeft w:val="0"/>
      <w:marRight w:val="0"/>
      <w:marTop w:val="0"/>
      <w:marBottom w:val="0"/>
      <w:divBdr>
        <w:top w:val="none" w:sz="0" w:space="0" w:color="auto"/>
        <w:left w:val="none" w:sz="0" w:space="0" w:color="auto"/>
        <w:bottom w:val="none" w:sz="0" w:space="0" w:color="auto"/>
        <w:right w:val="none" w:sz="0" w:space="0" w:color="auto"/>
      </w:divBdr>
    </w:div>
    <w:div w:id="2020623843">
      <w:bodyDiv w:val="1"/>
      <w:marLeft w:val="0"/>
      <w:marRight w:val="0"/>
      <w:marTop w:val="0"/>
      <w:marBottom w:val="0"/>
      <w:divBdr>
        <w:top w:val="none" w:sz="0" w:space="0" w:color="auto"/>
        <w:left w:val="none" w:sz="0" w:space="0" w:color="auto"/>
        <w:bottom w:val="none" w:sz="0" w:space="0" w:color="auto"/>
        <w:right w:val="none" w:sz="0" w:space="0" w:color="auto"/>
      </w:divBdr>
      <w:divsChild>
        <w:div w:id="722797125">
          <w:marLeft w:val="274"/>
          <w:marRight w:val="0"/>
          <w:marTop w:val="200"/>
          <w:marBottom w:val="0"/>
          <w:divBdr>
            <w:top w:val="none" w:sz="0" w:space="0" w:color="auto"/>
            <w:left w:val="none" w:sz="0" w:space="0" w:color="auto"/>
            <w:bottom w:val="none" w:sz="0" w:space="0" w:color="auto"/>
            <w:right w:val="none" w:sz="0" w:space="0" w:color="auto"/>
          </w:divBdr>
        </w:div>
        <w:div w:id="799767040">
          <w:marLeft w:val="274"/>
          <w:marRight w:val="0"/>
          <w:marTop w:val="200"/>
          <w:marBottom w:val="0"/>
          <w:divBdr>
            <w:top w:val="none" w:sz="0" w:space="0" w:color="auto"/>
            <w:left w:val="none" w:sz="0" w:space="0" w:color="auto"/>
            <w:bottom w:val="none" w:sz="0" w:space="0" w:color="auto"/>
            <w:right w:val="none" w:sz="0" w:space="0" w:color="auto"/>
          </w:divBdr>
        </w:div>
        <w:div w:id="1440028119">
          <w:marLeft w:val="274"/>
          <w:marRight w:val="0"/>
          <w:marTop w:val="200"/>
          <w:marBottom w:val="0"/>
          <w:divBdr>
            <w:top w:val="none" w:sz="0" w:space="0" w:color="auto"/>
            <w:left w:val="none" w:sz="0" w:space="0" w:color="auto"/>
            <w:bottom w:val="none" w:sz="0" w:space="0" w:color="auto"/>
            <w:right w:val="none" w:sz="0" w:space="0" w:color="auto"/>
          </w:divBdr>
        </w:div>
        <w:div w:id="1989941188">
          <w:marLeft w:val="274"/>
          <w:marRight w:val="0"/>
          <w:marTop w:val="200"/>
          <w:marBottom w:val="0"/>
          <w:divBdr>
            <w:top w:val="none" w:sz="0" w:space="0" w:color="auto"/>
            <w:left w:val="none" w:sz="0" w:space="0" w:color="auto"/>
            <w:bottom w:val="none" w:sz="0" w:space="0" w:color="auto"/>
            <w:right w:val="none" w:sz="0" w:space="0" w:color="auto"/>
          </w:divBdr>
        </w:div>
      </w:divsChild>
    </w:div>
    <w:div w:id="2024044878">
      <w:bodyDiv w:val="1"/>
      <w:marLeft w:val="0"/>
      <w:marRight w:val="0"/>
      <w:marTop w:val="0"/>
      <w:marBottom w:val="0"/>
      <w:divBdr>
        <w:top w:val="none" w:sz="0" w:space="0" w:color="auto"/>
        <w:left w:val="none" w:sz="0" w:space="0" w:color="auto"/>
        <w:bottom w:val="none" w:sz="0" w:space="0" w:color="auto"/>
        <w:right w:val="none" w:sz="0" w:space="0" w:color="auto"/>
      </w:divBdr>
      <w:divsChild>
        <w:div w:id="105387439">
          <w:marLeft w:val="274"/>
          <w:marRight w:val="0"/>
          <w:marTop w:val="200"/>
          <w:marBottom w:val="0"/>
          <w:divBdr>
            <w:top w:val="none" w:sz="0" w:space="0" w:color="auto"/>
            <w:left w:val="none" w:sz="0" w:space="0" w:color="auto"/>
            <w:bottom w:val="none" w:sz="0" w:space="0" w:color="auto"/>
            <w:right w:val="none" w:sz="0" w:space="0" w:color="auto"/>
          </w:divBdr>
        </w:div>
        <w:div w:id="814028566">
          <w:marLeft w:val="274"/>
          <w:marRight w:val="0"/>
          <w:marTop w:val="200"/>
          <w:marBottom w:val="0"/>
          <w:divBdr>
            <w:top w:val="none" w:sz="0" w:space="0" w:color="auto"/>
            <w:left w:val="none" w:sz="0" w:space="0" w:color="auto"/>
            <w:bottom w:val="none" w:sz="0" w:space="0" w:color="auto"/>
            <w:right w:val="none" w:sz="0" w:space="0" w:color="auto"/>
          </w:divBdr>
        </w:div>
        <w:div w:id="838807144">
          <w:marLeft w:val="274"/>
          <w:marRight w:val="0"/>
          <w:marTop w:val="200"/>
          <w:marBottom w:val="0"/>
          <w:divBdr>
            <w:top w:val="none" w:sz="0" w:space="0" w:color="auto"/>
            <w:left w:val="none" w:sz="0" w:space="0" w:color="auto"/>
            <w:bottom w:val="none" w:sz="0" w:space="0" w:color="auto"/>
            <w:right w:val="none" w:sz="0" w:space="0" w:color="auto"/>
          </w:divBdr>
        </w:div>
        <w:div w:id="1682314854">
          <w:marLeft w:val="274"/>
          <w:marRight w:val="0"/>
          <w:marTop w:val="200"/>
          <w:marBottom w:val="0"/>
          <w:divBdr>
            <w:top w:val="none" w:sz="0" w:space="0" w:color="auto"/>
            <w:left w:val="none" w:sz="0" w:space="0" w:color="auto"/>
            <w:bottom w:val="none" w:sz="0" w:space="0" w:color="auto"/>
            <w:right w:val="none" w:sz="0" w:space="0" w:color="auto"/>
          </w:divBdr>
        </w:div>
      </w:divsChild>
    </w:div>
    <w:div w:id="2033802561">
      <w:bodyDiv w:val="1"/>
      <w:marLeft w:val="0"/>
      <w:marRight w:val="0"/>
      <w:marTop w:val="0"/>
      <w:marBottom w:val="0"/>
      <w:divBdr>
        <w:top w:val="none" w:sz="0" w:space="0" w:color="auto"/>
        <w:left w:val="none" w:sz="0" w:space="0" w:color="auto"/>
        <w:bottom w:val="none" w:sz="0" w:space="0" w:color="auto"/>
        <w:right w:val="none" w:sz="0" w:space="0" w:color="auto"/>
      </w:divBdr>
    </w:div>
    <w:div w:id="2038038784">
      <w:bodyDiv w:val="1"/>
      <w:marLeft w:val="0"/>
      <w:marRight w:val="0"/>
      <w:marTop w:val="0"/>
      <w:marBottom w:val="0"/>
      <w:divBdr>
        <w:top w:val="none" w:sz="0" w:space="0" w:color="auto"/>
        <w:left w:val="none" w:sz="0" w:space="0" w:color="auto"/>
        <w:bottom w:val="none" w:sz="0" w:space="0" w:color="auto"/>
        <w:right w:val="none" w:sz="0" w:space="0" w:color="auto"/>
      </w:divBdr>
      <w:divsChild>
        <w:div w:id="594217007">
          <w:marLeft w:val="274"/>
          <w:marRight w:val="0"/>
          <w:marTop w:val="0"/>
          <w:marBottom w:val="0"/>
          <w:divBdr>
            <w:top w:val="none" w:sz="0" w:space="0" w:color="auto"/>
            <w:left w:val="none" w:sz="0" w:space="0" w:color="auto"/>
            <w:bottom w:val="none" w:sz="0" w:space="0" w:color="auto"/>
            <w:right w:val="none" w:sz="0" w:space="0" w:color="auto"/>
          </w:divBdr>
        </w:div>
        <w:div w:id="716901387">
          <w:marLeft w:val="274"/>
          <w:marRight w:val="0"/>
          <w:marTop w:val="0"/>
          <w:marBottom w:val="0"/>
          <w:divBdr>
            <w:top w:val="none" w:sz="0" w:space="0" w:color="auto"/>
            <w:left w:val="none" w:sz="0" w:space="0" w:color="auto"/>
            <w:bottom w:val="none" w:sz="0" w:space="0" w:color="auto"/>
            <w:right w:val="none" w:sz="0" w:space="0" w:color="auto"/>
          </w:divBdr>
        </w:div>
        <w:div w:id="1389647551">
          <w:marLeft w:val="274"/>
          <w:marRight w:val="0"/>
          <w:marTop w:val="0"/>
          <w:marBottom w:val="0"/>
          <w:divBdr>
            <w:top w:val="none" w:sz="0" w:space="0" w:color="auto"/>
            <w:left w:val="none" w:sz="0" w:space="0" w:color="auto"/>
            <w:bottom w:val="none" w:sz="0" w:space="0" w:color="auto"/>
            <w:right w:val="none" w:sz="0" w:space="0" w:color="auto"/>
          </w:divBdr>
        </w:div>
      </w:divsChild>
    </w:div>
    <w:div w:id="2088110384">
      <w:bodyDiv w:val="1"/>
      <w:marLeft w:val="0"/>
      <w:marRight w:val="0"/>
      <w:marTop w:val="0"/>
      <w:marBottom w:val="0"/>
      <w:divBdr>
        <w:top w:val="none" w:sz="0" w:space="0" w:color="auto"/>
        <w:left w:val="none" w:sz="0" w:space="0" w:color="auto"/>
        <w:bottom w:val="none" w:sz="0" w:space="0" w:color="auto"/>
        <w:right w:val="none" w:sz="0" w:space="0" w:color="auto"/>
      </w:divBdr>
    </w:div>
    <w:div w:id="2111050731">
      <w:bodyDiv w:val="1"/>
      <w:marLeft w:val="0"/>
      <w:marRight w:val="0"/>
      <w:marTop w:val="0"/>
      <w:marBottom w:val="0"/>
      <w:divBdr>
        <w:top w:val="none" w:sz="0" w:space="0" w:color="auto"/>
        <w:left w:val="none" w:sz="0" w:space="0" w:color="auto"/>
        <w:bottom w:val="none" w:sz="0" w:space="0" w:color="auto"/>
        <w:right w:val="none" w:sz="0" w:space="0" w:color="auto"/>
      </w:divBdr>
    </w:div>
    <w:div w:id="2114323552">
      <w:bodyDiv w:val="1"/>
      <w:marLeft w:val="0"/>
      <w:marRight w:val="0"/>
      <w:marTop w:val="0"/>
      <w:marBottom w:val="0"/>
      <w:divBdr>
        <w:top w:val="none" w:sz="0" w:space="0" w:color="auto"/>
        <w:left w:val="none" w:sz="0" w:space="0" w:color="auto"/>
        <w:bottom w:val="none" w:sz="0" w:space="0" w:color="auto"/>
        <w:right w:val="none" w:sz="0" w:space="0" w:color="auto"/>
      </w:divBdr>
    </w:div>
    <w:div w:id="21365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legislation.gov.au/Series/F2020L00769" TargetMode="External"/><Relationship Id="rId39" Type="http://schemas.openxmlformats.org/officeDocument/2006/relationships/hyperlink" Target="https://www.abs.gov.au/ausstats/abs@.nsf/Lookup/by%20Subject/1270.0.55.001~July%202016~Main%20Features~Statistical%20Area%20Level%204%20(SA4)~10016" TargetMode="External"/><Relationship Id="rId21" Type="http://schemas.openxmlformats.org/officeDocument/2006/relationships/footer" Target="footer4.xml"/><Relationship Id="rId34" Type="http://schemas.openxmlformats.org/officeDocument/2006/relationships/hyperlink" Target="https://www.ndis.gov.au/providers/housing-and-living-supports-and-services/specialist-disability-accommodation/sda-pricing-and-payments/sda-pricing-review"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www.ndis.gov.au/providers/housing-and-living-supports-and-services/specialist-disability-accommodation/sda-pricing-and-payments/sda-pricing-review" TargetMode="External"/><Relationship Id="rId41" Type="http://schemas.openxmlformats.org/officeDocument/2006/relationships/hyperlink" Target="https://www.ndis.gov.au/providers/housing-and-living-supports-and-services/specialist-disability-accommodation/sda-pricing-and-payments/sda-pricing-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ndisreview.gov.au" TargetMode="External"/><Relationship Id="rId32" Type="http://schemas.openxmlformats.org/officeDocument/2006/relationships/hyperlink" Target="https://www.ndis.gov.au/providers/housing-and-living-supports-and-services/specialist-disability-accommodation/sda-pricing-and-payments/sda-pricing-review" TargetMode="External"/><Relationship Id="rId37" Type="http://schemas.openxmlformats.org/officeDocument/2006/relationships/hyperlink" Target="https://www.ndis.gov.au/providers/housing-and-living-supports-and-services/specialist-disability-accommodation/sda-pricing-and-payments/sda-pricing-review" TargetMode="External"/><Relationship Id="rId40" Type="http://schemas.openxmlformats.org/officeDocument/2006/relationships/hyperlink" Target="https://www.ndis.gov.au/media/1870/download?attachment"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ss.gov.au/disability-and-carers-programs-services-government-international-disability-reform-council/specialist-disability-accommodation-pricing-and-payments-framework" TargetMode="External"/><Relationship Id="rId28" Type="http://schemas.openxmlformats.org/officeDocument/2006/relationships/hyperlink" Target="https://ourguidelines.ndis.gov.au/media/1668/download?attachment" TargetMode="External"/><Relationship Id="rId36" Type="http://schemas.openxmlformats.org/officeDocument/2006/relationships/hyperlink" Target="https://www.ndis.gov.au/providers/housing-and-living-supports-and-services/specialist-disability-accommodation/sda-pricing-and-payments"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ndis.gov.au/media/1868/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dis.gov.au/providers/housing-and-living-supports-and-services/specialist-disability-accommodation/sda-pricing-and-payments/sda-pricing-review" TargetMode="External"/><Relationship Id="rId27" Type="http://schemas.openxmlformats.org/officeDocument/2006/relationships/hyperlink" Target="https://www.legislation.gov.au/Series/F2018L00627" TargetMode="External"/><Relationship Id="rId30" Type="http://schemas.openxmlformats.org/officeDocument/2006/relationships/hyperlink" Target="https://www.ndis.gov.au/providers/housing-and-living-supports-and-services/specialist-disability-accommodation/sda-pricing-and-payments/sda-pricing-review" TargetMode="External"/><Relationship Id="rId35" Type="http://schemas.openxmlformats.org/officeDocument/2006/relationships/hyperlink" Target="https://www.ndis.gov.au/media/1868/download?attachmen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creativecommons.org/licenses/by/4.0/" TargetMode="External"/><Relationship Id="rId25" Type="http://schemas.openxmlformats.org/officeDocument/2006/relationships/hyperlink" Target="https://www.legislation.gov.au/Series/C2013A00020" TargetMode="External"/><Relationship Id="rId33" Type="http://schemas.openxmlformats.org/officeDocument/2006/relationships/hyperlink" Target="mailto:SDAPR@ndis.gov.au" TargetMode="External"/><Relationship Id="rId38" Type="http://schemas.openxmlformats.org/officeDocument/2006/relationships/hyperlink" Target="https://www.ndis.gov.au/providers/housing-and-living-supports-and-services/specialist-disability-accommodation/sda-pricing-and-payment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ndis.gov.au/providers/housing-and-living-supports-and-services/specialist-disability-accommodation/sda-pricing-and-payments/sda-pricing-review" TargetMode="External"/><Relationship Id="rId2" Type="http://schemas.openxmlformats.org/officeDocument/2006/relationships/hyperlink" Target="https://www.ndis.gov.au/providers/housing-and-living-supports-and-services/specialist-disability-accommodation/sda-pricing-and-payments/sda-pricing-review" TargetMode="External"/><Relationship Id="rId1" Type="http://schemas.openxmlformats.org/officeDocument/2006/relationships/hyperlink" Target="https://aus01.safelinks.protection.outlook.com/?url=https%3A%2F%2Fwww.ndis.gov.au%2Fmedia%2F4615%2Fdownload%3Fattachment&amp;data=05%7C01%7CLachlan.Cottom2%40ndis.gov.au%7Caccab283993b4a8e3cee08dab24b6e4d%7Ccd778b65752d454a87cfb9990fe58993%7C0%7C0%7C638018334282818203%7CUnknown%7CTWFpbGZsb3d8eyJWIjoiMC4wLjAwMDAiLCJQIjoiV2luMzIiLCJBTiI6Ik1haWwiLCJXVCI6Mn0%3D%7C3000%7C%7C%7C&amp;sdata=x5WPTJD40YygN1SnQ%2BDVSBOeBIKTRh60GaKgXH735gU%3D&amp;reserved=0" TargetMode="External"/></Relationships>
</file>

<file path=word/theme/theme1.xml><?xml version="1.0" encoding="utf-8"?>
<a:theme xmlns:a="http://schemas.openxmlformats.org/drawingml/2006/main" name="NDIS">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3" ma:contentTypeDescription="Create a new document." ma:contentTypeScope="" ma:versionID="77d43732ceee587ef9edad5997b2c031">
  <xsd:schema xmlns:xsd="http://www.w3.org/2001/XMLSchema" xmlns:xs="http://www.w3.org/2001/XMLSchema" xmlns:p="http://schemas.microsoft.com/office/2006/metadata/properties" xmlns:ns3="1ee2afc6-efc0-4dcc-be09-aabefb754106" xmlns:ns4="6dff4707-7bf8-4102-b125-42e04ae9fdfc" targetNamespace="http://schemas.microsoft.com/office/2006/metadata/properties" ma:root="true" ma:fieldsID="2ae3732636fc73a727ec80bb2389dd61" ns3:_="" ns4:_="">
    <xsd:import namespace="1ee2afc6-efc0-4dcc-be09-aabefb754106"/>
    <xsd:import namespace="6dff4707-7bf8-4102-b125-42e04ae9fd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098DC80-1C1A-46B1-9428-821FAB5C1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afc6-efc0-4dcc-be09-aabefb754106"/>
    <ds:schemaRef ds:uri="6dff4707-7bf8-4102-b125-42e04ae9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3F6E8-FB16-438C-891C-1A676D2C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12333</Words>
  <Characters>70303</Characters>
  <Application>Microsoft Office Word</Application>
  <DocSecurity>4</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82472</CharactersWithSpaces>
  <SharedDoc>false</SharedDoc>
  <HLinks>
    <vt:vector size="294" baseType="variant">
      <vt:variant>
        <vt:i4>1245234</vt:i4>
      </vt:variant>
      <vt:variant>
        <vt:i4>257</vt:i4>
      </vt:variant>
      <vt:variant>
        <vt:i4>0</vt:i4>
      </vt:variant>
      <vt:variant>
        <vt:i4>5</vt:i4>
      </vt:variant>
      <vt:variant>
        <vt:lpwstr/>
      </vt:variant>
      <vt:variant>
        <vt:lpwstr>_Toc71495945</vt:lpwstr>
      </vt:variant>
      <vt:variant>
        <vt:i4>1179698</vt:i4>
      </vt:variant>
      <vt:variant>
        <vt:i4>251</vt:i4>
      </vt:variant>
      <vt:variant>
        <vt:i4>0</vt:i4>
      </vt:variant>
      <vt:variant>
        <vt:i4>5</vt:i4>
      </vt:variant>
      <vt:variant>
        <vt:lpwstr/>
      </vt:variant>
      <vt:variant>
        <vt:lpwstr>_Toc71495944</vt:lpwstr>
      </vt:variant>
      <vt:variant>
        <vt:i4>1376306</vt:i4>
      </vt:variant>
      <vt:variant>
        <vt:i4>245</vt:i4>
      </vt:variant>
      <vt:variant>
        <vt:i4>0</vt:i4>
      </vt:variant>
      <vt:variant>
        <vt:i4>5</vt:i4>
      </vt:variant>
      <vt:variant>
        <vt:lpwstr/>
      </vt:variant>
      <vt:variant>
        <vt:lpwstr>_Toc71495943</vt:lpwstr>
      </vt:variant>
      <vt:variant>
        <vt:i4>1310770</vt:i4>
      </vt:variant>
      <vt:variant>
        <vt:i4>239</vt:i4>
      </vt:variant>
      <vt:variant>
        <vt:i4>0</vt:i4>
      </vt:variant>
      <vt:variant>
        <vt:i4>5</vt:i4>
      </vt:variant>
      <vt:variant>
        <vt:lpwstr/>
      </vt:variant>
      <vt:variant>
        <vt:lpwstr>_Toc71495942</vt:lpwstr>
      </vt:variant>
      <vt:variant>
        <vt:i4>1507378</vt:i4>
      </vt:variant>
      <vt:variant>
        <vt:i4>233</vt:i4>
      </vt:variant>
      <vt:variant>
        <vt:i4>0</vt:i4>
      </vt:variant>
      <vt:variant>
        <vt:i4>5</vt:i4>
      </vt:variant>
      <vt:variant>
        <vt:lpwstr/>
      </vt:variant>
      <vt:variant>
        <vt:lpwstr>_Toc71495941</vt:lpwstr>
      </vt:variant>
      <vt:variant>
        <vt:i4>1441842</vt:i4>
      </vt:variant>
      <vt:variant>
        <vt:i4>227</vt:i4>
      </vt:variant>
      <vt:variant>
        <vt:i4>0</vt:i4>
      </vt:variant>
      <vt:variant>
        <vt:i4>5</vt:i4>
      </vt:variant>
      <vt:variant>
        <vt:lpwstr/>
      </vt:variant>
      <vt:variant>
        <vt:lpwstr>_Toc71495940</vt:lpwstr>
      </vt:variant>
      <vt:variant>
        <vt:i4>2031669</vt:i4>
      </vt:variant>
      <vt:variant>
        <vt:i4>221</vt:i4>
      </vt:variant>
      <vt:variant>
        <vt:i4>0</vt:i4>
      </vt:variant>
      <vt:variant>
        <vt:i4>5</vt:i4>
      </vt:variant>
      <vt:variant>
        <vt:lpwstr/>
      </vt:variant>
      <vt:variant>
        <vt:lpwstr>_Toc71495939</vt:lpwstr>
      </vt:variant>
      <vt:variant>
        <vt:i4>1966133</vt:i4>
      </vt:variant>
      <vt:variant>
        <vt:i4>215</vt:i4>
      </vt:variant>
      <vt:variant>
        <vt:i4>0</vt:i4>
      </vt:variant>
      <vt:variant>
        <vt:i4>5</vt:i4>
      </vt:variant>
      <vt:variant>
        <vt:lpwstr/>
      </vt:variant>
      <vt:variant>
        <vt:lpwstr>_Toc71495938</vt:lpwstr>
      </vt:variant>
      <vt:variant>
        <vt:i4>1114165</vt:i4>
      </vt:variant>
      <vt:variant>
        <vt:i4>209</vt:i4>
      </vt:variant>
      <vt:variant>
        <vt:i4>0</vt:i4>
      </vt:variant>
      <vt:variant>
        <vt:i4>5</vt:i4>
      </vt:variant>
      <vt:variant>
        <vt:lpwstr/>
      </vt:variant>
      <vt:variant>
        <vt:lpwstr>_Toc71495937</vt:lpwstr>
      </vt:variant>
      <vt:variant>
        <vt:i4>1048629</vt:i4>
      </vt:variant>
      <vt:variant>
        <vt:i4>203</vt:i4>
      </vt:variant>
      <vt:variant>
        <vt:i4>0</vt:i4>
      </vt:variant>
      <vt:variant>
        <vt:i4>5</vt:i4>
      </vt:variant>
      <vt:variant>
        <vt:lpwstr/>
      </vt:variant>
      <vt:variant>
        <vt:lpwstr>_Toc71495936</vt:lpwstr>
      </vt:variant>
      <vt:variant>
        <vt:i4>1245237</vt:i4>
      </vt:variant>
      <vt:variant>
        <vt:i4>197</vt:i4>
      </vt:variant>
      <vt:variant>
        <vt:i4>0</vt:i4>
      </vt:variant>
      <vt:variant>
        <vt:i4>5</vt:i4>
      </vt:variant>
      <vt:variant>
        <vt:lpwstr/>
      </vt:variant>
      <vt:variant>
        <vt:lpwstr>_Toc71495935</vt:lpwstr>
      </vt:variant>
      <vt:variant>
        <vt:i4>1179701</vt:i4>
      </vt:variant>
      <vt:variant>
        <vt:i4>191</vt:i4>
      </vt:variant>
      <vt:variant>
        <vt:i4>0</vt:i4>
      </vt:variant>
      <vt:variant>
        <vt:i4>5</vt:i4>
      </vt:variant>
      <vt:variant>
        <vt:lpwstr/>
      </vt:variant>
      <vt:variant>
        <vt:lpwstr>_Toc71495934</vt:lpwstr>
      </vt:variant>
      <vt:variant>
        <vt:i4>1376309</vt:i4>
      </vt:variant>
      <vt:variant>
        <vt:i4>185</vt:i4>
      </vt:variant>
      <vt:variant>
        <vt:i4>0</vt:i4>
      </vt:variant>
      <vt:variant>
        <vt:i4>5</vt:i4>
      </vt:variant>
      <vt:variant>
        <vt:lpwstr/>
      </vt:variant>
      <vt:variant>
        <vt:lpwstr>_Toc71495933</vt:lpwstr>
      </vt:variant>
      <vt:variant>
        <vt:i4>1310773</vt:i4>
      </vt:variant>
      <vt:variant>
        <vt:i4>179</vt:i4>
      </vt:variant>
      <vt:variant>
        <vt:i4>0</vt:i4>
      </vt:variant>
      <vt:variant>
        <vt:i4>5</vt:i4>
      </vt:variant>
      <vt:variant>
        <vt:lpwstr/>
      </vt:variant>
      <vt:variant>
        <vt:lpwstr>_Toc71495932</vt:lpwstr>
      </vt:variant>
      <vt:variant>
        <vt:i4>1507381</vt:i4>
      </vt:variant>
      <vt:variant>
        <vt:i4>173</vt:i4>
      </vt:variant>
      <vt:variant>
        <vt:i4>0</vt:i4>
      </vt:variant>
      <vt:variant>
        <vt:i4>5</vt:i4>
      </vt:variant>
      <vt:variant>
        <vt:lpwstr/>
      </vt:variant>
      <vt:variant>
        <vt:lpwstr>_Toc71495931</vt:lpwstr>
      </vt:variant>
      <vt:variant>
        <vt:i4>1441845</vt:i4>
      </vt:variant>
      <vt:variant>
        <vt:i4>167</vt:i4>
      </vt:variant>
      <vt:variant>
        <vt:i4>0</vt:i4>
      </vt:variant>
      <vt:variant>
        <vt:i4>5</vt:i4>
      </vt:variant>
      <vt:variant>
        <vt:lpwstr/>
      </vt:variant>
      <vt:variant>
        <vt:lpwstr>_Toc71495930</vt:lpwstr>
      </vt:variant>
      <vt:variant>
        <vt:i4>2031668</vt:i4>
      </vt:variant>
      <vt:variant>
        <vt:i4>161</vt:i4>
      </vt:variant>
      <vt:variant>
        <vt:i4>0</vt:i4>
      </vt:variant>
      <vt:variant>
        <vt:i4>5</vt:i4>
      </vt:variant>
      <vt:variant>
        <vt:lpwstr/>
      </vt:variant>
      <vt:variant>
        <vt:lpwstr>_Toc71495929</vt:lpwstr>
      </vt:variant>
      <vt:variant>
        <vt:i4>1966132</vt:i4>
      </vt:variant>
      <vt:variant>
        <vt:i4>155</vt:i4>
      </vt:variant>
      <vt:variant>
        <vt:i4>0</vt:i4>
      </vt:variant>
      <vt:variant>
        <vt:i4>5</vt:i4>
      </vt:variant>
      <vt:variant>
        <vt:lpwstr/>
      </vt:variant>
      <vt:variant>
        <vt:lpwstr>_Toc71495928</vt:lpwstr>
      </vt:variant>
      <vt:variant>
        <vt:i4>1114164</vt:i4>
      </vt:variant>
      <vt:variant>
        <vt:i4>149</vt:i4>
      </vt:variant>
      <vt:variant>
        <vt:i4>0</vt:i4>
      </vt:variant>
      <vt:variant>
        <vt:i4>5</vt:i4>
      </vt:variant>
      <vt:variant>
        <vt:lpwstr/>
      </vt:variant>
      <vt:variant>
        <vt:lpwstr>_Toc71495927</vt:lpwstr>
      </vt:variant>
      <vt:variant>
        <vt:i4>1048628</vt:i4>
      </vt:variant>
      <vt:variant>
        <vt:i4>143</vt:i4>
      </vt:variant>
      <vt:variant>
        <vt:i4>0</vt:i4>
      </vt:variant>
      <vt:variant>
        <vt:i4>5</vt:i4>
      </vt:variant>
      <vt:variant>
        <vt:lpwstr/>
      </vt:variant>
      <vt:variant>
        <vt:lpwstr>_Toc71495926</vt:lpwstr>
      </vt:variant>
      <vt:variant>
        <vt:i4>1245236</vt:i4>
      </vt:variant>
      <vt:variant>
        <vt:i4>137</vt:i4>
      </vt:variant>
      <vt:variant>
        <vt:i4>0</vt:i4>
      </vt:variant>
      <vt:variant>
        <vt:i4>5</vt:i4>
      </vt:variant>
      <vt:variant>
        <vt:lpwstr/>
      </vt:variant>
      <vt:variant>
        <vt:lpwstr>_Toc71495925</vt:lpwstr>
      </vt:variant>
      <vt:variant>
        <vt:i4>1179700</vt:i4>
      </vt:variant>
      <vt:variant>
        <vt:i4>131</vt:i4>
      </vt:variant>
      <vt:variant>
        <vt:i4>0</vt:i4>
      </vt:variant>
      <vt:variant>
        <vt:i4>5</vt:i4>
      </vt:variant>
      <vt:variant>
        <vt:lpwstr/>
      </vt:variant>
      <vt:variant>
        <vt:lpwstr>_Toc71495924</vt:lpwstr>
      </vt:variant>
      <vt:variant>
        <vt:i4>1376308</vt:i4>
      </vt:variant>
      <vt:variant>
        <vt:i4>125</vt:i4>
      </vt:variant>
      <vt:variant>
        <vt:i4>0</vt:i4>
      </vt:variant>
      <vt:variant>
        <vt:i4>5</vt:i4>
      </vt:variant>
      <vt:variant>
        <vt:lpwstr/>
      </vt:variant>
      <vt:variant>
        <vt:lpwstr>_Toc71495923</vt:lpwstr>
      </vt:variant>
      <vt:variant>
        <vt:i4>1310772</vt:i4>
      </vt:variant>
      <vt:variant>
        <vt:i4>119</vt:i4>
      </vt:variant>
      <vt:variant>
        <vt:i4>0</vt:i4>
      </vt:variant>
      <vt:variant>
        <vt:i4>5</vt:i4>
      </vt:variant>
      <vt:variant>
        <vt:lpwstr/>
      </vt:variant>
      <vt:variant>
        <vt:lpwstr>_Toc71495922</vt:lpwstr>
      </vt:variant>
      <vt:variant>
        <vt:i4>1507380</vt:i4>
      </vt:variant>
      <vt:variant>
        <vt:i4>113</vt:i4>
      </vt:variant>
      <vt:variant>
        <vt:i4>0</vt:i4>
      </vt:variant>
      <vt:variant>
        <vt:i4>5</vt:i4>
      </vt:variant>
      <vt:variant>
        <vt:lpwstr/>
      </vt:variant>
      <vt:variant>
        <vt:lpwstr>_Toc71495921</vt:lpwstr>
      </vt:variant>
      <vt:variant>
        <vt:i4>1441844</vt:i4>
      </vt:variant>
      <vt:variant>
        <vt:i4>107</vt:i4>
      </vt:variant>
      <vt:variant>
        <vt:i4>0</vt:i4>
      </vt:variant>
      <vt:variant>
        <vt:i4>5</vt:i4>
      </vt:variant>
      <vt:variant>
        <vt:lpwstr/>
      </vt:variant>
      <vt:variant>
        <vt:lpwstr>_Toc71495920</vt:lpwstr>
      </vt:variant>
      <vt:variant>
        <vt:i4>2031671</vt:i4>
      </vt:variant>
      <vt:variant>
        <vt:i4>101</vt:i4>
      </vt:variant>
      <vt:variant>
        <vt:i4>0</vt:i4>
      </vt:variant>
      <vt:variant>
        <vt:i4>5</vt:i4>
      </vt:variant>
      <vt:variant>
        <vt:lpwstr/>
      </vt:variant>
      <vt:variant>
        <vt:lpwstr>_Toc71495919</vt:lpwstr>
      </vt:variant>
      <vt:variant>
        <vt:i4>1507376</vt:i4>
      </vt:variant>
      <vt:variant>
        <vt:i4>92</vt:i4>
      </vt:variant>
      <vt:variant>
        <vt:i4>0</vt:i4>
      </vt:variant>
      <vt:variant>
        <vt:i4>5</vt:i4>
      </vt:variant>
      <vt:variant>
        <vt:lpwstr/>
      </vt:variant>
      <vt:variant>
        <vt:lpwstr>_Toc71495961</vt:lpwstr>
      </vt:variant>
      <vt:variant>
        <vt:i4>1441840</vt:i4>
      </vt:variant>
      <vt:variant>
        <vt:i4>86</vt:i4>
      </vt:variant>
      <vt:variant>
        <vt:i4>0</vt:i4>
      </vt:variant>
      <vt:variant>
        <vt:i4>5</vt:i4>
      </vt:variant>
      <vt:variant>
        <vt:lpwstr/>
      </vt:variant>
      <vt:variant>
        <vt:lpwstr>_Toc71495960</vt:lpwstr>
      </vt:variant>
      <vt:variant>
        <vt:i4>2031667</vt:i4>
      </vt:variant>
      <vt:variant>
        <vt:i4>80</vt:i4>
      </vt:variant>
      <vt:variant>
        <vt:i4>0</vt:i4>
      </vt:variant>
      <vt:variant>
        <vt:i4>5</vt:i4>
      </vt:variant>
      <vt:variant>
        <vt:lpwstr/>
      </vt:variant>
      <vt:variant>
        <vt:lpwstr>_Toc71495959</vt:lpwstr>
      </vt:variant>
      <vt:variant>
        <vt:i4>1966131</vt:i4>
      </vt:variant>
      <vt:variant>
        <vt:i4>74</vt:i4>
      </vt:variant>
      <vt:variant>
        <vt:i4>0</vt:i4>
      </vt:variant>
      <vt:variant>
        <vt:i4>5</vt:i4>
      </vt:variant>
      <vt:variant>
        <vt:lpwstr/>
      </vt:variant>
      <vt:variant>
        <vt:lpwstr>_Toc71495958</vt:lpwstr>
      </vt:variant>
      <vt:variant>
        <vt:i4>1114163</vt:i4>
      </vt:variant>
      <vt:variant>
        <vt:i4>68</vt:i4>
      </vt:variant>
      <vt:variant>
        <vt:i4>0</vt:i4>
      </vt:variant>
      <vt:variant>
        <vt:i4>5</vt:i4>
      </vt:variant>
      <vt:variant>
        <vt:lpwstr/>
      </vt:variant>
      <vt:variant>
        <vt:lpwstr>_Toc71495957</vt:lpwstr>
      </vt:variant>
      <vt:variant>
        <vt:i4>1048627</vt:i4>
      </vt:variant>
      <vt:variant>
        <vt:i4>62</vt:i4>
      </vt:variant>
      <vt:variant>
        <vt:i4>0</vt:i4>
      </vt:variant>
      <vt:variant>
        <vt:i4>5</vt:i4>
      </vt:variant>
      <vt:variant>
        <vt:lpwstr/>
      </vt:variant>
      <vt:variant>
        <vt:lpwstr>_Toc71495956</vt:lpwstr>
      </vt:variant>
      <vt:variant>
        <vt:i4>1245235</vt:i4>
      </vt:variant>
      <vt:variant>
        <vt:i4>56</vt:i4>
      </vt:variant>
      <vt:variant>
        <vt:i4>0</vt:i4>
      </vt:variant>
      <vt:variant>
        <vt:i4>5</vt:i4>
      </vt:variant>
      <vt:variant>
        <vt:lpwstr/>
      </vt:variant>
      <vt:variant>
        <vt:lpwstr>_Toc71495955</vt:lpwstr>
      </vt:variant>
      <vt:variant>
        <vt:i4>1179699</vt:i4>
      </vt:variant>
      <vt:variant>
        <vt:i4>50</vt:i4>
      </vt:variant>
      <vt:variant>
        <vt:i4>0</vt:i4>
      </vt:variant>
      <vt:variant>
        <vt:i4>5</vt:i4>
      </vt:variant>
      <vt:variant>
        <vt:lpwstr/>
      </vt:variant>
      <vt:variant>
        <vt:lpwstr>_Toc71495954</vt:lpwstr>
      </vt:variant>
      <vt:variant>
        <vt:i4>1376307</vt:i4>
      </vt:variant>
      <vt:variant>
        <vt:i4>44</vt:i4>
      </vt:variant>
      <vt:variant>
        <vt:i4>0</vt:i4>
      </vt:variant>
      <vt:variant>
        <vt:i4>5</vt:i4>
      </vt:variant>
      <vt:variant>
        <vt:lpwstr/>
      </vt:variant>
      <vt:variant>
        <vt:lpwstr>_Toc71495953</vt:lpwstr>
      </vt:variant>
      <vt:variant>
        <vt:i4>1310771</vt:i4>
      </vt:variant>
      <vt:variant>
        <vt:i4>38</vt:i4>
      </vt:variant>
      <vt:variant>
        <vt:i4>0</vt:i4>
      </vt:variant>
      <vt:variant>
        <vt:i4>5</vt:i4>
      </vt:variant>
      <vt:variant>
        <vt:lpwstr/>
      </vt:variant>
      <vt:variant>
        <vt:lpwstr>_Toc71495952</vt:lpwstr>
      </vt:variant>
      <vt:variant>
        <vt:i4>1507379</vt:i4>
      </vt:variant>
      <vt:variant>
        <vt:i4>32</vt:i4>
      </vt:variant>
      <vt:variant>
        <vt:i4>0</vt:i4>
      </vt:variant>
      <vt:variant>
        <vt:i4>5</vt:i4>
      </vt:variant>
      <vt:variant>
        <vt:lpwstr/>
      </vt:variant>
      <vt:variant>
        <vt:lpwstr>_Toc71495951</vt:lpwstr>
      </vt:variant>
      <vt:variant>
        <vt:i4>1441843</vt:i4>
      </vt:variant>
      <vt:variant>
        <vt:i4>26</vt:i4>
      </vt:variant>
      <vt:variant>
        <vt:i4>0</vt:i4>
      </vt:variant>
      <vt:variant>
        <vt:i4>5</vt:i4>
      </vt:variant>
      <vt:variant>
        <vt:lpwstr/>
      </vt:variant>
      <vt:variant>
        <vt:lpwstr>_Toc71495950</vt:lpwstr>
      </vt:variant>
      <vt:variant>
        <vt:i4>2031666</vt:i4>
      </vt:variant>
      <vt:variant>
        <vt:i4>20</vt:i4>
      </vt:variant>
      <vt:variant>
        <vt:i4>0</vt:i4>
      </vt:variant>
      <vt:variant>
        <vt:i4>5</vt:i4>
      </vt:variant>
      <vt:variant>
        <vt:lpwstr/>
      </vt:variant>
      <vt:variant>
        <vt:lpwstr>_Toc71495949</vt:lpwstr>
      </vt:variant>
      <vt:variant>
        <vt:i4>1966130</vt:i4>
      </vt:variant>
      <vt:variant>
        <vt:i4>14</vt:i4>
      </vt:variant>
      <vt:variant>
        <vt:i4>0</vt:i4>
      </vt:variant>
      <vt:variant>
        <vt:i4>5</vt:i4>
      </vt:variant>
      <vt:variant>
        <vt:lpwstr/>
      </vt:variant>
      <vt:variant>
        <vt:lpwstr>_Toc71495948</vt:lpwstr>
      </vt:variant>
      <vt:variant>
        <vt:i4>1114162</vt:i4>
      </vt:variant>
      <vt:variant>
        <vt:i4>8</vt:i4>
      </vt:variant>
      <vt:variant>
        <vt:i4>0</vt:i4>
      </vt:variant>
      <vt:variant>
        <vt:i4>5</vt:i4>
      </vt:variant>
      <vt:variant>
        <vt:lpwstr/>
      </vt:variant>
      <vt:variant>
        <vt:lpwstr>_Toc71495947</vt:lpwstr>
      </vt:variant>
      <vt:variant>
        <vt:i4>1048626</vt:i4>
      </vt:variant>
      <vt:variant>
        <vt:i4>2</vt:i4>
      </vt:variant>
      <vt:variant>
        <vt:i4>0</vt:i4>
      </vt:variant>
      <vt:variant>
        <vt:i4>5</vt:i4>
      </vt:variant>
      <vt:variant>
        <vt:lpwstr/>
      </vt:variant>
      <vt:variant>
        <vt:lpwstr>_Toc71495946</vt:lpwstr>
      </vt:variant>
      <vt:variant>
        <vt:i4>3473527</vt:i4>
      </vt:variant>
      <vt:variant>
        <vt:i4>15</vt:i4>
      </vt:variant>
      <vt:variant>
        <vt:i4>0</vt:i4>
      </vt:variant>
      <vt:variant>
        <vt:i4>5</vt:i4>
      </vt:variant>
      <vt:variant>
        <vt:lpwstr>https://www.ndis.gov.au/media/1820/download</vt:lpwstr>
      </vt:variant>
      <vt:variant>
        <vt:lpwstr/>
      </vt:variant>
      <vt:variant>
        <vt:i4>7405612</vt:i4>
      </vt:variant>
      <vt:variant>
        <vt:i4>12</vt:i4>
      </vt:variant>
      <vt:variant>
        <vt:i4>0</vt:i4>
      </vt:variant>
      <vt:variant>
        <vt:i4>5</vt:i4>
      </vt:variant>
      <vt:variant>
        <vt:lpwstr>https://www.legislation.gov.au/Details/C2020C00392</vt:lpwstr>
      </vt:variant>
      <vt:variant>
        <vt:lpwstr/>
      </vt:variant>
      <vt:variant>
        <vt:i4>3801207</vt:i4>
      </vt:variant>
      <vt:variant>
        <vt:i4>9</vt:i4>
      </vt:variant>
      <vt:variant>
        <vt:i4>0</vt:i4>
      </vt:variant>
      <vt:variant>
        <vt:i4>5</vt:i4>
      </vt:variant>
      <vt:variant>
        <vt:lpwstr>https://www.ndis.gov.au/media/2413/download</vt:lpwstr>
      </vt:variant>
      <vt:variant>
        <vt:lpwstr/>
      </vt:variant>
      <vt:variant>
        <vt:i4>3735667</vt:i4>
      </vt:variant>
      <vt:variant>
        <vt:i4>6</vt:i4>
      </vt:variant>
      <vt:variant>
        <vt:i4>0</vt:i4>
      </vt:variant>
      <vt:variant>
        <vt:i4>5</vt:i4>
      </vt:variant>
      <vt:variant>
        <vt:lpwstr>https://www.ndis.gov.au/media/1662/download</vt:lpwstr>
      </vt:variant>
      <vt:variant>
        <vt:lpwstr/>
      </vt:variant>
      <vt:variant>
        <vt:i4>3145768</vt:i4>
      </vt:variant>
      <vt:variant>
        <vt:i4>3</vt:i4>
      </vt:variant>
      <vt:variant>
        <vt:i4>0</vt:i4>
      </vt:variant>
      <vt:variant>
        <vt:i4>5</vt:i4>
      </vt:variant>
      <vt:variant>
        <vt:lpwstr>https://www.ndis.gov.au/media/360/download</vt:lpwstr>
      </vt:variant>
      <vt:variant>
        <vt:lpwstr/>
      </vt:variant>
      <vt:variant>
        <vt:i4>3342369</vt:i4>
      </vt:variant>
      <vt:variant>
        <vt:i4>0</vt:i4>
      </vt:variant>
      <vt:variant>
        <vt:i4>0</vt:i4>
      </vt:variant>
      <vt:variant>
        <vt:i4>5</vt:i4>
      </vt:variant>
      <vt:variant>
        <vt:lpwstr>https://www.ndis.gov.au/media/359/download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Tamar</dc:creator>
  <cp:keywords>[SEC=OFFICIAL]</cp:keywords>
  <dc:description/>
  <cp:lastModifiedBy>Cottom, Lachlan</cp:lastModifiedBy>
  <cp:revision>2</cp:revision>
  <cp:lastPrinted>2022-10-16T22:44:00Z</cp:lastPrinted>
  <dcterms:created xsi:type="dcterms:W3CDTF">2022-10-27T00:30:00Z</dcterms:created>
  <dcterms:modified xsi:type="dcterms:W3CDTF">2022-10-27T00:30:00Z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0x010100A2CE81D0E9067B4C9491F29EF2260D9A</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2022-06-09T06:16:46Z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d1e46fa1-a374-44fb-a3e4-872929a4747e</vt:lpwstr>
  </property>
  <property fmtid="{D5CDD505-2E9C-101B-9397-08002B2CF9AE}" pid="14" name="MSIP_Label_2b83f8d7-e91f-4eee-a336-52a8061c0503_ContentBits">
    <vt:lpwstr>0</vt:lpwstr>
  </property>
  <property fmtid="{D5CDD505-2E9C-101B-9397-08002B2CF9AE}" pid="15" name="PM_Originating_FileId">
    <vt:lpwstr>0DE5975B5EC04D6BA9B7D8E820E04F7A</vt:lpwstr>
  </property>
  <property fmtid="{D5CDD505-2E9C-101B-9397-08002B2CF9AE}" pid="16" name="PM_ProtectiveMarkingValue_Footer">
    <vt:lpwstr>OFFICIAL</vt:lpwstr>
  </property>
  <property fmtid="{D5CDD505-2E9C-101B-9397-08002B2CF9AE}" pid="17" name="PM_SecurityClassification">
    <vt:lpwstr>OFFICIAL</vt:lpwstr>
  </property>
  <property fmtid="{D5CDD505-2E9C-101B-9397-08002B2CF9AE}" pid="18" name="PM_Caveats_Count">
    <vt:lpwstr>0</vt:lpwstr>
  </property>
  <property fmtid="{D5CDD505-2E9C-101B-9397-08002B2CF9AE}" pid="19" name="PM_Qualifier">
    <vt:lpwstr/>
  </property>
  <property fmtid="{D5CDD505-2E9C-101B-9397-08002B2CF9AE}" pid="20" name="PM_DisplayValueSecClassificationWithQualifier">
    <vt:lpwstr>OFFICIAL</vt:lpwstr>
  </property>
  <property fmtid="{D5CDD505-2E9C-101B-9397-08002B2CF9AE}" pid="21" name="PM_InsertionValue">
    <vt:lpwstr>OFFICIAL</vt:lpwstr>
  </property>
  <property fmtid="{D5CDD505-2E9C-101B-9397-08002B2CF9AE}" pid="22" name="PM_Originator_Hash_SHA1">
    <vt:lpwstr>63BE86525FD5C5D4EFD24AD01F9278A0FE68BBFF</vt:lpwstr>
  </property>
  <property fmtid="{D5CDD505-2E9C-101B-9397-08002B2CF9AE}" pid="23" name="PM_OriginationTimeStamp">
    <vt:lpwstr>2022-09-21T03:21:26Z</vt:lpwstr>
  </property>
  <property fmtid="{D5CDD505-2E9C-101B-9397-08002B2CF9AE}" pid="24" name="PM_ProtectiveMarkingValue_Head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ProtectiveMarkingImage_Footer">
    <vt:lpwstr>C:\Program Files (x86)\Common Files\janusNET Shared\janusSEAL\Images\DocumentSlashBlue.png</vt:lpwstr>
  </property>
  <property fmtid="{D5CDD505-2E9C-101B-9397-08002B2CF9AE}" pid="27" name="PM_Namespace">
    <vt:lpwstr>gov.au</vt:lpwstr>
  </property>
  <property fmtid="{D5CDD505-2E9C-101B-9397-08002B2CF9AE}" pid="28" name="PM_Version">
    <vt:lpwstr>2018.4</vt:lpwstr>
  </property>
  <property fmtid="{D5CDD505-2E9C-101B-9397-08002B2CF9AE}" pid="29" name="PM_Note">
    <vt:lpwstr/>
  </property>
  <property fmtid="{D5CDD505-2E9C-101B-9397-08002B2CF9AE}" pid="30" name="PM_Markers">
    <vt:lpwstr/>
  </property>
  <property fmtid="{D5CDD505-2E9C-101B-9397-08002B2CF9AE}" pid="31" name="PM_Display">
    <vt:lpwstr>OFFICIAL</vt:lpwstr>
  </property>
  <property fmtid="{D5CDD505-2E9C-101B-9397-08002B2CF9AE}" pid="32" name="PM_Hash_Version">
    <vt:lpwstr>2018.0</vt:lpwstr>
  </property>
  <property fmtid="{D5CDD505-2E9C-101B-9397-08002B2CF9AE}" pid="33" name="PM_Hash_Salt_Prev">
    <vt:lpwstr>357B7811FEFB4898B0EFEA60BDB9590F</vt:lpwstr>
  </property>
  <property fmtid="{D5CDD505-2E9C-101B-9397-08002B2CF9AE}" pid="34" name="PM_Hash_Salt">
    <vt:lpwstr>EF1392C12F0DE151549FD0579C1C291E</vt:lpwstr>
  </property>
  <property fmtid="{D5CDD505-2E9C-101B-9397-08002B2CF9AE}" pid="35" name="PM_Hash_SHA1">
    <vt:lpwstr>18A935CAA4CA856528EA8E5E40AAD687DAEB29D7</vt:lpwstr>
  </property>
  <property fmtid="{D5CDD505-2E9C-101B-9397-08002B2CF9AE}" pid="36" name="PM_OriginatorUserAccountName_SHA256">
    <vt:lpwstr>31DF479F6D233B2CF8ED1875FC0DFC3DED126C1667D051D252A734D12515BCD7</vt:lpwstr>
  </property>
  <property fmtid="{D5CDD505-2E9C-101B-9397-08002B2CF9AE}" pid="37" name="PM_OriginatorDomainName_SHA256">
    <vt:lpwstr>E83A2A66C4061446A7E3732E8D44762184B6B377D962B96C83DC624302585857</vt:lpwstr>
  </property>
  <property fmtid="{D5CDD505-2E9C-101B-9397-08002B2CF9AE}" pid="38" name="PM_MinimumSecurityClassification">
    <vt:lpwstr/>
  </property>
  <property fmtid="{D5CDD505-2E9C-101B-9397-08002B2CF9AE}" pid="39" name="PM_Qualifier_Prev">
    <vt:lpwstr/>
  </property>
  <property fmtid="{D5CDD505-2E9C-101B-9397-08002B2CF9AE}" pid="40" name="PM_SecurityClassification_Prev">
    <vt:lpwstr>OFFICIAL</vt:lpwstr>
  </property>
</Properties>
</file>