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628AA" w14:textId="77777777" w:rsidR="00827017" w:rsidRDefault="00827017" w:rsidP="00827017">
      <w:pPr>
        <w:rPr>
          <w:b/>
          <w:color w:val="FEFFFF" w:themeColor="background1"/>
          <w:sz w:val="48"/>
          <w:szCs w:val="48"/>
        </w:rPr>
      </w:pPr>
      <w:r>
        <w:rPr>
          <w:noProof/>
        </w:rPr>
        <mc:AlternateContent>
          <mc:Choice Requires="wps">
            <w:drawing>
              <wp:inline distT="0" distB="0" distL="0" distR="0" wp14:anchorId="01A25CB2" wp14:editId="07A1FB73">
                <wp:extent cx="5760000" cy="7683592"/>
                <wp:effectExtent l="0" t="0" r="12700" b="12700"/>
                <wp:docPr id="1362889958" name="Text Box 1362889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683592"/>
                        </a:xfrm>
                        <a:prstGeom prst="rect">
                          <a:avLst/>
                        </a:prstGeom>
                        <a:solidFill>
                          <a:schemeClr val="bg2"/>
                        </a:solidFill>
                        <a:ln w="9525" cap="rnd">
                          <a:solidFill>
                            <a:srgbClr val="000000"/>
                          </a:solidFill>
                          <a:round/>
                          <a:headEnd/>
                          <a:tailEnd/>
                        </a:ln>
                        <a:effectLst>
                          <a:softEdge rad="31750"/>
                        </a:effectLst>
                      </wps:spPr>
                      <wps:txbx>
                        <w:txbxContent>
                          <w:p w14:paraId="4AE36921" w14:textId="153ABBCA" w:rsidR="009C7771" w:rsidRPr="005E5772" w:rsidRDefault="009C7771" w:rsidP="00CA1C1C">
                            <w:pPr>
                              <w:pStyle w:val="Heading1"/>
                              <w:spacing w:before="960" w:line="480" w:lineRule="auto"/>
                            </w:pPr>
                            <w:r w:rsidRPr="00A021EF">
                              <w:t>National Disability Insurance Scheme</w:t>
                            </w:r>
                          </w:p>
                          <w:p w14:paraId="20E43D4F" w14:textId="39A51C32" w:rsidR="00186F9C" w:rsidRPr="00F8712E" w:rsidRDefault="009C7771" w:rsidP="0013079B">
                            <w:pPr>
                              <w:pStyle w:val="Heading1"/>
                            </w:pPr>
                            <w:bookmarkStart w:id="0" w:name="_Hlk136250397"/>
                            <w:r w:rsidRPr="00F8712E">
                              <w:t>202</w:t>
                            </w:r>
                            <w:r w:rsidR="00713040" w:rsidRPr="00F8712E">
                              <w:t>2</w:t>
                            </w:r>
                            <w:r w:rsidRPr="00F8712E">
                              <w:t>-2</w:t>
                            </w:r>
                            <w:r w:rsidR="00713040" w:rsidRPr="00F8712E">
                              <w:t>3</w:t>
                            </w:r>
                          </w:p>
                          <w:p w14:paraId="7EF1C324" w14:textId="77777777" w:rsidR="00A021EF" w:rsidRPr="00F8712E" w:rsidRDefault="009C7771" w:rsidP="0013079B">
                            <w:pPr>
                              <w:pStyle w:val="Heading1"/>
                            </w:pPr>
                            <w:r w:rsidRPr="00F8712E">
                              <w:t xml:space="preserve">Annual Pricing Review </w:t>
                            </w:r>
                          </w:p>
                          <w:p w14:paraId="7807C7A5" w14:textId="3FDE2597" w:rsidR="009C7771" w:rsidRPr="00F8712E" w:rsidRDefault="00A021EF" w:rsidP="0013079B">
                            <w:pPr>
                              <w:pStyle w:val="Heading1"/>
                            </w:pPr>
                            <w:r w:rsidRPr="00F8712E">
                              <w:t>Report</w:t>
                            </w:r>
                          </w:p>
                          <w:bookmarkEnd w:id="0"/>
                          <w:p w14:paraId="06B6CAC6" w14:textId="02AA36C4" w:rsidR="009C7771" w:rsidRPr="00A021EF" w:rsidRDefault="006C74C3" w:rsidP="00827017">
                            <w:pPr>
                              <w:spacing w:before="3000"/>
                              <w:jc w:val="center"/>
                              <w:rPr>
                                <w:b/>
                                <w:color w:val="FEFFFF" w:themeColor="background1"/>
                                <w:sz w:val="48"/>
                                <w:szCs w:val="48"/>
                              </w:rPr>
                            </w:pPr>
                            <w:r w:rsidRPr="00A021EF">
                              <w:rPr>
                                <w:b/>
                                <w:color w:val="FEFFFF" w:themeColor="background1"/>
                                <w:sz w:val="48"/>
                                <w:szCs w:val="48"/>
                              </w:rPr>
                              <w:t>June</w:t>
                            </w:r>
                            <w:r w:rsidR="009C7771" w:rsidRPr="00A021EF">
                              <w:rPr>
                                <w:b/>
                                <w:color w:val="FEFFFF" w:themeColor="background1"/>
                                <w:sz w:val="48"/>
                                <w:szCs w:val="48"/>
                              </w:rPr>
                              <w:t xml:space="preserve"> 202</w:t>
                            </w:r>
                            <w:r w:rsidR="00713040" w:rsidRPr="00A021EF">
                              <w:rPr>
                                <w:b/>
                                <w:color w:val="FEFFFF" w:themeColor="background1"/>
                                <w:sz w:val="48"/>
                                <w:szCs w:val="48"/>
                              </w:rPr>
                              <w:t>3</w:t>
                            </w:r>
                          </w:p>
                        </w:txbxContent>
                      </wps:txbx>
                      <wps:bodyPr rot="0" vert="horz" wrap="square" lIns="91440" tIns="45720" rIns="91440" bIns="45720" anchor="t" anchorCtr="0">
                        <a:noAutofit/>
                      </wps:bodyPr>
                    </wps:wsp>
                  </a:graphicData>
                </a:graphic>
              </wp:inline>
            </w:drawing>
          </mc:Choice>
          <mc:Fallback>
            <w:pict>
              <v:shapetype w14:anchorId="01A25CB2" id="_x0000_t202" coordsize="21600,21600" o:spt="202" path="m,l,21600r21600,l21600,xe">
                <v:stroke joinstyle="miter"/>
                <v:path gradientshapeok="t" o:connecttype="rect"/>
              </v:shapetype>
              <v:shape id="Text Box 1362889958" o:spid="_x0000_s1026" type="#_x0000_t202" style="width:453.5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HULgIAAFAEAAAOAAAAZHJzL2Uyb0RvYy54bWysVNtu2zAMfR+wfxD0vjhJc2mMOEWXtsOA&#10;7gJ0+wBZki+YLHqUEjv7+lFykibb2zA/CKQpHx4ekl7f9Y1he42uBpvxyWjMmbYSVG3LjH//9vTu&#10;ljPnhVXCgNUZP2jH7zZv36y7NtVTqMAojYxArEu7NuOV922aJE5WuhFuBK22FCwAG+HJxTJRKDpC&#10;b0wyHY8XSQeoWgSpnaO3D0OQbyJ+UWjpvxSF056ZjBM3H0+MZx7OZLMWaYmirWp5pCH+gUUjaktJ&#10;z1APwgu2w/ovqKaWCA4KP5LQJFAUtdSxBqpmMv6jmpdKtDrWQuK49iyT+3+w8vP+pf2KzPfvoacG&#10;xiJc+wzyh2MWtpWwpb5HhK7SQlHiSZAs6VqXHj8NUrvUBZC8+wSKmix2HiJQX2ATVKE6GaFTAw5n&#10;0XXvmaSX8+ViTA9nkmLLxe3NfDWNOUR6+rxF5z9oaFgwMo7U1Qgv9s/OBzoiPV0J2RyYWj3VxkQn&#10;TJLeGmR7QTOQlyfwq1vGsi7jq/l0TjwEzSFaNUhxhYVlfkYKpIn2kP4KDGFnVRysoNnj0faiNoNN&#10;dI0N3HQcUKphYF34R1VqhkJl/GaynJ/AL65F4YPWg+q+z3tKFBqQgzpQCxCGEaeVJKMC/MVZR+Od&#10;cfdzJ1BzZj5aauNqMpuFfYjObL6ckoOXkfwyIqwkqIx7zgZz6+MOBd4W7qndRR0b8crkOCQ0trE/&#10;xxULe3Hpx1uvP4LNbwAAAP//AwBQSwMEFAAGAAgAAAAhAIn8cWXdAAAABgEAAA8AAABkcnMvZG93&#10;bnJldi54bWxMj0FLw0AQhe+C/2EZwZvdTQ+pidkULfQiiFgD4m2anSah2dmQ3abpv3f1Yi8Phvd4&#10;75tiPdteTDT6zrGGZKFAENfOdNxoqD63D48gfEA22DsmDRfysC5vbwrMjTvzB0270IhYwj5HDW0I&#10;Qy6lr1uy6BduII7ewY0WQzzHRpoRz7Hc9nKpVCotdhwXWhxo01J93J2shu5tev/+es2yYXV52eK0&#10;wSqtUq3v7+bnJxCB5vAfhl/8iA5lZNq7Exsveg3xkfCn0cvUKgGxj6FlohTIspDX+OUPAAAA//8D&#10;AFBLAQItABQABgAIAAAAIQC2gziS/gAAAOEBAAATAAAAAAAAAAAAAAAAAAAAAABbQ29udGVudF9U&#10;eXBlc10ueG1sUEsBAi0AFAAGAAgAAAAhADj9If/WAAAAlAEAAAsAAAAAAAAAAAAAAAAALwEAAF9y&#10;ZWxzLy5yZWxzUEsBAi0AFAAGAAgAAAAhAGJZ4dQuAgAAUAQAAA4AAAAAAAAAAAAAAAAALgIAAGRy&#10;cy9lMm9Eb2MueG1sUEsBAi0AFAAGAAgAAAAhAIn8cWXdAAAABgEAAA8AAAAAAAAAAAAAAAAAiAQA&#10;AGRycy9kb3ducmV2LnhtbFBLBQYAAAAABAAEAPMAAACSBQAAAAA=&#10;" fillcolor="#6b2976 [3214]">
                <v:stroke joinstyle="round" endcap="round"/>
                <v:textbox>
                  <w:txbxContent>
                    <w:p w14:paraId="4AE36921" w14:textId="153ABBCA" w:rsidR="009C7771" w:rsidRPr="005E5772" w:rsidRDefault="009C7771" w:rsidP="00CA1C1C">
                      <w:pPr>
                        <w:pStyle w:val="Heading1"/>
                        <w:spacing w:before="960" w:line="480" w:lineRule="auto"/>
                      </w:pPr>
                      <w:r w:rsidRPr="00A021EF">
                        <w:t>National Disability Insurance Scheme</w:t>
                      </w:r>
                    </w:p>
                    <w:p w14:paraId="20E43D4F" w14:textId="39A51C32" w:rsidR="00186F9C" w:rsidRPr="00F8712E" w:rsidRDefault="009C7771" w:rsidP="0013079B">
                      <w:pPr>
                        <w:pStyle w:val="Heading1"/>
                      </w:pPr>
                      <w:bookmarkStart w:id="1" w:name="_Hlk136250397"/>
                      <w:r w:rsidRPr="00F8712E">
                        <w:t>202</w:t>
                      </w:r>
                      <w:r w:rsidR="00713040" w:rsidRPr="00F8712E">
                        <w:t>2</w:t>
                      </w:r>
                      <w:r w:rsidRPr="00F8712E">
                        <w:t>-2</w:t>
                      </w:r>
                      <w:r w:rsidR="00713040" w:rsidRPr="00F8712E">
                        <w:t>3</w:t>
                      </w:r>
                    </w:p>
                    <w:p w14:paraId="7EF1C324" w14:textId="77777777" w:rsidR="00A021EF" w:rsidRPr="00F8712E" w:rsidRDefault="009C7771" w:rsidP="0013079B">
                      <w:pPr>
                        <w:pStyle w:val="Heading1"/>
                      </w:pPr>
                      <w:r w:rsidRPr="00F8712E">
                        <w:t xml:space="preserve">Annual Pricing Review </w:t>
                      </w:r>
                    </w:p>
                    <w:p w14:paraId="7807C7A5" w14:textId="3FDE2597" w:rsidR="009C7771" w:rsidRPr="00F8712E" w:rsidRDefault="00A021EF" w:rsidP="0013079B">
                      <w:pPr>
                        <w:pStyle w:val="Heading1"/>
                      </w:pPr>
                      <w:r w:rsidRPr="00F8712E">
                        <w:t>Report</w:t>
                      </w:r>
                    </w:p>
                    <w:bookmarkEnd w:id="1"/>
                    <w:p w14:paraId="06B6CAC6" w14:textId="02AA36C4" w:rsidR="009C7771" w:rsidRPr="00A021EF" w:rsidRDefault="006C74C3" w:rsidP="00827017">
                      <w:pPr>
                        <w:spacing w:before="3000"/>
                        <w:jc w:val="center"/>
                        <w:rPr>
                          <w:b/>
                          <w:color w:val="FEFFFF" w:themeColor="background1"/>
                          <w:sz w:val="48"/>
                          <w:szCs w:val="48"/>
                        </w:rPr>
                      </w:pPr>
                      <w:r w:rsidRPr="00A021EF">
                        <w:rPr>
                          <w:b/>
                          <w:color w:val="FEFFFF" w:themeColor="background1"/>
                          <w:sz w:val="48"/>
                          <w:szCs w:val="48"/>
                        </w:rPr>
                        <w:t>June</w:t>
                      </w:r>
                      <w:r w:rsidR="009C7771" w:rsidRPr="00A021EF">
                        <w:rPr>
                          <w:b/>
                          <w:color w:val="FEFFFF" w:themeColor="background1"/>
                          <w:sz w:val="48"/>
                          <w:szCs w:val="48"/>
                        </w:rPr>
                        <w:t xml:space="preserve"> 202</w:t>
                      </w:r>
                      <w:r w:rsidR="00713040" w:rsidRPr="00A021EF">
                        <w:rPr>
                          <w:b/>
                          <w:color w:val="FEFFFF" w:themeColor="background1"/>
                          <w:sz w:val="48"/>
                          <w:szCs w:val="48"/>
                        </w:rPr>
                        <w:t>3</w:t>
                      </w:r>
                    </w:p>
                  </w:txbxContent>
                </v:textbox>
                <w10:anchorlock/>
              </v:shape>
            </w:pict>
          </mc:Fallback>
        </mc:AlternateContent>
      </w:r>
    </w:p>
    <w:p w14:paraId="5FAFFFD3" w14:textId="27E946AB" w:rsidR="00833B9B" w:rsidRPr="00833B9B" w:rsidRDefault="00833B9B" w:rsidP="00833B9B">
      <w:pPr>
        <w:sectPr w:rsidR="00833B9B" w:rsidRPr="00833B9B" w:rsidSect="00872AF9">
          <w:headerReference w:type="default" r:id="rId11"/>
          <w:footerReference w:type="default" r:id="rId12"/>
          <w:footerReference w:type="first" r:id="rId13"/>
          <w:pgSz w:w="11907" w:h="16839" w:code="9"/>
          <w:pgMar w:top="1440" w:right="1440" w:bottom="1440" w:left="1440" w:header="709" w:footer="709" w:gutter="0"/>
          <w:cols w:space="708"/>
          <w:titlePg/>
          <w:docGrid w:linePitch="360"/>
        </w:sectPr>
      </w:pPr>
    </w:p>
    <w:p w14:paraId="094D371A" w14:textId="19A219A3" w:rsidR="00FF32D4" w:rsidRPr="00AE2081" w:rsidRDefault="00FF32D4" w:rsidP="00911CC2">
      <w:pPr>
        <w:rPr>
          <w:b/>
          <w:szCs w:val="22"/>
        </w:rPr>
      </w:pPr>
      <w:r w:rsidRPr="00AE2081">
        <w:rPr>
          <w:b/>
          <w:szCs w:val="22"/>
        </w:rPr>
        <w:lastRenderedPageBreak/>
        <w:t>Acknowledgement</w:t>
      </w:r>
    </w:p>
    <w:p w14:paraId="6EFF5FA6" w14:textId="08198910" w:rsidR="009D487B" w:rsidRPr="00AE2081" w:rsidRDefault="00E002A5" w:rsidP="001D0D5A">
      <w:pPr>
        <w:spacing w:after="180"/>
        <w:rPr>
          <w:szCs w:val="22"/>
        </w:rPr>
      </w:pPr>
      <w:r w:rsidRPr="00AE2081">
        <w:rPr>
          <w:szCs w:val="22"/>
        </w:rPr>
        <w:t xml:space="preserve">The NDIA acknowledges and pays respect to the past, present and future Traditional Custodians and Elders of this nation and the continuation of cultural, </w:t>
      </w:r>
      <w:proofErr w:type="gramStart"/>
      <w:r w:rsidRPr="00AE2081">
        <w:rPr>
          <w:szCs w:val="22"/>
        </w:rPr>
        <w:t>spiritual</w:t>
      </w:r>
      <w:proofErr w:type="gramEnd"/>
      <w:r w:rsidRPr="00AE2081">
        <w:rPr>
          <w:szCs w:val="22"/>
        </w:rPr>
        <w:t xml:space="preserve"> and educational practices of Aboriginal and Torres Strait Islander </w:t>
      </w:r>
      <w:r w:rsidR="00EE1437" w:rsidRPr="00AE2081">
        <w:rPr>
          <w:szCs w:val="22"/>
        </w:rPr>
        <w:t>peoples</w:t>
      </w:r>
      <w:r w:rsidRPr="00AE2081">
        <w:rPr>
          <w:szCs w:val="22"/>
        </w:rPr>
        <w:t>.</w:t>
      </w:r>
    </w:p>
    <w:p w14:paraId="0785A7D9" w14:textId="77777777" w:rsidR="002359EB" w:rsidRPr="00AE2081" w:rsidRDefault="002359EB" w:rsidP="002359EB">
      <w:pPr>
        <w:spacing w:after="180"/>
        <w:rPr>
          <w:b/>
          <w:bCs/>
          <w:szCs w:val="22"/>
        </w:rPr>
      </w:pPr>
      <w:r w:rsidRPr="00AE2081">
        <w:rPr>
          <w:b/>
          <w:bCs/>
          <w:szCs w:val="22"/>
        </w:rPr>
        <w:t>Copyright and use of the material in this document</w:t>
      </w:r>
    </w:p>
    <w:p w14:paraId="3B35A8A1" w14:textId="4E075CE7" w:rsidR="002359EB" w:rsidRPr="00AE2081" w:rsidRDefault="6F6B8AAA" w:rsidP="24862EB2">
      <w:pPr>
        <w:spacing w:after="180"/>
        <w:rPr>
          <w:rFonts w:cs="FS Me Pro"/>
          <w:color w:val="000000"/>
          <w:szCs w:val="22"/>
        </w:rPr>
      </w:pPr>
      <w:r w:rsidRPr="00AE2081">
        <w:rPr>
          <w:rFonts w:cs="FS Me Pro"/>
          <w:color w:val="000000"/>
          <w:szCs w:val="22"/>
        </w:rPr>
        <w:t xml:space="preserve">Copyright </w:t>
      </w:r>
      <w:r w:rsidR="009F3E58" w:rsidRPr="00AE2081">
        <w:rPr>
          <w:rFonts w:cs="FS Me Pro"/>
          <w:color w:val="000000"/>
          <w:szCs w:val="22"/>
        </w:rPr>
        <w:t>of</w:t>
      </w:r>
      <w:r w:rsidRPr="00AE2081">
        <w:rPr>
          <w:rFonts w:cs="FS Me Pro"/>
          <w:color w:val="000000"/>
          <w:szCs w:val="22"/>
        </w:rPr>
        <w:t xml:space="preserve"> the material in this document, </w:t>
      </w:r>
      <w:bookmarkStart w:id="1" w:name="_Int_JSo5Vd0G"/>
      <w:proofErr w:type="gramStart"/>
      <w:r w:rsidRPr="00AE2081">
        <w:rPr>
          <w:rFonts w:cs="FS Me Pro"/>
          <w:color w:val="000000"/>
          <w:szCs w:val="22"/>
        </w:rPr>
        <w:t>with the exception of</w:t>
      </w:r>
      <w:bookmarkEnd w:id="1"/>
      <w:proofErr w:type="gramEnd"/>
      <w:r w:rsidRPr="00AE2081">
        <w:rPr>
          <w:rFonts w:cs="FS Me Pro"/>
          <w:color w:val="000000"/>
          <w:szCs w:val="22"/>
        </w:rPr>
        <w:t xml:space="preserve"> third</w:t>
      </w:r>
      <w:r w:rsidR="45B04839" w:rsidRPr="00AE2081">
        <w:rPr>
          <w:rFonts w:cs="FS Me Pro"/>
          <w:color w:val="000000"/>
          <w:szCs w:val="22"/>
        </w:rPr>
        <w:t>-</w:t>
      </w:r>
      <w:r w:rsidRPr="00AE2081">
        <w:rPr>
          <w:rFonts w:cs="FS Me Pro"/>
          <w:color w:val="000000"/>
          <w:szCs w:val="22"/>
        </w:rPr>
        <w:t>party material, is owned and protected by the National Disability Insurance Agency.</w:t>
      </w:r>
    </w:p>
    <w:p w14:paraId="3D388DB2" w14:textId="5C36B835" w:rsidR="00C02247" w:rsidRPr="00AE2081" w:rsidRDefault="44B8C72A" w:rsidP="00C02247">
      <w:pPr>
        <w:spacing w:after="180"/>
        <w:rPr>
          <w:szCs w:val="22"/>
        </w:rPr>
      </w:pPr>
      <w:r w:rsidRPr="00AE2081">
        <w:rPr>
          <w:szCs w:val="22"/>
        </w:rPr>
        <w:t xml:space="preserve">The material in this document, </w:t>
      </w:r>
      <w:bookmarkStart w:id="2" w:name="_Int_RGLslWkX"/>
      <w:proofErr w:type="gramStart"/>
      <w:r w:rsidRPr="00AE2081">
        <w:rPr>
          <w:szCs w:val="22"/>
        </w:rPr>
        <w:t>with the exception of</w:t>
      </w:r>
      <w:bookmarkEnd w:id="2"/>
      <w:proofErr w:type="gramEnd"/>
      <w:r w:rsidRPr="00AE2081">
        <w:rPr>
          <w:szCs w:val="22"/>
        </w:rPr>
        <w:t xml:space="preserve"> logos, trademarks, third party material and other content as specified is licensed under Creative Commons Attribution Non-Commercial No Derivatives (CC BY NC </w:t>
      </w:r>
      <w:bookmarkStart w:id="3" w:name="_Int_uzjRrE6T"/>
      <w:r w:rsidRPr="00AE2081">
        <w:rPr>
          <w:szCs w:val="22"/>
        </w:rPr>
        <w:t>ND</w:t>
      </w:r>
      <w:bookmarkEnd w:id="3"/>
      <w:r w:rsidRPr="00AE2081">
        <w:rPr>
          <w:szCs w:val="22"/>
        </w:rPr>
        <w:t xml:space="preserve">) licence, version 4.0 International. You may share, </w:t>
      </w:r>
      <w:proofErr w:type="gramStart"/>
      <w:r w:rsidRPr="00AE2081">
        <w:rPr>
          <w:szCs w:val="22"/>
        </w:rPr>
        <w:t>copy</w:t>
      </w:r>
      <w:proofErr w:type="gramEnd"/>
      <w:r w:rsidRPr="00AE2081">
        <w:rPr>
          <w:szCs w:val="22"/>
        </w:rPr>
        <w:t xml:space="preserve"> and redistribute the document in any format. You must acknowledge the National Disability Insurance Agency as the owner of all intellectual property rights in the reproduced material by using ‘© National Disability Insurance Agency</w:t>
      </w:r>
      <w:r w:rsidR="19F60446" w:rsidRPr="00AE2081">
        <w:rPr>
          <w:szCs w:val="22"/>
        </w:rPr>
        <w:t xml:space="preserve"> 2023</w:t>
      </w:r>
      <w:r w:rsidRPr="00AE2081">
        <w:rPr>
          <w:szCs w:val="22"/>
        </w:rPr>
        <w:t>’ and you must not use the material for commercial purposes.</w:t>
      </w:r>
    </w:p>
    <w:p w14:paraId="3DA0CB0B" w14:textId="77777777" w:rsidR="00C02247" w:rsidRPr="00AE2081" w:rsidRDefault="00C02247" w:rsidP="00C02247">
      <w:pPr>
        <w:spacing w:after="180"/>
        <w:rPr>
          <w:szCs w:val="22"/>
        </w:rPr>
      </w:pPr>
      <w:r w:rsidRPr="00AE2081">
        <w:rPr>
          <w:szCs w:val="22"/>
        </w:rPr>
        <w:t>Reproduction of any material contained in this document is subject to the CC BY NC ND licence conditions available on the Creative Commons Australia site, as is the full legal code for this material.</w:t>
      </w:r>
    </w:p>
    <w:p w14:paraId="76804B89" w14:textId="5C9A359E" w:rsidR="00C02247" w:rsidRPr="00AE2081" w:rsidRDefault="00C02247" w:rsidP="00C02247">
      <w:pPr>
        <w:spacing w:after="180"/>
        <w:rPr>
          <w:szCs w:val="22"/>
        </w:rPr>
      </w:pPr>
      <w:r w:rsidRPr="00AE2081">
        <w:rPr>
          <w:szCs w:val="22"/>
        </w:rPr>
        <w:t>The National Disability Insurance Agency expects that you will only use the information in this document to benefit people with disability.</w:t>
      </w:r>
    </w:p>
    <w:p w14:paraId="61638A69" w14:textId="7BD7EB35" w:rsidR="00DE209F" w:rsidRPr="00AE2081" w:rsidRDefault="00911CC2" w:rsidP="00911CC2">
      <w:pPr>
        <w:rPr>
          <w:b/>
          <w:szCs w:val="22"/>
        </w:rPr>
      </w:pPr>
      <w:r w:rsidRPr="00AE2081">
        <w:rPr>
          <w:b/>
          <w:szCs w:val="22"/>
        </w:rPr>
        <w:t>Terms that we use</w:t>
      </w:r>
    </w:p>
    <w:tbl>
      <w:tblPr>
        <w:tblStyle w:val="GridTable1Light"/>
        <w:tblW w:w="9052" w:type="dxa"/>
        <w:tblLook w:val="0620" w:firstRow="1"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1546"/>
        <w:gridCol w:w="7506"/>
      </w:tblGrid>
      <w:tr w:rsidR="00DE209F" w:rsidRPr="00AE2081" w14:paraId="0CD7C7AE" w14:textId="77777777" w:rsidTr="00C940DE">
        <w:trPr>
          <w:cnfStyle w:val="100000000000" w:firstRow="1" w:lastRow="0" w:firstColumn="0" w:lastColumn="0" w:oddVBand="0" w:evenVBand="0" w:oddHBand="0" w:evenHBand="0" w:firstRowFirstColumn="0" w:firstRowLastColumn="0" w:lastRowFirstColumn="0" w:lastRowLastColumn="0"/>
          <w:trHeight w:val="300"/>
          <w:tblHeader/>
        </w:trPr>
        <w:tc>
          <w:tcPr>
            <w:tcW w:w="0" w:type="dxa"/>
          </w:tcPr>
          <w:p w14:paraId="39291A04" w14:textId="23BFE52F" w:rsidR="00DE209F" w:rsidRPr="00AE2081" w:rsidRDefault="00DE209F" w:rsidP="001B1D0F">
            <w:pPr>
              <w:rPr>
                <w:szCs w:val="22"/>
              </w:rPr>
            </w:pPr>
            <w:r w:rsidRPr="00AE2081">
              <w:rPr>
                <w:szCs w:val="22"/>
              </w:rPr>
              <w:t>Acronym</w:t>
            </w:r>
          </w:p>
        </w:tc>
        <w:tc>
          <w:tcPr>
            <w:tcW w:w="6930" w:type="dxa"/>
          </w:tcPr>
          <w:p w14:paraId="78D7E0CB" w14:textId="4F575D9B" w:rsidR="00DE209F" w:rsidRPr="00AE2081" w:rsidRDefault="00DE209F" w:rsidP="001B1D0F">
            <w:pPr>
              <w:rPr>
                <w:szCs w:val="22"/>
              </w:rPr>
            </w:pPr>
            <w:r w:rsidRPr="00AE2081">
              <w:rPr>
                <w:szCs w:val="22"/>
              </w:rPr>
              <w:t>Meaning</w:t>
            </w:r>
          </w:p>
        </w:tc>
      </w:tr>
      <w:tr w:rsidR="000E510A" w:rsidRPr="00AE2081" w14:paraId="6789D28F" w14:textId="77777777" w:rsidTr="00C940DE">
        <w:trPr>
          <w:trHeight w:val="300"/>
        </w:trPr>
        <w:tc>
          <w:tcPr>
            <w:tcW w:w="0" w:type="dxa"/>
          </w:tcPr>
          <w:p w14:paraId="21E89BE2" w14:textId="5B013E5C" w:rsidR="000E510A" w:rsidRPr="00AE2081" w:rsidRDefault="6D716BB6" w:rsidP="001B1D0F">
            <w:pPr>
              <w:rPr>
                <w:szCs w:val="22"/>
              </w:rPr>
            </w:pPr>
            <w:bookmarkStart w:id="4" w:name="_Int_AXgPEe0J"/>
            <w:bookmarkStart w:id="5" w:name="_Hlk129260633"/>
            <w:r w:rsidRPr="00AE2081">
              <w:rPr>
                <w:szCs w:val="22"/>
              </w:rPr>
              <w:t>ABS</w:t>
            </w:r>
            <w:bookmarkEnd w:id="4"/>
          </w:p>
        </w:tc>
        <w:tc>
          <w:tcPr>
            <w:tcW w:w="6930" w:type="dxa"/>
          </w:tcPr>
          <w:p w14:paraId="73B0FA93" w14:textId="2204E9D5" w:rsidR="000E510A" w:rsidRPr="00AE2081" w:rsidRDefault="000E510A" w:rsidP="001B1D0F">
            <w:pPr>
              <w:rPr>
                <w:szCs w:val="22"/>
              </w:rPr>
            </w:pPr>
            <w:r w:rsidRPr="00AE2081">
              <w:rPr>
                <w:szCs w:val="22"/>
              </w:rPr>
              <w:t>Australian Bureau of Statistics</w:t>
            </w:r>
          </w:p>
        </w:tc>
      </w:tr>
      <w:tr w:rsidR="000E510A" w:rsidRPr="00AE2081" w14:paraId="64E18A75" w14:textId="77777777" w:rsidTr="00C940DE">
        <w:trPr>
          <w:trHeight w:val="300"/>
        </w:trPr>
        <w:tc>
          <w:tcPr>
            <w:tcW w:w="0" w:type="dxa"/>
          </w:tcPr>
          <w:p w14:paraId="2D5FAD37" w14:textId="3739A061" w:rsidR="000E510A" w:rsidRPr="00AE2081" w:rsidRDefault="000E510A" w:rsidP="001B1D0F">
            <w:pPr>
              <w:rPr>
                <w:szCs w:val="22"/>
              </w:rPr>
            </w:pPr>
            <w:r w:rsidRPr="00AE2081">
              <w:rPr>
                <w:szCs w:val="22"/>
              </w:rPr>
              <w:t>APR</w:t>
            </w:r>
          </w:p>
        </w:tc>
        <w:tc>
          <w:tcPr>
            <w:tcW w:w="6930" w:type="dxa"/>
          </w:tcPr>
          <w:p w14:paraId="4A84D4B9" w14:textId="17672C41" w:rsidR="000E510A" w:rsidRPr="00AE2081" w:rsidRDefault="000E510A" w:rsidP="001B1D0F">
            <w:pPr>
              <w:rPr>
                <w:szCs w:val="22"/>
              </w:rPr>
            </w:pPr>
            <w:r w:rsidRPr="00AE2081">
              <w:rPr>
                <w:szCs w:val="22"/>
              </w:rPr>
              <w:t>Annual Pricing Review</w:t>
            </w:r>
          </w:p>
        </w:tc>
      </w:tr>
      <w:tr w:rsidR="000E510A" w:rsidRPr="00AE2081" w14:paraId="7165ECC4" w14:textId="77777777" w:rsidTr="00C940DE">
        <w:trPr>
          <w:trHeight w:val="300"/>
        </w:trPr>
        <w:tc>
          <w:tcPr>
            <w:tcW w:w="0" w:type="dxa"/>
          </w:tcPr>
          <w:p w14:paraId="3B898EC2" w14:textId="21608597" w:rsidR="000E510A" w:rsidRPr="00AE2081" w:rsidRDefault="000E510A" w:rsidP="000E510A">
            <w:pPr>
              <w:rPr>
                <w:szCs w:val="22"/>
              </w:rPr>
            </w:pPr>
            <w:r w:rsidRPr="00AE2081">
              <w:rPr>
                <w:szCs w:val="22"/>
              </w:rPr>
              <w:t>CPI</w:t>
            </w:r>
          </w:p>
        </w:tc>
        <w:tc>
          <w:tcPr>
            <w:tcW w:w="6930" w:type="dxa"/>
          </w:tcPr>
          <w:p w14:paraId="273683AB" w14:textId="0EF1C34E" w:rsidR="000E510A" w:rsidRPr="00AE2081" w:rsidRDefault="000E510A" w:rsidP="000E510A">
            <w:pPr>
              <w:rPr>
                <w:szCs w:val="22"/>
              </w:rPr>
            </w:pPr>
            <w:r w:rsidRPr="00AE2081">
              <w:rPr>
                <w:szCs w:val="22"/>
              </w:rPr>
              <w:t>Consumer Price Index</w:t>
            </w:r>
          </w:p>
        </w:tc>
      </w:tr>
      <w:tr w:rsidR="00452532" w:rsidRPr="00AE2081" w14:paraId="156125B8" w14:textId="77777777" w:rsidTr="00C940DE">
        <w:trPr>
          <w:trHeight w:val="300"/>
        </w:trPr>
        <w:tc>
          <w:tcPr>
            <w:tcW w:w="0" w:type="dxa"/>
          </w:tcPr>
          <w:p w14:paraId="0D92B69C" w14:textId="4DE1C5B9" w:rsidR="00452532" w:rsidRPr="00AE2081" w:rsidRDefault="00452532" w:rsidP="000E510A">
            <w:pPr>
              <w:rPr>
                <w:szCs w:val="22"/>
              </w:rPr>
            </w:pPr>
            <w:r w:rsidRPr="00AE2081">
              <w:rPr>
                <w:szCs w:val="22"/>
              </w:rPr>
              <w:t>DSW</w:t>
            </w:r>
          </w:p>
        </w:tc>
        <w:tc>
          <w:tcPr>
            <w:tcW w:w="6930" w:type="dxa"/>
          </w:tcPr>
          <w:p w14:paraId="507436A5" w14:textId="32046982" w:rsidR="00452532" w:rsidRPr="00AE2081" w:rsidRDefault="00452532" w:rsidP="000E510A">
            <w:pPr>
              <w:rPr>
                <w:szCs w:val="22"/>
              </w:rPr>
            </w:pPr>
            <w:r w:rsidRPr="00AE2081">
              <w:rPr>
                <w:szCs w:val="22"/>
              </w:rPr>
              <w:t>Disability Support Worker</w:t>
            </w:r>
          </w:p>
        </w:tc>
      </w:tr>
      <w:tr w:rsidR="00452532" w:rsidRPr="00AE2081" w14:paraId="5AA848E7" w14:textId="77777777" w:rsidTr="00C940DE">
        <w:trPr>
          <w:trHeight w:val="300"/>
        </w:trPr>
        <w:tc>
          <w:tcPr>
            <w:tcW w:w="0" w:type="dxa"/>
          </w:tcPr>
          <w:p w14:paraId="5C65F5DA" w14:textId="12AC1157" w:rsidR="00452532" w:rsidRPr="00AE2081" w:rsidRDefault="00452532" w:rsidP="000E510A">
            <w:pPr>
              <w:rPr>
                <w:szCs w:val="22"/>
              </w:rPr>
            </w:pPr>
            <w:r w:rsidRPr="00AE2081">
              <w:rPr>
                <w:szCs w:val="22"/>
              </w:rPr>
              <w:t>FWC</w:t>
            </w:r>
          </w:p>
        </w:tc>
        <w:tc>
          <w:tcPr>
            <w:tcW w:w="6930" w:type="dxa"/>
          </w:tcPr>
          <w:p w14:paraId="4E958F53" w14:textId="458B0153" w:rsidR="00452532" w:rsidRPr="00AE2081" w:rsidRDefault="00452532" w:rsidP="000E510A">
            <w:pPr>
              <w:rPr>
                <w:szCs w:val="22"/>
              </w:rPr>
            </w:pPr>
            <w:r w:rsidRPr="00AE2081">
              <w:rPr>
                <w:szCs w:val="22"/>
              </w:rPr>
              <w:t>Fair Work Commission</w:t>
            </w:r>
          </w:p>
        </w:tc>
      </w:tr>
      <w:tr w:rsidR="00911CC2" w:rsidRPr="00AE2081" w14:paraId="361C4200" w14:textId="77777777" w:rsidTr="00C940DE">
        <w:trPr>
          <w:trHeight w:val="300"/>
        </w:trPr>
        <w:tc>
          <w:tcPr>
            <w:tcW w:w="0" w:type="dxa"/>
          </w:tcPr>
          <w:p w14:paraId="31D6D14D" w14:textId="61A83BDE" w:rsidR="00911CC2" w:rsidRPr="00AE2081" w:rsidRDefault="00911CC2" w:rsidP="001B1D0F">
            <w:pPr>
              <w:rPr>
                <w:szCs w:val="22"/>
              </w:rPr>
            </w:pPr>
            <w:r w:rsidRPr="00AE2081">
              <w:rPr>
                <w:szCs w:val="22"/>
              </w:rPr>
              <w:t>NDIA</w:t>
            </w:r>
            <w:r w:rsidR="00E10D77" w:rsidRPr="00AE2081">
              <w:rPr>
                <w:szCs w:val="22"/>
              </w:rPr>
              <w:t xml:space="preserve"> or</w:t>
            </w:r>
            <w:r w:rsidR="00AA53E3" w:rsidRPr="00AE2081">
              <w:rPr>
                <w:szCs w:val="22"/>
              </w:rPr>
              <w:t xml:space="preserve"> Agency</w:t>
            </w:r>
          </w:p>
        </w:tc>
        <w:tc>
          <w:tcPr>
            <w:tcW w:w="6930" w:type="dxa"/>
          </w:tcPr>
          <w:p w14:paraId="1928323E" w14:textId="77777777" w:rsidR="00911CC2" w:rsidRPr="00AE2081" w:rsidRDefault="00911CC2" w:rsidP="001B1D0F">
            <w:pPr>
              <w:rPr>
                <w:szCs w:val="22"/>
              </w:rPr>
            </w:pPr>
            <w:r w:rsidRPr="00AE2081">
              <w:rPr>
                <w:szCs w:val="22"/>
              </w:rPr>
              <w:t>National Disability Insurance Agency</w:t>
            </w:r>
          </w:p>
        </w:tc>
      </w:tr>
      <w:tr w:rsidR="00911CC2" w:rsidRPr="00AE2081" w14:paraId="546AB9F6" w14:textId="77777777" w:rsidTr="00C940DE">
        <w:trPr>
          <w:trHeight w:val="300"/>
        </w:trPr>
        <w:tc>
          <w:tcPr>
            <w:tcW w:w="0" w:type="dxa"/>
          </w:tcPr>
          <w:p w14:paraId="751CCCCB" w14:textId="685008D8" w:rsidR="00911CC2" w:rsidRPr="00AE2081" w:rsidRDefault="5E32F3FE" w:rsidP="001B1D0F">
            <w:pPr>
              <w:rPr>
                <w:szCs w:val="22"/>
              </w:rPr>
            </w:pPr>
            <w:bookmarkStart w:id="6" w:name="_Int_H24VZMt9"/>
            <w:r w:rsidRPr="00AE2081">
              <w:rPr>
                <w:szCs w:val="22"/>
              </w:rPr>
              <w:t>NDIS</w:t>
            </w:r>
            <w:bookmarkEnd w:id="6"/>
            <w:r w:rsidR="4BD0F718" w:rsidRPr="00AE2081">
              <w:rPr>
                <w:szCs w:val="22"/>
              </w:rPr>
              <w:t xml:space="preserve"> or</w:t>
            </w:r>
            <w:r w:rsidRPr="00AE2081">
              <w:rPr>
                <w:szCs w:val="22"/>
              </w:rPr>
              <w:t xml:space="preserve"> Scheme</w:t>
            </w:r>
          </w:p>
        </w:tc>
        <w:tc>
          <w:tcPr>
            <w:tcW w:w="6930" w:type="dxa"/>
          </w:tcPr>
          <w:p w14:paraId="6CE97CEE" w14:textId="77777777" w:rsidR="00911CC2" w:rsidRPr="00AE2081" w:rsidRDefault="00911CC2" w:rsidP="001B1D0F">
            <w:pPr>
              <w:rPr>
                <w:szCs w:val="22"/>
              </w:rPr>
            </w:pPr>
            <w:r w:rsidRPr="00AE2081">
              <w:rPr>
                <w:szCs w:val="22"/>
              </w:rPr>
              <w:t>National Disability Insurance Scheme</w:t>
            </w:r>
          </w:p>
        </w:tc>
      </w:tr>
      <w:tr w:rsidR="00911CC2" w:rsidRPr="00AE2081" w14:paraId="6079CFBB" w14:textId="77777777" w:rsidTr="00C940DE">
        <w:trPr>
          <w:trHeight w:val="300"/>
        </w:trPr>
        <w:tc>
          <w:tcPr>
            <w:tcW w:w="0" w:type="dxa"/>
          </w:tcPr>
          <w:p w14:paraId="1D6CE3D1" w14:textId="77777777" w:rsidR="00911CC2" w:rsidRPr="00AE2081" w:rsidRDefault="00911CC2" w:rsidP="001B1D0F">
            <w:pPr>
              <w:rPr>
                <w:szCs w:val="22"/>
              </w:rPr>
            </w:pPr>
            <w:r w:rsidRPr="00AE2081">
              <w:rPr>
                <w:szCs w:val="22"/>
              </w:rPr>
              <w:t>NDIS Commission</w:t>
            </w:r>
          </w:p>
        </w:tc>
        <w:tc>
          <w:tcPr>
            <w:tcW w:w="6930" w:type="dxa"/>
          </w:tcPr>
          <w:p w14:paraId="756C8D68" w14:textId="77777777" w:rsidR="00911CC2" w:rsidRPr="00AE2081" w:rsidRDefault="00911CC2" w:rsidP="001B1D0F">
            <w:pPr>
              <w:rPr>
                <w:szCs w:val="22"/>
              </w:rPr>
            </w:pPr>
            <w:r w:rsidRPr="00AE2081">
              <w:rPr>
                <w:szCs w:val="22"/>
              </w:rPr>
              <w:t>National Disability Insurance Scheme Quality and Safeguards Commission</w:t>
            </w:r>
          </w:p>
        </w:tc>
      </w:tr>
      <w:tr w:rsidR="000E510A" w:rsidRPr="00AE2081" w14:paraId="0571B6B3" w14:textId="77777777" w:rsidTr="00C940DE">
        <w:trPr>
          <w:trHeight w:val="300"/>
        </w:trPr>
        <w:tc>
          <w:tcPr>
            <w:tcW w:w="0" w:type="dxa"/>
          </w:tcPr>
          <w:p w14:paraId="499BD44A" w14:textId="4EDA2F57" w:rsidR="000E510A" w:rsidRPr="00AE2081" w:rsidRDefault="73097DB0" w:rsidP="000E510A">
            <w:pPr>
              <w:rPr>
                <w:szCs w:val="22"/>
              </w:rPr>
            </w:pPr>
            <w:bookmarkStart w:id="7" w:name="_Int_mvjAA6uo"/>
            <w:r w:rsidRPr="00AE2081">
              <w:rPr>
                <w:szCs w:val="22"/>
              </w:rPr>
              <w:t>SCHADS</w:t>
            </w:r>
            <w:bookmarkEnd w:id="7"/>
            <w:r w:rsidRPr="00AE2081">
              <w:rPr>
                <w:szCs w:val="22"/>
              </w:rPr>
              <w:t xml:space="preserve"> Award</w:t>
            </w:r>
          </w:p>
        </w:tc>
        <w:tc>
          <w:tcPr>
            <w:tcW w:w="6930" w:type="dxa"/>
          </w:tcPr>
          <w:p w14:paraId="7A2C02BB" w14:textId="067D29F9" w:rsidR="000E510A" w:rsidRPr="00AE2081" w:rsidRDefault="35C01128" w:rsidP="19AAF43B">
            <w:pPr>
              <w:rPr>
                <w:i/>
                <w:iCs/>
                <w:szCs w:val="22"/>
              </w:rPr>
            </w:pPr>
            <w:r w:rsidRPr="00AE2081">
              <w:rPr>
                <w:i/>
                <w:iCs/>
                <w:szCs w:val="22"/>
              </w:rPr>
              <w:t xml:space="preserve">Social, Community, Home Care </w:t>
            </w:r>
            <w:r w:rsidR="2F677E96" w:rsidRPr="00AE2081">
              <w:rPr>
                <w:i/>
                <w:iCs/>
                <w:szCs w:val="22"/>
              </w:rPr>
              <w:t>and</w:t>
            </w:r>
            <w:r w:rsidRPr="00AE2081">
              <w:rPr>
                <w:i/>
                <w:iCs/>
                <w:szCs w:val="22"/>
              </w:rPr>
              <w:t xml:space="preserve"> Disability Services Industry Award 2010</w:t>
            </w:r>
          </w:p>
        </w:tc>
      </w:tr>
      <w:tr w:rsidR="000E510A" w:rsidRPr="00AE2081" w14:paraId="3D34F12A" w14:textId="77777777" w:rsidTr="00C940DE">
        <w:trPr>
          <w:trHeight w:val="300"/>
        </w:trPr>
        <w:tc>
          <w:tcPr>
            <w:tcW w:w="0" w:type="dxa"/>
          </w:tcPr>
          <w:p w14:paraId="063883E2" w14:textId="5BEAB3C7" w:rsidR="000E510A" w:rsidRPr="00AE2081" w:rsidRDefault="6D716BB6" w:rsidP="000E510A">
            <w:pPr>
              <w:rPr>
                <w:szCs w:val="22"/>
              </w:rPr>
            </w:pPr>
            <w:bookmarkStart w:id="8" w:name="_Int_Ve6Yvxtc"/>
            <w:r w:rsidRPr="00AE2081">
              <w:rPr>
                <w:szCs w:val="22"/>
              </w:rPr>
              <w:t>SDA</w:t>
            </w:r>
            <w:bookmarkEnd w:id="8"/>
          </w:p>
        </w:tc>
        <w:tc>
          <w:tcPr>
            <w:tcW w:w="6930" w:type="dxa"/>
          </w:tcPr>
          <w:p w14:paraId="41282C36" w14:textId="3F7946AC" w:rsidR="000E510A" w:rsidRPr="00AE2081" w:rsidRDefault="00452532" w:rsidP="000E510A">
            <w:pPr>
              <w:rPr>
                <w:szCs w:val="22"/>
              </w:rPr>
            </w:pPr>
            <w:r w:rsidRPr="00AE2081">
              <w:rPr>
                <w:szCs w:val="22"/>
              </w:rPr>
              <w:t>Specialist Disability Accommodation</w:t>
            </w:r>
          </w:p>
        </w:tc>
      </w:tr>
      <w:tr w:rsidR="000E510A" w:rsidRPr="00AE2081" w14:paraId="2F8CFDDE" w14:textId="77777777" w:rsidTr="00C940DE">
        <w:trPr>
          <w:trHeight w:val="300"/>
        </w:trPr>
        <w:tc>
          <w:tcPr>
            <w:tcW w:w="0" w:type="dxa"/>
          </w:tcPr>
          <w:p w14:paraId="3314BCD0" w14:textId="1C33982E" w:rsidR="000E510A" w:rsidRPr="00AE2081" w:rsidRDefault="000E510A" w:rsidP="000E510A">
            <w:pPr>
              <w:rPr>
                <w:szCs w:val="22"/>
              </w:rPr>
            </w:pPr>
            <w:r w:rsidRPr="00AE2081">
              <w:rPr>
                <w:szCs w:val="22"/>
              </w:rPr>
              <w:t>SIL</w:t>
            </w:r>
          </w:p>
        </w:tc>
        <w:tc>
          <w:tcPr>
            <w:tcW w:w="6930" w:type="dxa"/>
          </w:tcPr>
          <w:p w14:paraId="3D9C4843" w14:textId="09D6EACB" w:rsidR="000E510A" w:rsidRPr="00AE2081" w:rsidRDefault="000E510A" w:rsidP="000E510A">
            <w:pPr>
              <w:rPr>
                <w:szCs w:val="22"/>
              </w:rPr>
            </w:pPr>
            <w:r w:rsidRPr="00AE2081">
              <w:rPr>
                <w:szCs w:val="22"/>
              </w:rPr>
              <w:t>Supported Independent Living</w:t>
            </w:r>
          </w:p>
        </w:tc>
      </w:tr>
      <w:tr w:rsidR="000E510A" w:rsidRPr="00AE2081" w14:paraId="316C91C5" w14:textId="77777777" w:rsidTr="00C940DE">
        <w:trPr>
          <w:trHeight w:val="300"/>
        </w:trPr>
        <w:tc>
          <w:tcPr>
            <w:tcW w:w="0" w:type="dxa"/>
          </w:tcPr>
          <w:p w14:paraId="4EF40B15" w14:textId="7D8DF7AB" w:rsidR="000E510A" w:rsidRPr="00AE2081" w:rsidRDefault="6D716BB6" w:rsidP="000E510A">
            <w:pPr>
              <w:rPr>
                <w:szCs w:val="22"/>
              </w:rPr>
            </w:pPr>
            <w:bookmarkStart w:id="9" w:name="_Int_YIp6U9Aa"/>
            <w:r w:rsidRPr="00AE2081">
              <w:rPr>
                <w:szCs w:val="22"/>
              </w:rPr>
              <w:t>WPI</w:t>
            </w:r>
            <w:bookmarkEnd w:id="9"/>
          </w:p>
        </w:tc>
        <w:tc>
          <w:tcPr>
            <w:tcW w:w="6930" w:type="dxa"/>
          </w:tcPr>
          <w:p w14:paraId="035A11E1" w14:textId="5D176905" w:rsidR="000E510A" w:rsidRPr="00AE2081" w:rsidRDefault="000E510A" w:rsidP="000E510A">
            <w:pPr>
              <w:rPr>
                <w:szCs w:val="22"/>
              </w:rPr>
            </w:pPr>
            <w:r w:rsidRPr="00AE2081">
              <w:rPr>
                <w:szCs w:val="22"/>
              </w:rPr>
              <w:t>Wage Price Index</w:t>
            </w:r>
          </w:p>
        </w:tc>
      </w:tr>
      <w:bookmarkEnd w:id="5"/>
    </w:tbl>
    <w:p w14:paraId="199737D0" w14:textId="77777777" w:rsidR="00D77181" w:rsidRPr="005F20F5" w:rsidRDefault="00D77181" w:rsidP="005C411B">
      <w:pPr>
        <w:spacing w:after="0"/>
        <w:rPr>
          <w:b/>
          <w:color w:val="6B2976" w:themeColor="background2"/>
          <w:sz w:val="36"/>
          <w:szCs w:val="36"/>
        </w:rPr>
        <w:sectPr w:rsidR="00D77181" w:rsidRPr="005F20F5" w:rsidSect="00872AF9">
          <w:headerReference w:type="first" r:id="rId14"/>
          <w:footerReference w:type="first" r:id="rId15"/>
          <w:pgSz w:w="11907" w:h="16839" w:code="9"/>
          <w:pgMar w:top="1440" w:right="1440" w:bottom="1440" w:left="1440" w:header="709" w:footer="709" w:gutter="0"/>
          <w:cols w:space="708"/>
          <w:titlePg/>
          <w:docGrid w:linePitch="360"/>
        </w:sectPr>
      </w:pPr>
    </w:p>
    <w:p w14:paraId="5944F5E9" w14:textId="386979C8" w:rsidR="007219F1" w:rsidRPr="00430B55" w:rsidRDefault="00B13C2B" w:rsidP="00430B55">
      <w:pPr>
        <w:pStyle w:val="Heading2"/>
        <w:numPr>
          <w:ilvl w:val="0"/>
          <w:numId w:val="0"/>
        </w:numPr>
        <w:ind w:left="432" w:hanging="432"/>
      </w:pPr>
      <w:r w:rsidRPr="00430B55">
        <w:lastRenderedPageBreak/>
        <w:t xml:space="preserve">Table of </w:t>
      </w:r>
      <w:r w:rsidR="007219F1" w:rsidRPr="00430B55">
        <w:t>Contents</w:t>
      </w:r>
    </w:p>
    <w:sdt>
      <w:sdtPr>
        <w:rPr>
          <w:rFonts w:ascii="Arial" w:eastAsiaTheme="minorEastAsia" w:hAnsi="Arial" w:cstheme="minorBidi"/>
          <w:color w:val="auto"/>
          <w:sz w:val="22"/>
          <w:szCs w:val="24"/>
          <w:lang w:val="en-AU" w:eastAsia="ja-JP"/>
        </w:rPr>
        <w:id w:val="669683660"/>
        <w:docPartObj>
          <w:docPartGallery w:val="Table of Contents"/>
          <w:docPartUnique/>
        </w:docPartObj>
      </w:sdtPr>
      <w:sdtEndPr>
        <w:rPr>
          <w:b/>
          <w:bCs/>
          <w:noProof/>
        </w:rPr>
      </w:sdtEndPr>
      <w:sdtContent>
        <w:p w14:paraId="26DE8F75" w14:textId="2D7F6A0E" w:rsidR="00173A53" w:rsidRDefault="00173A53" w:rsidP="00F8712E">
          <w:pPr>
            <w:pStyle w:val="TOCHeading"/>
          </w:pPr>
        </w:p>
        <w:p w14:paraId="16B0EE93" w14:textId="7D5F9709" w:rsidR="002F7625" w:rsidRDefault="00173A53" w:rsidP="00D30725">
          <w:pPr>
            <w:pStyle w:val="TOC1"/>
            <w:rPr>
              <w:rFonts w:asciiTheme="minorHAnsi" w:hAnsiTheme="minorHAnsi"/>
              <w:szCs w:val="22"/>
              <w:lang w:eastAsia="en-AU"/>
            </w:rPr>
          </w:pPr>
          <w:r>
            <w:fldChar w:fldCharType="begin"/>
          </w:r>
          <w:r>
            <w:instrText xml:space="preserve"> TOC \o "1-1" \h \z \u </w:instrText>
          </w:r>
          <w:r>
            <w:fldChar w:fldCharType="separate"/>
          </w:r>
          <w:hyperlink w:anchor="_Toc135405219" w:history="1">
            <w:r w:rsidR="002F7625" w:rsidRPr="00EC3DAD">
              <w:rPr>
                <w:rStyle w:val="Hyperlink"/>
              </w:rPr>
              <w:t>1</w:t>
            </w:r>
            <w:r w:rsidR="002F7625">
              <w:rPr>
                <w:rFonts w:asciiTheme="minorHAnsi" w:hAnsiTheme="minorHAnsi"/>
                <w:szCs w:val="22"/>
                <w:lang w:eastAsia="en-AU"/>
              </w:rPr>
              <w:tab/>
            </w:r>
            <w:r w:rsidR="002F7625" w:rsidRPr="00EC3DAD">
              <w:rPr>
                <w:rStyle w:val="Hyperlink"/>
              </w:rPr>
              <w:t>Executive summary</w:t>
            </w:r>
            <w:r w:rsidR="002F7625">
              <w:rPr>
                <w:webHidden/>
              </w:rPr>
              <w:tab/>
            </w:r>
            <w:r w:rsidR="002F7625">
              <w:rPr>
                <w:webHidden/>
              </w:rPr>
              <w:fldChar w:fldCharType="begin"/>
            </w:r>
            <w:r w:rsidR="002F7625">
              <w:rPr>
                <w:webHidden/>
              </w:rPr>
              <w:instrText xml:space="preserve"> PAGEREF _Toc135405219 \h </w:instrText>
            </w:r>
            <w:r w:rsidR="002F7625">
              <w:rPr>
                <w:webHidden/>
              </w:rPr>
            </w:r>
            <w:r w:rsidR="002F7625">
              <w:rPr>
                <w:webHidden/>
              </w:rPr>
              <w:fldChar w:fldCharType="separate"/>
            </w:r>
            <w:r w:rsidR="00D64E4C">
              <w:rPr>
                <w:webHidden/>
              </w:rPr>
              <w:t>4</w:t>
            </w:r>
            <w:r w:rsidR="002F7625">
              <w:rPr>
                <w:webHidden/>
              </w:rPr>
              <w:fldChar w:fldCharType="end"/>
            </w:r>
          </w:hyperlink>
        </w:p>
        <w:p w14:paraId="1CBD4B41" w14:textId="3467C528" w:rsidR="002F7625" w:rsidRDefault="00000000" w:rsidP="00D30725">
          <w:pPr>
            <w:pStyle w:val="TOC1"/>
            <w:rPr>
              <w:rFonts w:asciiTheme="minorHAnsi" w:hAnsiTheme="minorHAnsi"/>
              <w:szCs w:val="22"/>
              <w:lang w:eastAsia="en-AU"/>
            </w:rPr>
          </w:pPr>
          <w:hyperlink w:anchor="_Toc135405220" w:history="1">
            <w:r w:rsidR="002F7625" w:rsidRPr="00EC3DAD">
              <w:rPr>
                <w:rStyle w:val="Hyperlink"/>
              </w:rPr>
              <w:t>2</w:t>
            </w:r>
            <w:r w:rsidR="002F7625">
              <w:rPr>
                <w:rFonts w:asciiTheme="minorHAnsi" w:hAnsiTheme="minorHAnsi"/>
                <w:szCs w:val="22"/>
                <w:lang w:eastAsia="en-AU"/>
              </w:rPr>
              <w:tab/>
            </w:r>
            <w:r w:rsidR="002F7625" w:rsidRPr="00EC3DAD">
              <w:rPr>
                <w:rStyle w:val="Hyperlink"/>
              </w:rPr>
              <w:t>Introduction</w:t>
            </w:r>
            <w:r w:rsidR="002F7625">
              <w:rPr>
                <w:webHidden/>
              </w:rPr>
              <w:tab/>
            </w:r>
            <w:r w:rsidR="002F7625">
              <w:rPr>
                <w:webHidden/>
              </w:rPr>
              <w:fldChar w:fldCharType="begin"/>
            </w:r>
            <w:r w:rsidR="002F7625">
              <w:rPr>
                <w:webHidden/>
              </w:rPr>
              <w:instrText xml:space="preserve"> PAGEREF _Toc135405220 \h </w:instrText>
            </w:r>
            <w:r w:rsidR="002F7625">
              <w:rPr>
                <w:webHidden/>
              </w:rPr>
            </w:r>
            <w:r w:rsidR="002F7625">
              <w:rPr>
                <w:webHidden/>
              </w:rPr>
              <w:fldChar w:fldCharType="separate"/>
            </w:r>
            <w:r w:rsidR="00D64E4C">
              <w:rPr>
                <w:webHidden/>
              </w:rPr>
              <w:t>14</w:t>
            </w:r>
            <w:r w:rsidR="002F7625">
              <w:rPr>
                <w:webHidden/>
              </w:rPr>
              <w:fldChar w:fldCharType="end"/>
            </w:r>
          </w:hyperlink>
        </w:p>
        <w:p w14:paraId="24FCCBE4" w14:textId="5C2BF225" w:rsidR="002F7625" w:rsidRDefault="00000000" w:rsidP="00D30725">
          <w:pPr>
            <w:pStyle w:val="TOC1"/>
            <w:rPr>
              <w:rFonts w:asciiTheme="minorHAnsi" w:hAnsiTheme="minorHAnsi"/>
              <w:szCs w:val="22"/>
              <w:lang w:eastAsia="en-AU"/>
            </w:rPr>
          </w:pPr>
          <w:hyperlink w:anchor="_Toc135405221" w:history="1">
            <w:r w:rsidR="002F7625" w:rsidRPr="00EC3DAD">
              <w:rPr>
                <w:rStyle w:val="Hyperlink"/>
              </w:rPr>
              <w:t>3</w:t>
            </w:r>
            <w:r w:rsidR="002F7625">
              <w:rPr>
                <w:rFonts w:asciiTheme="minorHAnsi" w:hAnsiTheme="minorHAnsi"/>
                <w:szCs w:val="22"/>
                <w:lang w:eastAsia="en-AU"/>
              </w:rPr>
              <w:tab/>
            </w:r>
            <w:r w:rsidR="002F7625" w:rsidRPr="00EC3DAD">
              <w:rPr>
                <w:rStyle w:val="Hyperlink"/>
              </w:rPr>
              <w:t>Domestic economic conditions and the care economy</w:t>
            </w:r>
            <w:r w:rsidR="002F7625">
              <w:rPr>
                <w:webHidden/>
              </w:rPr>
              <w:tab/>
            </w:r>
            <w:r w:rsidR="002F7625">
              <w:rPr>
                <w:webHidden/>
              </w:rPr>
              <w:fldChar w:fldCharType="begin"/>
            </w:r>
            <w:r w:rsidR="002F7625">
              <w:rPr>
                <w:webHidden/>
              </w:rPr>
              <w:instrText xml:space="preserve"> PAGEREF _Toc135405221 \h </w:instrText>
            </w:r>
            <w:r w:rsidR="002F7625">
              <w:rPr>
                <w:webHidden/>
              </w:rPr>
            </w:r>
            <w:r w:rsidR="002F7625">
              <w:rPr>
                <w:webHidden/>
              </w:rPr>
              <w:fldChar w:fldCharType="separate"/>
            </w:r>
            <w:r w:rsidR="00D64E4C">
              <w:rPr>
                <w:webHidden/>
              </w:rPr>
              <w:t>21</w:t>
            </w:r>
            <w:r w:rsidR="002F7625">
              <w:rPr>
                <w:webHidden/>
              </w:rPr>
              <w:fldChar w:fldCharType="end"/>
            </w:r>
          </w:hyperlink>
        </w:p>
        <w:p w14:paraId="1126A40D" w14:textId="0E44DCE9" w:rsidR="002F7625" w:rsidRDefault="00000000" w:rsidP="00D30725">
          <w:pPr>
            <w:pStyle w:val="TOC1"/>
            <w:rPr>
              <w:rFonts w:asciiTheme="minorHAnsi" w:hAnsiTheme="minorHAnsi"/>
              <w:szCs w:val="22"/>
              <w:lang w:eastAsia="en-AU"/>
            </w:rPr>
          </w:pPr>
          <w:hyperlink w:anchor="_Toc135405222" w:history="1">
            <w:r w:rsidR="002F7625" w:rsidRPr="00EC3DAD">
              <w:rPr>
                <w:rStyle w:val="Hyperlink"/>
                <w:rFonts w:eastAsia="Arial" w:cs="Arial"/>
              </w:rPr>
              <w:t>4</w:t>
            </w:r>
            <w:r w:rsidR="002F7625">
              <w:rPr>
                <w:rFonts w:asciiTheme="minorHAnsi" w:hAnsiTheme="minorHAnsi"/>
                <w:szCs w:val="22"/>
                <w:lang w:eastAsia="en-AU"/>
              </w:rPr>
              <w:tab/>
            </w:r>
            <w:r w:rsidR="002F7625" w:rsidRPr="00EC3DAD">
              <w:rPr>
                <w:rStyle w:val="Hyperlink"/>
                <w:rFonts w:eastAsia="Arial" w:cs="Arial"/>
              </w:rPr>
              <w:t>Disability Support Worker related supports</w:t>
            </w:r>
            <w:r w:rsidR="002F7625">
              <w:rPr>
                <w:webHidden/>
              </w:rPr>
              <w:tab/>
            </w:r>
            <w:r w:rsidR="002F7625">
              <w:rPr>
                <w:webHidden/>
              </w:rPr>
              <w:fldChar w:fldCharType="begin"/>
            </w:r>
            <w:r w:rsidR="002F7625">
              <w:rPr>
                <w:webHidden/>
              </w:rPr>
              <w:instrText xml:space="preserve"> PAGEREF _Toc135405222 \h </w:instrText>
            </w:r>
            <w:r w:rsidR="002F7625">
              <w:rPr>
                <w:webHidden/>
              </w:rPr>
            </w:r>
            <w:r w:rsidR="002F7625">
              <w:rPr>
                <w:webHidden/>
              </w:rPr>
              <w:fldChar w:fldCharType="separate"/>
            </w:r>
            <w:r w:rsidR="00D64E4C">
              <w:rPr>
                <w:webHidden/>
              </w:rPr>
              <w:t>28</w:t>
            </w:r>
            <w:r w:rsidR="002F7625">
              <w:rPr>
                <w:webHidden/>
              </w:rPr>
              <w:fldChar w:fldCharType="end"/>
            </w:r>
          </w:hyperlink>
        </w:p>
        <w:p w14:paraId="12703F5F" w14:textId="3E50F646" w:rsidR="002F7625" w:rsidRDefault="00000000" w:rsidP="00D30725">
          <w:pPr>
            <w:pStyle w:val="TOC1"/>
            <w:rPr>
              <w:rFonts w:asciiTheme="minorHAnsi" w:hAnsiTheme="minorHAnsi"/>
              <w:szCs w:val="22"/>
              <w:lang w:eastAsia="en-AU"/>
            </w:rPr>
          </w:pPr>
          <w:hyperlink w:anchor="_Toc135405223" w:history="1">
            <w:r w:rsidR="002F7625" w:rsidRPr="00EC3DAD">
              <w:rPr>
                <w:rStyle w:val="Hyperlink"/>
              </w:rPr>
              <w:t>5</w:t>
            </w:r>
            <w:r w:rsidR="002F7625">
              <w:rPr>
                <w:rFonts w:asciiTheme="minorHAnsi" w:hAnsiTheme="minorHAnsi"/>
                <w:szCs w:val="22"/>
                <w:lang w:eastAsia="en-AU"/>
              </w:rPr>
              <w:tab/>
            </w:r>
            <w:r w:rsidR="002F7625" w:rsidRPr="00EC3DAD">
              <w:rPr>
                <w:rStyle w:val="Hyperlink"/>
              </w:rPr>
              <w:t>Therapy supports</w:t>
            </w:r>
            <w:r w:rsidR="002F7625">
              <w:rPr>
                <w:webHidden/>
              </w:rPr>
              <w:tab/>
            </w:r>
            <w:r w:rsidR="002F7625">
              <w:rPr>
                <w:webHidden/>
              </w:rPr>
              <w:fldChar w:fldCharType="begin"/>
            </w:r>
            <w:r w:rsidR="002F7625">
              <w:rPr>
                <w:webHidden/>
              </w:rPr>
              <w:instrText xml:space="preserve"> PAGEREF _Toc135405223 \h </w:instrText>
            </w:r>
            <w:r w:rsidR="002F7625">
              <w:rPr>
                <w:webHidden/>
              </w:rPr>
            </w:r>
            <w:r w:rsidR="002F7625">
              <w:rPr>
                <w:webHidden/>
              </w:rPr>
              <w:fldChar w:fldCharType="separate"/>
            </w:r>
            <w:r w:rsidR="00D64E4C">
              <w:rPr>
                <w:webHidden/>
              </w:rPr>
              <w:t>42</w:t>
            </w:r>
            <w:r w:rsidR="002F7625">
              <w:rPr>
                <w:webHidden/>
              </w:rPr>
              <w:fldChar w:fldCharType="end"/>
            </w:r>
          </w:hyperlink>
        </w:p>
        <w:p w14:paraId="773BDF46" w14:textId="27D0338D" w:rsidR="002F7625" w:rsidRDefault="00000000" w:rsidP="00D30725">
          <w:pPr>
            <w:pStyle w:val="TOC1"/>
            <w:rPr>
              <w:rFonts w:asciiTheme="minorHAnsi" w:hAnsiTheme="minorHAnsi"/>
              <w:szCs w:val="22"/>
              <w:lang w:eastAsia="en-AU"/>
            </w:rPr>
          </w:pPr>
          <w:hyperlink w:anchor="_Toc135405224" w:history="1">
            <w:r w:rsidR="002F7625" w:rsidRPr="00EC3DAD">
              <w:rPr>
                <w:rStyle w:val="Hyperlink"/>
              </w:rPr>
              <w:t>6</w:t>
            </w:r>
            <w:r w:rsidR="002F7625">
              <w:rPr>
                <w:rFonts w:asciiTheme="minorHAnsi" w:hAnsiTheme="minorHAnsi"/>
                <w:szCs w:val="22"/>
                <w:lang w:eastAsia="en-AU"/>
              </w:rPr>
              <w:tab/>
            </w:r>
            <w:r w:rsidR="002F7625" w:rsidRPr="00EC3DAD">
              <w:rPr>
                <w:rStyle w:val="Hyperlink"/>
              </w:rPr>
              <w:t>Support coordination</w:t>
            </w:r>
            <w:r w:rsidR="002F7625">
              <w:rPr>
                <w:webHidden/>
              </w:rPr>
              <w:tab/>
            </w:r>
            <w:r w:rsidR="002F7625">
              <w:rPr>
                <w:webHidden/>
              </w:rPr>
              <w:fldChar w:fldCharType="begin"/>
            </w:r>
            <w:r w:rsidR="002F7625">
              <w:rPr>
                <w:webHidden/>
              </w:rPr>
              <w:instrText xml:space="preserve"> PAGEREF _Toc135405224 \h </w:instrText>
            </w:r>
            <w:r w:rsidR="002F7625">
              <w:rPr>
                <w:webHidden/>
              </w:rPr>
            </w:r>
            <w:r w:rsidR="002F7625">
              <w:rPr>
                <w:webHidden/>
              </w:rPr>
              <w:fldChar w:fldCharType="separate"/>
            </w:r>
            <w:r w:rsidR="00D64E4C">
              <w:rPr>
                <w:webHidden/>
              </w:rPr>
              <w:t>57</w:t>
            </w:r>
            <w:r w:rsidR="002F7625">
              <w:rPr>
                <w:webHidden/>
              </w:rPr>
              <w:fldChar w:fldCharType="end"/>
            </w:r>
          </w:hyperlink>
        </w:p>
        <w:p w14:paraId="4EF1705F" w14:textId="059A9F11" w:rsidR="002F7625" w:rsidRDefault="00000000" w:rsidP="00D30725">
          <w:pPr>
            <w:pStyle w:val="TOC1"/>
            <w:rPr>
              <w:rFonts w:asciiTheme="minorHAnsi" w:hAnsiTheme="minorHAnsi"/>
              <w:szCs w:val="22"/>
              <w:lang w:eastAsia="en-AU"/>
            </w:rPr>
          </w:pPr>
          <w:hyperlink w:anchor="_Toc135405225" w:history="1">
            <w:r w:rsidR="002F7625" w:rsidRPr="00EC3DAD">
              <w:rPr>
                <w:rStyle w:val="Hyperlink"/>
              </w:rPr>
              <w:t>7</w:t>
            </w:r>
            <w:r w:rsidR="002F7625">
              <w:rPr>
                <w:rFonts w:asciiTheme="minorHAnsi" w:hAnsiTheme="minorHAnsi"/>
                <w:szCs w:val="22"/>
                <w:lang w:eastAsia="en-AU"/>
              </w:rPr>
              <w:tab/>
            </w:r>
            <w:r w:rsidR="002F7625" w:rsidRPr="00EC3DAD">
              <w:rPr>
                <w:rStyle w:val="Hyperlink"/>
              </w:rPr>
              <w:t>Plan management supports</w:t>
            </w:r>
            <w:r w:rsidR="002F7625">
              <w:rPr>
                <w:webHidden/>
              </w:rPr>
              <w:tab/>
            </w:r>
            <w:r w:rsidR="002F7625">
              <w:rPr>
                <w:webHidden/>
              </w:rPr>
              <w:fldChar w:fldCharType="begin"/>
            </w:r>
            <w:r w:rsidR="002F7625">
              <w:rPr>
                <w:webHidden/>
              </w:rPr>
              <w:instrText xml:space="preserve"> PAGEREF _Toc135405225 \h </w:instrText>
            </w:r>
            <w:r w:rsidR="002F7625">
              <w:rPr>
                <w:webHidden/>
              </w:rPr>
            </w:r>
            <w:r w:rsidR="002F7625">
              <w:rPr>
                <w:webHidden/>
              </w:rPr>
              <w:fldChar w:fldCharType="separate"/>
            </w:r>
            <w:r w:rsidR="00D64E4C">
              <w:rPr>
                <w:webHidden/>
              </w:rPr>
              <w:t>66</w:t>
            </w:r>
            <w:r w:rsidR="002F7625">
              <w:rPr>
                <w:webHidden/>
              </w:rPr>
              <w:fldChar w:fldCharType="end"/>
            </w:r>
          </w:hyperlink>
        </w:p>
        <w:p w14:paraId="1F70D4BD" w14:textId="6360407E" w:rsidR="002F7625" w:rsidRDefault="00000000" w:rsidP="00D30725">
          <w:pPr>
            <w:pStyle w:val="TOC1"/>
            <w:spacing w:line="360" w:lineRule="auto"/>
          </w:pPr>
          <w:hyperlink w:anchor="_Toc135405226" w:history="1">
            <w:r w:rsidR="002F7625" w:rsidRPr="00EC3DAD">
              <w:rPr>
                <w:rStyle w:val="Hyperlink"/>
              </w:rPr>
              <w:t>8</w:t>
            </w:r>
            <w:r w:rsidR="002F7625">
              <w:rPr>
                <w:rFonts w:asciiTheme="minorHAnsi" w:hAnsiTheme="minorHAnsi"/>
                <w:szCs w:val="22"/>
                <w:lang w:eastAsia="en-AU"/>
              </w:rPr>
              <w:tab/>
            </w:r>
            <w:r w:rsidR="002F7625" w:rsidRPr="00EC3DAD">
              <w:rPr>
                <w:rStyle w:val="Hyperlink"/>
              </w:rPr>
              <w:t>NDIS Pricing</w:t>
            </w:r>
            <w:r w:rsidR="002F7625">
              <w:rPr>
                <w:webHidden/>
              </w:rPr>
              <w:tab/>
            </w:r>
            <w:r w:rsidR="002F7625">
              <w:rPr>
                <w:webHidden/>
              </w:rPr>
              <w:fldChar w:fldCharType="begin"/>
            </w:r>
            <w:r w:rsidR="002F7625">
              <w:rPr>
                <w:webHidden/>
              </w:rPr>
              <w:instrText xml:space="preserve"> PAGEREF _Toc135405226 \h </w:instrText>
            </w:r>
            <w:r w:rsidR="002F7625">
              <w:rPr>
                <w:webHidden/>
              </w:rPr>
            </w:r>
            <w:r w:rsidR="002F7625">
              <w:rPr>
                <w:webHidden/>
              </w:rPr>
              <w:fldChar w:fldCharType="separate"/>
            </w:r>
            <w:r w:rsidR="00D64E4C">
              <w:rPr>
                <w:webHidden/>
              </w:rPr>
              <w:t>74</w:t>
            </w:r>
            <w:r w:rsidR="002F7625">
              <w:rPr>
                <w:webHidden/>
              </w:rPr>
              <w:fldChar w:fldCharType="end"/>
            </w:r>
          </w:hyperlink>
        </w:p>
        <w:p w14:paraId="47173864" w14:textId="2E1F9D2E" w:rsidR="000433C0" w:rsidRDefault="000433C0" w:rsidP="00C458BE">
          <w:pPr>
            <w:spacing w:line="360" w:lineRule="auto"/>
            <w:rPr>
              <w:b/>
              <w:bCs/>
            </w:rPr>
          </w:pPr>
          <w:r w:rsidRPr="00601033">
            <w:rPr>
              <w:b/>
              <w:bCs/>
            </w:rPr>
            <w:t>Appendix</w:t>
          </w:r>
          <w:r w:rsidR="003912A6" w:rsidRPr="00601033">
            <w:rPr>
              <w:b/>
              <w:bCs/>
            </w:rPr>
            <w:t xml:space="preserve"> A – Feedback from the Consultation Paper</w:t>
          </w:r>
          <w:r w:rsidR="00601033" w:rsidRPr="00601033">
            <w:rPr>
              <w:b/>
              <w:bCs/>
            </w:rPr>
            <w:t>……………………</w:t>
          </w:r>
          <w:r w:rsidR="00601033">
            <w:rPr>
              <w:b/>
              <w:bCs/>
            </w:rPr>
            <w:t>.</w:t>
          </w:r>
          <w:r w:rsidR="00601033" w:rsidRPr="00601033">
            <w:rPr>
              <w:b/>
              <w:bCs/>
            </w:rPr>
            <w:t>………………..79</w:t>
          </w:r>
        </w:p>
        <w:p w14:paraId="457C73D7" w14:textId="46D0DB17" w:rsidR="00601033" w:rsidRPr="00601033" w:rsidRDefault="00601033" w:rsidP="00C458BE">
          <w:pPr>
            <w:spacing w:line="360" w:lineRule="auto"/>
            <w:rPr>
              <w:b/>
              <w:bCs/>
            </w:rPr>
          </w:pPr>
          <w:r w:rsidRPr="00601033">
            <w:rPr>
              <w:b/>
              <w:bCs/>
            </w:rPr>
            <w:t xml:space="preserve">Appendix </w:t>
          </w:r>
          <w:r>
            <w:rPr>
              <w:b/>
              <w:bCs/>
            </w:rPr>
            <w:t>B</w:t>
          </w:r>
          <w:r w:rsidRPr="00601033">
            <w:rPr>
              <w:b/>
              <w:bCs/>
            </w:rPr>
            <w:t xml:space="preserve"> – Domestic and family violence</w:t>
          </w:r>
          <w:r>
            <w:rPr>
              <w:b/>
              <w:bCs/>
            </w:rPr>
            <w:t xml:space="preserve"> </w:t>
          </w:r>
          <w:r w:rsidRPr="00601033">
            <w:rPr>
              <w:b/>
              <w:bCs/>
            </w:rPr>
            <w:t>research…………</w:t>
          </w:r>
          <w:r>
            <w:rPr>
              <w:b/>
              <w:bCs/>
            </w:rPr>
            <w:t>.</w:t>
          </w:r>
          <w:r w:rsidRPr="00601033">
            <w:rPr>
              <w:b/>
              <w:bCs/>
            </w:rPr>
            <w:t>………………</w:t>
          </w:r>
          <w:r w:rsidR="00BF4069">
            <w:rPr>
              <w:b/>
              <w:bCs/>
            </w:rPr>
            <w:t>…………</w:t>
          </w:r>
          <w:r w:rsidRPr="00601033">
            <w:rPr>
              <w:b/>
              <w:bCs/>
            </w:rPr>
            <w:t>.9</w:t>
          </w:r>
          <w:r w:rsidR="00BF4069">
            <w:rPr>
              <w:b/>
              <w:bCs/>
            </w:rPr>
            <w:t>4</w:t>
          </w:r>
        </w:p>
        <w:p w14:paraId="07364BDE" w14:textId="0D524AC3" w:rsidR="003912A6" w:rsidRPr="00AE2081" w:rsidRDefault="00601033" w:rsidP="00AE2081">
          <w:pPr>
            <w:spacing w:line="360" w:lineRule="auto"/>
            <w:rPr>
              <w:b/>
              <w:bCs/>
            </w:rPr>
          </w:pPr>
          <w:r w:rsidRPr="00601033">
            <w:rPr>
              <w:b/>
              <w:bCs/>
            </w:rPr>
            <w:t xml:space="preserve">Appendix </w:t>
          </w:r>
          <w:r>
            <w:rPr>
              <w:b/>
              <w:bCs/>
            </w:rPr>
            <w:t>C</w:t>
          </w:r>
          <w:r w:rsidRPr="00601033">
            <w:rPr>
              <w:b/>
              <w:bCs/>
            </w:rPr>
            <w:t xml:space="preserve"> – </w:t>
          </w:r>
          <w:r w:rsidR="00BF4069" w:rsidRPr="00BF4069">
            <w:rPr>
              <w:b/>
              <w:bCs/>
            </w:rPr>
            <w:t>Non-wage Aged Care reforms</w:t>
          </w:r>
          <w:r w:rsidRPr="00601033">
            <w:rPr>
              <w:b/>
              <w:bCs/>
            </w:rPr>
            <w:t>……………………</w:t>
          </w:r>
          <w:r>
            <w:rPr>
              <w:b/>
              <w:bCs/>
            </w:rPr>
            <w:t>.</w:t>
          </w:r>
          <w:r w:rsidRPr="00601033">
            <w:rPr>
              <w:b/>
              <w:bCs/>
            </w:rPr>
            <w:t>………………</w:t>
          </w:r>
          <w:r w:rsidR="00BF4069">
            <w:rPr>
              <w:b/>
              <w:bCs/>
            </w:rPr>
            <w:t>…………...</w:t>
          </w:r>
          <w:r w:rsidRPr="00601033">
            <w:rPr>
              <w:b/>
              <w:bCs/>
            </w:rPr>
            <w:t>9</w:t>
          </w:r>
          <w:r w:rsidR="00BF4069">
            <w:rPr>
              <w:b/>
              <w:bCs/>
            </w:rPr>
            <w:t>5</w:t>
          </w:r>
        </w:p>
        <w:p w14:paraId="43325186" w14:textId="320457B4" w:rsidR="00263ECE" w:rsidRDefault="00173A53">
          <w:pPr>
            <w:rPr>
              <w:b/>
              <w:bCs/>
              <w:noProof/>
            </w:rPr>
          </w:pPr>
          <w:r>
            <w:rPr>
              <w:b/>
              <w:noProof/>
            </w:rPr>
            <w:fldChar w:fldCharType="end"/>
          </w:r>
        </w:p>
      </w:sdtContent>
    </w:sdt>
    <w:p w14:paraId="27C8203D" w14:textId="77777777" w:rsidR="004A2ACE" w:rsidRDefault="00263ECE">
      <w:pPr>
        <w:rPr>
          <w:b/>
          <w:bCs/>
          <w:noProof/>
        </w:rPr>
      </w:pPr>
      <w:r>
        <w:rPr>
          <w:b/>
          <w:bCs/>
          <w:noProof/>
        </w:rPr>
        <w:br w:type="page"/>
      </w:r>
    </w:p>
    <w:p w14:paraId="65D72EE5" w14:textId="6404F247" w:rsidR="4D25D02D" w:rsidRDefault="4D25D02D" w:rsidP="00430B55">
      <w:pPr>
        <w:pStyle w:val="Heading2"/>
      </w:pPr>
      <w:bookmarkStart w:id="10" w:name="_Toc135405219"/>
      <w:r w:rsidRPr="0066319F">
        <w:lastRenderedPageBreak/>
        <w:t xml:space="preserve">Executive </w:t>
      </w:r>
      <w:r w:rsidR="00874434" w:rsidRPr="0066319F">
        <w:t>s</w:t>
      </w:r>
      <w:r w:rsidRPr="0066319F">
        <w:t>ummary</w:t>
      </w:r>
      <w:bookmarkEnd w:id="10"/>
    </w:p>
    <w:p w14:paraId="7638D083" w14:textId="77777777" w:rsidR="000E31D4" w:rsidRPr="00DF0C3D" w:rsidRDefault="000E31D4" w:rsidP="000E31D4">
      <w:r w:rsidRPr="00DF0C3D">
        <w:t>The National Di</w:t>
      </w:r>
      <w:r>
        <w:t>sability Insurance Scheme (NDIS</w:t>
      </w:r>
      <w:r w:rsidRPr="00DF0C3D">
        <w:t xml:space="preserve">) was established in 2013 to support people with disability to pursue their goals, to help them to realise their full potential, to assist them to participate in and contribute to society, and to empower them to exercise choice and control over their lives and futures. </w:t>
      </w:r>
      <w:r>
        <w:t>The NDIS</w:t>
      </w:r>
      <w:r w:rsidRPr="00DF0C3D">
        <w:t xml:space="preserve"> provides funding to eligible individuals (“participants”) so that they can purchase, in the open market, the disability related goods and services (“supports”) that they need. </w:t>
      </w:r>
    </w:p>
    <w:p w14:paraId="6EA8EF9A" w14:textId="77777777" w:rsidR="00043DF4" w:rsidRDefault="0013759A" w:rsidP="0013759A">
      <w:r>
        <w:t xml:space="preserve">The </w:t>
      </w:r>
      <w:r w:rsidR="006C7397">
        <w:t>National Disability Insurance Agency (</w:t>
      </w:r>
      <w:r>
        <w:t>NDIA</w:t>
      </w:r>
      <w:r w:rsidR="006C7397">
        <w:t>)</w:t>
      </w:r>
      <w:r w:rsidRPr="00DF0C3D">
        <w:t xml:space="preserve"> monitors and reviews its price control framework and other market settings to determine whether they are still appropriate</w:t>
      </w:r>
      <w:r w:rsidR="00043DF4">
        <w:t xml:space="preserve"> and reflect the current market conditions</w:t>
      </w:r>
      <w:r w:rsidRPr="00DF0C3D">
        <w:t xml:space="preserve">. </w:t>
      </w:r>
    </w:p>
    <w:p w14:paraId="05932634" w14:textId="1C1CB148" w:rsidR="0013759A" w:rsidRPr="00DF0C3D" w:rsidRDefault="0013759A" w:rsidP="0013759A">
      <w:r w:rsidRPr="00DF0C3D">
        <w:t xml:space="preserve">Annual Pricing Reviews </w:t>
      </w:r>
      <w:r w:rsidR="006C7397">
        <w:t xml:space="preserve">(APRs) </w:t>
      </w:r>
      <w:r w:rsidRPr="00DF0C3D">
        <w:t xml:space="preserve">are an important part of </w:t>
      </w:r>
      <w:r w:rsidR="00DC7198">
        <w:t xml:space="preserve">the monitoring and review </w:t>
      </w:r>
      <w:r w:rsidRPr="00DF0C3D">
        <w:t xml:space="preserve">process. The </w:t>
      </w:r>
      <w:r w:rsidR="0030458B">
        <w:t xml:space="preserve">NDIA Board developed a </w:t>
      </w:r>
      <w:r w:rsidRPr="00DF0C3D">
        <w:t>Terms of Reference of the 202</w:t>
      </w:r>
      <w:r w:rsidR="00F57C3D">
        <w:t>2</w:t>
      </w:r>
      <w:r w:rsidRPr="00DF0C3D">
        <w:t>-2</w:t>
      </w:r>
      <w:r w:rsidR="00F57C3D">
        <w:t>3</w:t>
      </w:r>
      <w:r w:rsidRPr="00DF0C3D">
        <w:t xml:space="preserve"> </w:t>
      </w:r>
      <w:r w:rsidR="006C7397">
        <w:t>APR</w:t>
      </w:r>
      <w:r w:rsidRPr="00DF0C3D">
        <w:t xml:space="preserve"> </w:t>
      </w:r>
      <w:r w:rsidR="0022292F">
        <w:t>to guide the approach</w:t>
      </w:r>
      <w:r w:rsidR="006F17CB">
        <w:t xml:space="preserve">. This </w:t>
      </w:r>
      <w:r w:rsidRPr="00DF0C3D">
        <w:t>require</w:t>
      </w:r>
      <w:r w:rsidR="006F62E5">
        <w:t>s</w:t>
      </w:r>
      <w:r w:rsidRPr="00DF0C3D">
        <w:t xml:space="preserve"> </w:t>
      </w:r>
      <w:r>
        <w:t>the NDIA</w:t>
      </w:r>
      <w:r w:rsidRPr="00DF0C3D">
        <w:t xml:space="preserve"> to examine, through engagement with participants, providers and community and government stakeholders</w:t>
      </w:r>
      <w:r>
        <w:t>,</w:t>
      </w:r>
      <w:r w:rsidRPr="00DF0C3D">
        <w:t xml:space="preserve"> and targeted research, whether </w:t>
      </w:r>
      <w:r>
        <w:t>the NDIS</w:t>
      </w:r>
      <w:r w:rsidRPr="00DF0C3D">
        <w:t>’s existing price control framework (pricing arrangements and price limits) continues to be appropriate or should be modified.</w:t>
      </w:r>
    </w:p>
    <w:p w14:paraId="4296430F" w14:textId="7DC881EF" w:rsidR="00127044" w:rsidRPr="00DF0C3D" w:rsidRDefault="00DC7198" w:rsidP="00127044">
      <w:r>
        <w:t>As part of the 2022-23 APR, e</w:t>
      </w:r>
      <w:r w:rsidR="00127044" w:rsidRPr="00DF0C3D">
        <w:t xml:space="preserve">xtensive consultations with participants, providers and other stakeholders were </w:t>
      </w:r>
      <w:r w:rsidR="006A67E4">
        <w:t>completed</w:t>
      </w:r>
      <w:r w:rsidR="00127044" w:rsidRPr="00DF0C3D">
        <w:t>, including:</w:t>
      </w:r>
    </w:p>
    <w:p w14:paraId="19976ECB" w14:textId="1C2BFB06" w:rsidR="00127044" w:rsidRPr="00DF0C3D" w:rsidRDefault="006A67E4" w:rsidP="00127044">
      <w:pPr>
        <w:pStyle w:val="DotPoint"/>
      </w:pPr>
      <w:r>
        <w:t xml:space="preserve">Publishing </w:t>
      </w:r>
      <w:r w:rsidR="00127044" w:rsidRPr="00DF0C3D">
        <w:t xml:space="preserve">a </w:t>
      </w:r>
      <w:r w:rsidR="005C471A">
        <w:t>C</w:t>
      </w:r>
      <w:r w:rsidR="00127044" w:rsidRPr="00DF0C3D">
        <w:t xml:space="preserve">onsultation </w:t>
      </w:r>
      <w:r w:rsidR="005C471A">
        <w:t>P</w:t>
      </w:r>
      <w:r w:rsidR="00127044" w:rsidRPr="00DF0C3D">
        <w:t xml:space="preserve">aper and </w:t>
      </w:r>
      <w:r>
        <w:t xml:space="preserve">completing </w:t>
      </w:r>
      <w:r w:rsidR="00127044" w:rsidRPr="00DF0C3D">
        <w:t xml:space="preserve">analysis of the </w:t>
      </w:r>
      <w:r w:rsidR="00127044">
        <w:t>30</w:t>
      </w:r>
      <w:r w:rsidR="00127044" w:rsidRPr="00DF0C3D">
        <w:t>4 submissions received.</w:t>
      </w:r>
    </w:p>
    <w:p w14:paraId="20D501FD" w14:textId="482FCA6F" w:rsidR="00BD2385" w:rsidRPr="00BD2385" w:rsidRDefault="00BD2385" w:rsidP="00F317CA">
      <w:pPr>
        <w:numPr>
          <w:ilvl w:val="0"/>
          <w:numId w:val="5"/>
        </w:numPr>
        <w:rPr>
          <w:rFonts w:cs="Arial"/>
        </w:rPr>
      </w:pPr>
      <w:r w:rsidRPr="00BD2385">
        <w:rPr>
          <w:rFonts w:cs="Arial"/>
        </w:rPr>
        <w:t>Consultations with other government insurance and funding scheme</w:t>
      </w:r>
      <w:r w:rsidR="0050329F">
        <w:rPr>
          <w:rFonts w:cs="Arial"/>
        </w:rPr>
        <w:t>s</w:t>
      </w:r>
      <w:r w:rsidRPr="00BD2385">
        <w:rPr>
          <w:rFonts w:cs="Arial"/>
        </w:rPr>
        <w:t>.</w:t>
      </w:r>
    </w:p>
    <w:p w14:paraId="26BA17E9" w14:textId="57DC1857" w:rsidR="00BD2385" w:rsidRPr="00BD2385" w:rsidRDefault="00BD2385" w:rsidP="00F317CA">
      <w:pPr>
        <w:numPr>
          <w:ilvl w:val="0"/>
          <w:numId w:val="5"/>
        </w:numPr>
        <w:rPr>
          <w:rFonts w:cs="Arial"/>
          <w:b/>
          <w:bCs/>
        </w:rPr>
      </w:pPr>
      <w:r w:rsidRPr="00BD2385">
        <w:rPr>
          <w:rFonts w:cs="Arial"/>
        </w:rPr>
        <w:t xml:space="preserve">Consultations with the Pricing Arrangements Reference Group. </w:t>
      </w:r>
    </w:p>
    <w:p w14:paraId="4C3406AF" w14:textId="0A0D68AF" w:rsidR="00BD2385" w:rsidRPr="00BD2385" w:rsidRDefault="00BD2385" w:rsidP="00F317CA">
      <w:pPr>
        <w:numPr>
          <w:ilvl w:val="0"/>
          <w:numId w:val="5"/>
        </w:numPr>
        <w:rPr>
          <w:rFonts w:cs="Arial"/>
        </w:rPr>
      </w:pPr>
      <w:r w:rsidRPr="00BD2385">
        <w:rPr>
          <w:rFonts w:cs="Arial"/>
        </w:rPr>
        <w:t xml:space="preserve">Consultations with the Pricing Interdepartmental </w:t>
      </w:r>
      <w:r w:rsidR="00AF6C29">
        <w:rPr>
          <w:rFonts w:cs="Arial"/>
        </w:rPr>
        <w:t>Committee.</w:t>
      </w:r>
    </w:p>
    <w:p w14:paraId="02F13488" w14:textId="77777777" w:rsidR="00BD2385" w:rsidRPr="00BD2385" w:rsidRDefault="00BD2385" w:rsidP="00F317CA">
      <w:pPr>
        <w:numPr>
          <w:ilvl w:val="0"/>
          <w:numId w:val="5"/>
        </w:numPr>
        <w:rPr>
          <w:rFonts w:cs="Arial"/>
        </w:rPr>
      </w:pPr>
      <w:r w:rsidRPr="00BD2385">
        <w:rPr>
          <w:rFonts w:cs="Arial"/>
        </w:rPr>
        <w:t>Consultations with the Department of Veterans' Affairs and the Chief Allied Health Officer.</w:t>
      </w:r>
    </w:p>
    <w:p w14:paraId="7E3A8B09" w14:textId="4D24D5B0" w:rsidR="00E21D23" w:rsidRDefault="00127044" w:rsidP="00127044">
      <w:r w:rsidRPr="00DF0C3D">
        <w:t xml:space="preserve">A summary of </w:t>
      </w:r>
      <w:r w:rsidR="00AD6DAB">
        <w:t xml:space="preserve">submissions to the </w:t>
      </w:r>
      <w:r w:rsidR="00C22757">
        <w:t>C</w:t>
      </w:r>
      <w:r w:rsidR="00AD6DAB">
        <w:t xml:space="preserve">onsultation </w:t>
      </w:r>
      <w:r w:rsidR="00C05D3C">
        <w:t>P</w:t>
      </w:r>
      <w:r w:rsidR="00AD6DAB">
        <w:t xml:space="preserve">aper can be found in Appendix </w:t>
      </w:r>
      <w:r w:rsidR="00E21D23">
        <w:t>A.</w:t>
      </w:r>
    </w:p>
    <w:p w14:paraId="25A8B0C6" w14:textId="6A799F36" w:rsidR="00732553" w:rsidRPr="001A1AFB" w:rsidRDefault="007B7E38" w:rsidP="001132A9">
      <w:pPr>
        <w:pStyle w:val="Heading3"/>
      </w:pPr>
      <w:r w:rsidRPr="001A1AFB">
        <w:t xml:space="preserve">Disability </w:t>
      </w:r>
      <w:r w:rsidR="002A72E6" w:rsidRPr="001A1AFB">
        <w:t>Support Worker (DSW) related supports</w:t>
      </w:r>
    </w:p>
    <w:p w14:paraId="018BB1FA" w14:textId="68DB319C" w:rsidR="00A66F6C" w:rsidRPr="008E033D" w:rsidRDefault="7210BBB4" w:rsidP="00A66F6C">
      <w:r>
        <w:t xml:space="preserve">In setting price limits, the NDIA uses the NDIS DSW Cost Model to estimate the costs that </w:t>
      </w:r>
      <w:bookmarkStart w:id="11" w:name="_Int_ciBJC7pc"/>
      <w:r>
        <w:t>a reasonably efficient</w:t>
      </w:r>
      <w:bookmarkEnd w:id="11"/>
      <w:r>
        <w:t xml:space="preserve"> provider would incur in delivering a billable hour of support. The Cost Model takes account of </w:t>
      </w:r>
      <w:r w:rsidR="7E3218F5">
        <w:t>all</w:t>
      </w:r>
      <w:r>
        <w:t xml:space="preserve"> the costs associated with every billable hour, including base pay; shift loadings; salary on costs; operational overheads such as supervision costs and utilisation; corporate overheads and margin. It uses these estimates to set the price limits of supports that are delivered by </w:t>
      </w:r>
      <w:bookmarkStart w:id="12" w:name="_Int_J7UHTl9J"/>
      <w:r>
        <w:t>DSWs</w:t>
      </w:r>
      <w:bookmarkEnd w:id="12"/>
      <w:r>
        <w:t>, with price limit set at the level that can be achieved by providers who match the benchmarks. The outputs from the Cost Model considers minimum employment standards and efficient costs to provide DSW-related supports in Australia.</w:t>
      </w:r>
    </w:p>
    <w:p w14:paraId="673784B5" w14:textId="3CDED0A1" w:rsidR="00A66F6C" w:rsidRPr="00787B95" w:rsidRDefault="00B432A7" w:rsidP="00A66F6C">
      <w:pPr>
        <w:rPr>
          <w:szCs w:val="22"/>
        </w:rPr>
      </w:pPr>
      <w:r>
        <w:rPr>
          <w:szCs w:val="22"/>
        </w:rPr>
        <w:t>G</w:t>
      </w:r>
      <w:r w:rsidR="00A66F6C">
        <w:rPr>
          <w:szCs w:val="22"/>
        </w:rPr>
        <w:t xml:space="preserve">rowth in the </w:t>
      </w:r>
      <w:r w:rsidR="00A66F6C" w:rsidRPr="00787B95">
        <w:rPr>
          <w:szCs w:val="22"/>
        </w:rPr>
        <w:t>total number of DSW participants</w:t>
      </w:r>
      <w:r w:rsidR="00A66F6C">
        <w:rPr>
          <w:szCs w:val="22"/>
        </w:rPr>
        <w:t xml:space="preserve"> (15%)</w:t>
      </w:r>
      <w:r w:rsidR="00A66F6C" w:rsidRPr="00787B95">
        <w:rPr>
          <w:szCs w:val="22"/>
        </w:rPr>
        <w:t xml:space="preserve">, providers </w:t>
      </w:r>
      <w:r w:rsidR="00A66F6C">
        <w:rPr>
          <w:szCs w:val="22"/>
        </w:rPr>
        <w:t xml:space="preserve">(28%) </w:t>
      </w:r>
      <w:r w:rsidR="00A66F6C" w:rsidRPr="00787B95">
        <w:rPr>
          <w:szCs w:val="22"/>
        </w:rPr>
        <w:t xml:space="preserve">and payments </w:t>
      </w:r>
      <w:r w:rsidR="00A66F6C">
        <w:rPr>
          <w:szCs w:val="22"/>
        </w:rPr>
        <w:t xml:space="preserve">(34%) </w:t>
      </w:r>
      <w:r w:rsidR="00A66F6C" w:rsidRPr="00787B95">
        <w:rPr>
          <w:szCs w:val="22"/>
        </w:rPr>
        <w:t>continue</w:t>
      </w:r>
      <w:r>
        <w:rPr>
          <w:szCs w:val="22"/>
        </w:rPr>
        <w:t>d</w:t>
      </w:r>
      <w:r w:rsidR="00A66F6C" w:rsidRPr="00787B95">
        <w:rPr>
          <w:szCs w:val="22"/>
        </w:rPr>
        <w:t xml:space="preserve"> </w:t>
      </w:r>
      <w:r w:rsidR="00797889">
        <w:rPr>
          <w:szCs w:val="22"/>
        </w:rPr>
        <w:t>over the six months to</w:t>
      </w:r>
      <w:r w:rsidR="00A66F6C" w:rsidRPr="00787B95">
        <w:rPr>
          <w:szCs w:val="22"/>
        </w:rPr>
        <w:t xml:space="preserve"> December 202</w:t>
      </w:r>
      <w:r w:rsidR="00B56E1B">
        <w:rPr>
          <w:szCs w:val="22"/>
        </w:rPr>
        <w:t xml:space="preserve">2 </w:t>
      </w:r>
      <w:r w:rsidR="00B56E1B">
        <w:rPr>
          <w:rStyle w:val="ui-provider"/>
        </w:rPr>
        <w:t>compared to the six months to December 2021</w:t>
      </w:r>
      <w:r w:rsidR="00A66F6C" w:rsidRPr="00787B95">
        <w:rPr>
          <w:szCs w:val="22"/>
        </w:rPr>
        <w:t xml:space="preserve">. </w:t>
      </w:r>
    </w:p>
    <w:p w14:paraId="57EAF922" w14:textId="200336DC" w:rsidR="00A66F6C" w:rsidRDefault="543198DB" w:rsidP="00A66F6C">
      <w:r>
        <w:t xml:space="preserve">A total of 59 submissions on DSW-related supports were received through Public Consultation. One of main themes raised was </w:t>
      </w:r>
      <w:r w:rsidR="6641FC75">
        <w:t xml:space="preserve">that </w:t>
      </w:r>
      <w:r>
        <w:t>adjustment</w:t>
      </w:r>
      <w:r w:rsidR="6641FC75">
        <w:t>s</w:t>
      </w:r>
      <w:r>
        <w:t xml:space="preserve"> for many providers on costs </w:t>
      </w:r>
      <w:r w:rsidR="6641FC75">
        <w:t xml:space="preserve">continue </w:t>
      </w:r>
      <w:r w:rsidR="000008C1">
        <w:t xml:space="preserve">to </w:t>
      </w:r>
      <w:r>
        <w:t>relate to quality, safeguards</w:t>
      </w:r>
      <w:r w:rsidR="000008C1">
        <w:t>,</w:t>
      </w:r>
      <w:r>
        <w:t xml:space="preserve"> and compliance, COVID and </w:t>
      </w:r>
      <w:r w:rsidR="0DC1F428" w:rsidRPr="24862EB2">
        <w:rPr>
          <w:i/>
          <w:iCs/>
        </w:rPr>
        <w:t xml:space="preserve">Social, Community, </w:t>
      </w:r>
      <w:r w:rsidR="0DC1F428" w:rsidRPr="24862EB2">
        <w:rPr>
          <w:i/>
          <w:iCs/>
        </w:rPr>
        <w:lastRenderedPageBreak/>
        <w:t xml:space="preserve">Home Care </w:t>
      </w:r>
      <w:r w:rsidR="0F103829" w:rsidRPr="24862EB2">
        <w:rPr>
          <w:i/>
          <w:iCs/>
        </w:rPr>
        <w:t>and</w:t>
      </w:r>
      <w:r w:rsidR="0DC1F428" w:rsidRPr="24862EB2">
        <w:rPr>
          <w:i/>
          <w:iCs/>
        </w:rPr>
        <w:t xml:space="preserve"> Disability Services Industry Award 2010</w:t>
      </w:r>
      <w:r w:rsidR="0DC1F428">
        <w:t xml:space="preserve"> (</w:t>
      </w:r>
      <w:r>
        <w:t>SCHADS Award</w:t>
      </w:r>
      <w:r w:rsidR="0DC1F428">
        <w:t>)</w:t>
      </w:r>
      <w:r>
        <w:t xml:space="preserve"> changes. </w:t>
      </w:r>
      <w:r w:rsidR="00772F29">
        <w:t>Reponses from p</w:t>
      </w:r>
      <w:r>
        <w:t xml:space="preserve">articipants </w:t>
      </w:r>
      <w:r w:rsidR="00EB4B20">
        <w:t xml:space="preserve">raised the </w:t>
      </w:r>
      <w:r w:rsidR="009F4E39">
        <w:t>concern of varying</w:t>
      </w:r>
      <w:r>
        <w:t xml:space="preserve"> skills </w:t>
      </w:r>
      <w:r w:rsidR="00EC242F">
        <w:t xml:space="preserve">of </w:t>
      </w:r>
      <w:r>
        <w:t xml:space="preserve">support workers </w:t>
      </w:r>
      <w:r w:rsidR="000D6C28">
        <w:t xml:space="preserve">who were </w:t>
      </w:r>
      <w:r w:rsidR="00EC242F">
        <w:t xml:space="preserve">providing </w:t>
      </w:r>
      <w:r>
        <w:t>supports</w:t>
      </w:r>
      <w:r w:rsidR="000D6C28">
        <w:t>,</w:t>
      </w:r>
      <w:r w:rsidR="00F870E2">
        <w:t xml:space="preserve"> but </w:t>
      </w:r>
      <w:r>
        <w:t xml:space="preserve">generally </w:t>
      </w:r>
      <w:r w:rsidR="00F870E2">
        <w:t xml:space="preserve">still charging </w:t>
      </w:r>
      <w:r>
        <w:t>at the NDIS price limit.</w:t>
      </w:r>
    </w:p>
    <w:p w14:paraId="6C646970" w14:textId="19269B87" w:rsidR="00A66F6C" w:rsidRPr="00787B95" w:rsidRDefault="00A66F6C" w:rsidP="00A66F6C">
      <w:pPr>
        <w:rPr>
          <w:szCs w:val="22"/>
        </w:rPr>
      </w:pPr>
      <w:r w:rsidRPr="00787B95">
        <w:rPr>
          <w:szCs w:val="22"/>
        </w:rPr>
        <w:t>In determining the price limit for DSW</w:t>
      </w:r>
      <w:r w:rsidR="0020622F">
        <w:rPr>
          <w:szCs w:val="22"/>
        </w:rPr>
        <w:t>-</w:t>
      </w:r>
      <w:r w:rsidRPr="00787B95">
        <w:rPr>
          <w:szCs w:val="22"/>
        </w:rPr>
        <w:t xml:space="preserve">related supports, analysis </w:t>
      </w:r>
      <w:r>
        <w:rPr>
          <w:szCs w:val="22"/>
        </w:rPr>
        <w:t xml:space="preserve">using data of </w:t>
      </w:r>
      <w:r w:rsidRPr="00787B95">
        <w:rPr>
          <w:szCs w:val="22"/>
        </w:rPr>
        <w:t xml:space="preserve">the Health Care and Social Assistance (HCSA) industry was </w:t>
      </w:r>
      <w:r>
        <w:rPr>
          <w:szCs w:val="22"/>
        </w:rPr>
        <w:t>undertaken</w:t>
      </w:r>
      <w:r w:rsidRPr="00787B95">
        <w:rPr>
          <w:szCs w:val="22"/>
        </w:rPr>
        <w:t xml:space="preserve"> to understand the sector which disability </w:t>
      </w:r>
      <w:r>
        <w:rPr>
          <w:szCs w:val="22"/>
        </w:rPr>
        <w:t xml:space="preserve">support </w:t>
      </w:r>
      <w:r w:rsidRPr="00787B95">
        <w:rPr>
          <w:szCs w:val="22"/>
        </w:rPr>
        <w:t>workers operate in.</w:t>
      </w:r>
      <w:r w:rsidRPr="00787B95" w:rsidDel="00D2585D">
        <w:rPr>
          <w:szCs w:val="22"/>
        </w:rPr>
        <w:t xml:space="preserve"> </w:t>
      </w:r>
      <w:r>
        <w:rPr>
          <w:szCs w:val="22"/>
        </w:rPr>
        <w:t xml:space="preserve">The analyses suggest that the labour market for the care sector remains tight. </w:t>
      </w:r>
      <w:r w:rsidRPr="0043136F">
        <w:rPr>
          <w:szCs w:val="22"/>
        </w:rPr>
        <w:t>These conditions could potentially intensify competition in terms of labour with other care sectors, which could put more pressure on supply going forward.</w:t>
      </w:r>
    </w:p>
    <w:p w14:paraId="632DD097" w14:textId="3C93A999" w:rsidR="00A66F6C" w:rsidRDefault="3D6BEC6E" w:rsidP="24862EB2">
      <w:r>
        <w:t xml:space="preserve">Despite the overall sector growth, the sector </w:t>
      </w:r>
      <w:r w:rsidR="554C747F">
        <w:t>is</w:t>
      </w:r>
      <w:r w:rsidR="051FAC7A">
        <w:t xml:space="preserve"> still</w:t>
      </w:r>
      <w:r w:rsidR="554C747F">
        <w:t xml:space="preserve"> being </w:t>
      </w:r>
      <w:r>
        <w:t xml:space="preserve">impacted by COVID. The results from the 2022-23 Ability Roundtable survey shows that most surveyed providers (71%) reported that COVID was still impacting on their costs in 2022. The average percentage increase in costs due to COVID was reported at 1.5%, in line with the 1.5% cost impact estimate in the 2021-22 APR. </w:t>
      </w:r>
      <w:r w:rsidR="051FAC7A">
        <w:t>T</w:t>
      </w:r>
      <w:r>
        <w:t xml:space="preserve">his data is based on </w:t>
      </w:r>
      <w:r w:rsidR="002A1ED8">
        <w:t xml:space="preserve">survey responses from </w:t>
      </w:r>
      <w:r>
        <w:t>24 providers, with an average revenue of between $50 and $100 million.</w:t>
      </w:r>
    </w:p>
    <w:p w14:paraId="6FA82810" w14:textId="323B337E" w:rsidR="00A66F6C" w:rsidRDefault="00A66F6C" w:rsidP="00A66F6C">
      <w:pPr>
        <w:rPr>
          <w:rStyle w:val="normaltextrun"/>
          <w:rFonts w:cs="Arial"/>
          <w:color w:val="000000"/>
          <w:szCs w:val="22"/>
          <w:shd w:val="clear" w:color="auto" w:fill="FFFFFF"/>
        </w:rPr>
      </w:pPr>
      <w:r w:rsidRPr="009D09FD">
        <w:rPr>
          <w:rFonts w:eastAsia="Times New Roman" w:cs="Arial"/>
          <w:szCs w:val="22"/>
          <w:lang w:eastAsia="en-AU"/>
        </w:rPr>
        <w:t>Similarly, the impact of the SCHADS Award changes from 1 July 2022 included change</w:t>
      </w:r>
      <w:r>
        <w:rPr>
          <w:rFonts w:eastAsia="Times New Roman" w:cs="Arial"/>
          <w:szCs w:val="22"/>
          <w:lang w:eastAsia="en-AU"/>
        </w:rPr>
        <w:t>s</w:t>
      </w:r>
      <w:r w:rsidRPr="009D09FD">
        <w:rPr>
          <w:rFonts w:eastAsia="Times New Roman" w:cs="Arial"/>
          <w:szCs w:val="22"/>
          <w:lang w:eastAsia="en-AU"/>
        </w:rPr>
        <w:t xml:space="preserve"> to minimum shift</w:t>
      </w:r>
      <w:r>
        <w:rPr>
          <w:rFonts w:eastAsia="Times New Roman" w:cs="Arial"/>
          <w:szCs w:val="22"/>
          <w:lang w:eastAsia="en-AU"/>
        </w:rPr>
        <w:t xml:space="preserve"> time</w:t>
      </w:r>
      <w:r w:rsidRPr="009D09FD">
        <w:rPr>
          <w:rFonts w:eastAsia="Times New Roman" w:cs="Arial"/>
          <w:szCs w:val="22"/>
          <w:lang w:eastAsia="en-AU"/>
        </w:rPr>
        <w:t xml:space="preserve">, broken shift </w:t>
      </w:r>
      <w:r>
        <w:rPr>
          <w:rFonts w:eastAsia="Times New Roman" w:cs="Arial"/>
          <w:szCs w:val="22"/>
          <w:lang w:eastAsia="en-AU"/>
        </w:rPr>
        <w:t xml:space="preserve">allowances </w:t>
      </w:r>
      <w:r w:rsidRPr="009D09FD">
        <w:rPr>
          <w:rFonts w:eastAsia="Times New Roman" w:cs="Arial"/>
          <w:szCs w:val="22"/>
          <w:lang w:eastAsia="en-AU"/>
        </w:rPr>
        <w:t>and cancell</w:t>
      </w:r>
      <w:r>
        <w:rPr>
          <w:rFonts w:eastAsia="Times New Roman" w:cs="Arial"/>
          <w:szCs w:val="22"/>
          <w:lang w:eastAsia="en-AU"/>
        </w:rPr>
        <w:t>ed shift</w:t>
      </w:r>
      <w:r w:rsidRPr="009D09FD">
        <w:rPr>
          <w:rFonts w:eastAsia="Times New Roman" w:cs="Arial"/>
          <w:szCs w:val="22"/>
          <w:lang w:eastAsia="en-AU"/>
        </w:rPr>
        <w:t xml:space="preserve"> policies. The Ability Roundtable survey found 62% of respondents reported an increase in staffing numbers to deal with the rostering impact. </w:t>
      </w:r>
      <w:r w:rsidRPr="009D09FD">
        <w:rPr>
          <w:rStyle w:val="normaltextrun"/>
          <w:rFonts w:cs="Arial"/>
          <w:color w:val="000000"/>
          <w:szCs w:val="22"/>
          <w:shd w:val="clear" w:color="auto" w:fill="FFFFFF"/>
        </w:rPr>
        <w:t>Tw</w:t>
      </w:r>
      <w:r w:rsidR="00B10B9E">
        <w:rPr>
          <w:rStyle w:val="normaltextrun"/>
          <w:rFonts w:cs="Arial"/>
          <w:color w:val="000000"/>
          <w:szCs w:val="22"/>
          <w:shd w:val="clear" w:color="auto" w:fill="FFFFFF"/>
        </w:rPr>
        <w:t>o-</w:t>
      </w:r>
      <w:r w:rsidRPr="009D09FD">
        <w:rPr>
          <w:rStyle w:val="normaltextrun"/>
          <w:rFonts w:cs="Arial"/>
          <w:color w:val="000000"/>
          <w:szCs w:val="22"/>
          <w:shd w:val="clear" w:color="auto" w:fill="FFFFFF"/>
        </w:rPr>
        <w:t>thirds of respondents reported that their bottom-line costs had increased as a result with the average cost increase reported by all respondents at 1.5%, aligned to estimate</w:t>
      </w:r>
      <w:r>
        <w:rPr>
          <w:rStyle w:val="normaltextrun"/>
          <w:rFonts w:cs="Arial"/>
          <w:color w:val="000000"/>
          <w:szCs w:val="22"/>
          <w:shd w:val="clear" w:color="auto" w:fill="FFFFFF"/>
        </w:rPr>
        <w:t>d</w:t>
      </w:r>
      <w:r w:rsidRPr="009D09FD">
        <w:rPr>
          <w:rStyle w:val="normaltextrun"/>
          <w:rFonts w:cs="Arial"/>
          <w:color w:val="000000"/>
          <w:szCs w:val="22"/>
          <w:shd w:val="clear" w:color="auto" w:fill="FFFFFF"/>
        </w:rPr>
        <w:t xml:space="preserve"> cost impact from the </w:t>
      </w:r>
      <w:r>
        <w:rPr>
          <w:rStyle w:val="normaltextrun"/>
          <w:rFonts w:cs="Arial"/>
          <w:color w:val="000000"/>
          <w:szCs w:val="22"/>
          <w:shd w:val="clear" w:color="auto" w:fill="FFFFFF"/>
        </w:rPr>
        <w:t>2021-22</w:t>
      </w:r>
      <w:r w:rsidRPr="009D09FD">
        <w:rPr>
          <w:rStyle w:val="normaltextrun"/>
          <w:rFonts w:cs="Arial"/>
          <w:color w:val="000000"/>
          <w:szCs w:val="22"/>
          <w:shd w:val="clear" w:color="auto" w:fill="FFFFFF"/>
        </w:rPr>
        <w:t xml:space="preserve"> APR. </w:t>
      </w:r>
      <w:r>
        <w:rPr>
          <w:rStyle w:val="normaltextrun"/>
          <w:rFonts w:cs="Arial"/>
          <w:color w:val="000000"/>
          <w:szCs w:val="22"/>
          <w:shd w:val="clear" w:color="auto" w:fill="FFFFFF"/>
        </w:rPr>
        <w:t>However,</w:t>
      </w:r>
      <w:r w:rsidRPr="009D09FD" w:rsidDel="00D475F4">
        <w:rPr>
          <w:rStyle w:val="normaltextrun"/>
          <w:rFonts w:cs="Arial"/>
          <w:color w:val="000000"/>
          <w:szCs w:val="22"/>
          <w:shd w:val="clear" w:color="auto" w:fill="FFFFFF"/>
        </w:rPr>
        <w:t xml:space="preserve"> </w:t>
      </w:r>
      <w:r w:rsidRPr="009D09FD">
        <w:rPr>
          <w:rStyle w:val="normaltextrun"/>
          <w:rFonts w:cs="Arial"/>
          <w:color w:val="000000"/>
          <w:szCs w:val="22"/>
          <w:shd w:val="clear" w:color="auto" w:fill="FFFFFF"/>
        </w:rPr>
        <w:t xml:space="preserve">most </w:t>
      </w:r>
      <w:r>
        <w:rPr>
          <w:rStyle w:val="normaltextrun"/>
          <w:rFonts w:cs="Arial"/>
          <w:color w:val="000000"/>
          <w:szCs w:val="22"/>
          <w:shd w:val="clear" w:color="auto" w:fill="FFFFFF"/>
        </w:rPr>
        <w:t xml:space="preserve">reported that those increases in </w:t>
      </w:r>
      <w:r w:rsidRPr="009D09FD">
        <w:rPr>
          <w:rStyle w:val="normaltextrun"/>
          <w:rFonts w:cs="Arial"/>
          <w:color w:val="000000"/>
          <w:szCs w:val="22"/>
          <w:shd w:val="clear" w:color="auto" w:fill="FFFFFF"/>
        </w:rPr>
        <w:t>costs had been one-offs in nature, including purchasing new software and changing rosters.</w:t>
      </w:r>
    </w:p>
    <w:p w14:paraId="6BA23AB4" w14:textId="79B79519" w:rsidR="00830910" w:rsidRDefault="00830910" w:rsidP="00830910">
      <w:pPr>
        <w:rPr>
          <w:szCs w:val="22"/>
        </w:rPr>
      </w:pPr>
      <w:r>
        <w:rPr>
          <w:szCs w:val="22"/>
        </w:rPr>
        <w:t>Th</w:t>
      </w:r>
      <w:r w:rsidRPr="00787B95">
        <w:rPr>
          <w:szCs w:val="22"/>
        </w:rPr>
        <w:t xml:space="preserve">e 2% temporary loading introduced </w:t>
      </w:r>
      <w:r>
        <w:rPr>
          <w:szCs w:val="22"/>
        </w:rPr>
        <w:t xml:space="preserve">from 1 </w:t>
      </w:r>
      <w:r w:rsidRPr="00787B95">
        <w:rPr>
          <w:szCs w:val="22"/>
        </w:rPr>
        <w:t xml:space="preserve">July 2022 </w:t>
      </w:r>
      <w:r>
        <w:rPr>
          <w:szCs w:val="22"/>
        </w:rPr>
        <w:t xml:space="preserve">in the DSW Cost Model </w:t>
      </w:r>
      <w:r w:rsidRPr="00787B95">
        <w:rPr>
          <w:szCs w:val="22"/>
        </w:rPr>
        <w:t xml:space="preserve">was </w:t>
      </w:r>
      <w:r>
        <w:rPr>
          <w:szCs w:val="22"/>
        </w:rPr>
        <w:t xml:space="preserve">intended </w:t>
      </w:r>
      <w:r w:rsidRPr="00787B95">
        <w:rPr>
          <w:szCs w:val="22"/>
        </w:rPr>
        <w:t xml:space="preserve">to be </w:t>
      </w:r>
      <w:r>
        <w:rPr>
          <w:szCs w:val="22"/>
        </w:rPr>
        <w:t>a temporary</w:t>
      </w:r>
      <w:r w:rsidRPr="00787B95">
        <w:rPr>
          <w:szCs w:val="22"/>
        </w:rPr>
        <w:t xml:space="preserve"> </w:t>
      </w:r>
      <w:r>
        <w:rPr>
          <w:szCs w:val="22"/>
        </w:rPr>
        <w:t xml:space="preserve">measure to assist providers adjust to costs </w:t>
      </w:r>
      <w:r w:rsidR="0005550D">
        <w:rPr>
          <w:szCs w:val="22"/>
        </w:rPr>
        <w:t xml:space="preserve">associated from ongoing </w:t>
      </w:r>
      <w:r>
        <w:rPr>
          <w:szCs w:val="22"/>
        </w:rPr>
        <w:t xml:space="preserve">COVID </w:t>
      </w:r>
      <w:r w:rsidR="0005550D">
        <w:rPr>
          <w:szCs w:val="22"/>
        </w:rPr>
        <w:t xml:space="preserve">management </w:t>
      </w:r>
      <w:r>
        <w:rPr>
          <w:szCs w:val="22"/>
        </w:rPr>
        <w:t xml:space="preserve">and SCHADS Award changes. </w:t>
      </w:r>
      <w:r w:rsidR="00C544E0">
        <w:rPr>
          <w:szCs w:val="22"/>
        </w:rPr>
        <w:t xml:space="preserve">Analysis and data suggest that there are merits in favour of retaining the loading </w:t>
      </w:r>
      <w:r w:rsidR="00FC2F28">
        <w:rPr>
          <w:szCs w:val="22"/>
        </w:rPr>
        <w:t>at a reduced rate</w:t>
      </w:r>
      <w:r w:rsidR="00337F1F">
        <w:rPr>
          <w:szCs w:val="22"/>
        </w:rPr>
        <w:t xml:space="preserve"> to ease providers’ transition</w:t>
      </w:r>
      <w:r w:rsidR="00FC2F28">
        <w:rPr>
          <w:szCs w:val="22"/>
        </w:rPr>
        <w:t>.</w:t>
      </w:r>
      <w:r w:rsidR="00C544E0">
        <w:rPr>
          <w:szCs w:val="22"/>
        </w:rPr>
        <w:t xml:space="preserve"> </w:t>
      </w:r>
      <w:r>
        <w:rPr>
          <w:szCs w:val="22"/>
        </w:rPr>
        <w:t>The following considerations have been given:</w:t>
      </w:r>
    </w:p>
    <w:p w14:paraId="49B30333" w14:textId="69CC956F" w:rsidR="00830910" w:rsidRDefault="4D5BB07B" w:rsidP="00F317CA">
      <w:pPr>
        <w:pStyle w:val="ListParagraph"/>
        <w:numPr>
          <w:ilvl w:val="0"/>
          <w:numId w:val="13"/>
        </w:numPr>
      </w:pPr>
      <w:r>
        <w:t>I</w:t>
      </w:r>
      <w:r w:rsidDel="00995C82">
        <w:t>t should be recognised</w:t>
      </w:r>
      <w:r w:rsidR="00995C82">
        <w:t xml:space="preserve"> </w:t>
      </w:r>
      <w:r>
        <w:t xml:space="preserve">that COVID related restrictions in the economy have been wound back. However, COVID is still </w:t>
      </w:r>
      <w:r w:rsidR="00F870E2">
        <w:t xml:space="preserve">active </w:t>
      </w:r>
      <w:r>
        <w:t xml:space="preserve">and </w:t>
      </w:r>
      <w:r w:rsidR="001C53ED">
        <w:t xml:space="preserve">is </w:t>
      </w:r>
      <w:r>
        <w:t>disrupt</w:t>
      </w:r>
      <w:r w:rsidR="001C53ED">
        <w:t>ing</w:t>
      </w:r>
      <w:r>
        <w:t xml:space="preserve"> supports being delivered to NDIS participants</w:t>
      </w:r>
      <w:r w:rsidR="7666E1BA">
        <w:t>. P</w:t>
      </w:r>
      <w:r>
        <w:t xml:space="preserve">roviders </w:t>
      </w:r>
      <w:r w:rsidR="7666E1BA">
        <w:t>incur</w:t>
      </w:r>
      <w:r>
        <w:t xml:space="preserve"> some costs when these arise (</w:t>
      </w:r>
      <w:r w:rsidR="000A275E">
        <w:t>such as</w:t>
      </w:r>
      <w:r>
        <w:t xml:space="preserve"> </w:t>
      </w:r>
      <w:bookmarkStart w:id="13" w:name="_Int_GwQA8FgW"/>
      <w:r>
        <w:t>PPE</w:t>
      </w:r>
      <w:bookmarkEnd w:id="13"/>
      <w:r>
        <w:t xml:space="preserve"> and </w:t>
      </w:r>
      <w:bookmarkStart w:id="14" w:name="_Int_ut6HSE1O"/>
      <w:r>
        <w:t>RAT</w:t>
      </w:r>
      <w:bookmarkEnd w:id="14"/>
      <w:r>
        <w:t xml:space="preserve"> tests).</w:t>
      </w:r>
      <w:r w:rsidR="0D75AE91">
        <w:t xml:space="preserve"> </w:t>
      </w:r>
      <w:r>
        <w:t xml:space="preserve">The NDIS sector also represents some of the most vulnerable groups in the community and the adjustments from COVID has </w:t>
      </w:r>
      <w:r w:rsidR="65D8C5A1">
        <w:t xml:space="preserve">been </w:t>
      </w:r>
      <w:r>
        <w:t xml:space="preserve">somewhat slower than the rest of the </w:t>
      </w:r>
      <w:r w:rsidR="0A6FCCF9">
        <w:t>nation</w:t>
      </w:r>
      <w:r>
        <w:t xml:space="preserve">. </w:t>
      </w:r>
    </w:p>
    <w:p w14:paraId="738EA672" w14:textId="560C32C0" w:rsidR="00830910" w:rsidRDefault="1E4ED833" w:rsidP="00F317CA">
      <w:pPr>
        <w:pStyle w:val="ListParagraph"/>
        <w:numPr>
          <w:ilvl w:val="0"/>
          <w:numId w:val="13"/>
        </w:numPr>
      </w:pPr>
      <w:r w:rsidDel="00B52CD0">
        <w:t>It appears</w:t>
      </w:r>
      <w:r w:rsidR="00B52CD0">
        <w:t xml:space="preserve"> </w:t>
      </w:r>
      <w:r>
        <w:t xml:space="preserve">many of the adjustments needed for the SCHADS Award changes were one-off costs for providers. It is considered that there is still ongoing adjustment being made by the sector as these major Award changes are still relatively recent. The NDIA recognises there is some cost impact that can still be borne by providers as it takes time for a sector to fully adjust systems and processes to major Award changes. </w:t>
      </w:r>
    </w:p>
    <w:p w14:paraId="04FD5620" w14:textId="649F5538" w:rsidR="004E4C44" w:rsidRDefault="1E4ED833" w:rsidP="00830910">
      <w:r>
        <w:t xml:space="preserve">The NDIA considers that </w:t>
      </w:r>
      <w:proofErr w:type="gramStart"/>
      <w:r w:rsidDel="00B52CD0">
        <w:t xml:space="preserve">the majority </w:t>
      </w:r>
      <w:r>
        <w:t>of</w:t>
      </w:r>
      <w:proofErr w:type="gramEnd"/>
      <w:r>
        <w:t xml:space="preserve"> these costs have been addressed and/or</w:t>
      </w:r>
      <w:r w:rsidR="00907ACE">
        <w:t xml:space="preserve"> </w:t>
      </w:r>
      <w:r w:rsidR="00077B1C">
        <w:t xml:space="preserve">wound </w:t>
      </w:r>
      <w:r>
        <w:t xml:space="preserve">back over the past year. COVID costs </w:t>
      </w:r>
      <w:r w:rsidR="00907ACE">
        <w:t xml:space="preserve">are </w:t>
      </w:r>
      <w:r>
        <w:t xml:space="preserve">reducing post pandemic and many of the costs from the changes to the SCHADS Award were one-off adjustments. However, the NDIA acknowledges </w:t>
      </w:r>
      <w:r w:rsidR="00907ACE">
        <w:t xml:space="preserve">there remains the </w:t>
      </w:r>
      <w:r>
        <w:t xml:space="preserve">potential to impact participant safety as some providers are still facing </w:t>
      </w:r>
      <w:r w:rsidR="00EE49FA">
        <w:t xml:space="preserve">transition </w:t>
      </w:r>
      <w:r>
        <w:t xml:space="preserve">costs associated with both. </w:t>
      </w:r>
    </w:p>
    <w:p w14:paraId="42946B56" w14:textId="676C692B" w:rsidR="00830910" w:rsidRPr="00B038C1" w:rsidRDefault="008665FB" w:rsidP="00830910">
      <w:pPr>
        <w:rPr>
          <w:rStyle w:val="normaltextrun"/>
          <w:szCs w:val="22"/>
        </w:rPr>
      </w:pPr>
      <w:r>
        <w:lastRenderedPageBreak/>
        <w:t xml:space="preserve">Evidence suggests that many providers </w:t>
      </w:r>
      <w:r w:rsidR="00995AA6">
        <w:t>have</w:t>
      </w:r>
      <w:r w:rsidR="008E731B">
        <w:t xml:space="preserve"> already</w:t>
      </w:r>
      <w:r w:rsidR="00995AA6">
        <w:t xml:space="preserve"> </w:t>
      </w:r>
      <w:r w:rsidR="00C50CE6">
        <w:t>adjusted,</w:t>
      </w:r>
      <w:r w:rsidR="00995AA6">
        <w:t xml:space="preserve"> but some</w:t>
      </w:r>
      <w:r>
        <w:t xml:space="preserve"> are still </w:t>
      </w:r>
      <w:r w:rsidR="008E731B">
        <w:t>implementing</w:t>
      </w:r>
      <w:r w:rsidR="00324D40">
        <w:t xml:space="preserve"> adjustments</w:t>
      </w:r>
      <w:r w:rsidR="00EB0D6F">
        <w:t xml:space="preserve"> </w:t>
      </w:r>
      <w:r w:rsidR="000E5C6D">
        <w:t>associated with COVID and SCHADS Awards changes</w:t>
      </w:r>
      <w:r w:rsidR="00D84922">
        <w:t xml:space="preserve">. </w:t>
      </w:r>
      <w:r w:rsidR="0052334A">
        <w:t>On balance, the NDIA</w:t>
      </w:r>
      <w:r w:rsidR="00B570BB">
        <w:t xml:space="preserve"> </w:t>
      </w:r>
      <w:r w:rsidR="00830910">
        <w:t xml:space="preserve">considers it necessary to </w:t>
      </w:r>
      <w:r w:rsidR="007A322E" w:rsidRPr="00803378">
        <w:t>exten</w:t>
      </w:r>
      <w:r w:rsidR="007A322E">
        <w:t>d</w:t>
      </w:r>
      <w:r w:rsidR="007A322E" w:rsidRPr="00803378">
        <w:t xml:space="preserve"> the temporary loading for a further 12 months at 1% from 1 July 2023</w:t>
      </w:r>
      <w:r w:rsidR="007A322E">
        <w:t xml:space="preserve"> with this </w:t>
      </w:r>
      <w:r w:rsidR="007A322E" w:rsidRPr="00803378">
        <w:t>ceas</w:t>
      </w:r>
      <w:r w:rsidR="007A322E">
        <w:t>ing</w:t>
      </w:r>
      <w:r w:rsidR="007A322E" w:rsidRPr="00803378">
        <w:t xml:space="preserve"> on 1 July 2024</w:t>
      </w:r>
      <w:r w:rsidR="00830910">
        <w:t xml:space="preserve">, to allow providers more time </w:t>
      </w:r>
      <w:r w:rsidR="004C3B22">
        <w:t>for the transition</w:t>
      </w:r>
      <w:r w:rsidR="00F3596C">
        <w:t>.</w:t>
      </w:r>
      <w:r w:rsidR="004C3B22">
        <w:t xml:space="preserve"> </w:t>
      </w:r>
    </w:p>
    <w:p w14:paraId="58E7E836" w14:textId="1CBAAC54" w:rsidR="00732553" w:rsidRPr="00DF0C3D" w:rsidRDefault="00732553" w:rsidP="00732553">
      <w:pPr>
        <w:pStyle w:val="RecHeading"/>
      </w:pPr>
      <w:r w:rsidRPr="00DF0C3D">
        <w:t xml:space="preserve">Recommendation </w:t>
      </w:r>
      <w:r w:rsidR="003A25C3">
        <w:t>1</w:t>
      </w:r>
    </w:p>
    <w:p w14:paraId="2FE6DFAF" w14:textId="1CDF2553" w:rsidR="00252035" w:rsidRDefault="00732553" w:rsidP="00DF4D5E">
      <w:pPr>
        <w:pStyle w:val="RecText"/>
      </w:pPr>
      <w:r>
        <w:t>The NDIA</w:t>
      </w:r>
      <w:r w:rsidRPr="00DF0C3D">
        <w:t>, subject to any specific recommendation arising from the current Annual Pricing Review, should</w:t>
      </w:r>
      <w:r w:rsidR="00A33B86">
        <w:t xml:space="preserve"> i</w:t>
      </w:r>
      <w:r w:rsidRPr="00DF0C3D">
        <w:t xml:space="preserve">ncrease the price limits for supports that are determined by the NDIS Disability Support Worker Cost Model </w:t>
      </w:r>
      <w:r w:rsidR="007A6FA1">
        <w:t xml:space="preserve">from </w:t>
      </w:r>
      <w:r w:rsidRPr="00DF0C3D">
        <w:t xml:space="preserve">1 July </w:t>
      </w:r>
      <w:r w:rsidR="00B40663">
        <w:t>2023</w:t>
      </w:r>
      <w:r w:rsidRPr="00DF0C3D">
        <w:t xml:space="preserve"> to reflect any changes in the minimum wages specified in the </w:t>
      </w:r>
      <w:r w:rsidR="007E12AF">
        <w:t>Social, Community, Home Care And Disability Services Industry Award 2010 (</w:t>
      </w:r>
      <w:r w:rsidRPr="00DF0C3D">
        <w:t>SCHADS Award</w:t>
      </w:r>
      <w:r w:rsidR="007E12AF">
        <w:t>)</w:t>
      </w:r>
      <w:r w:rsidRPr="00DF0C3D">
        <w:t xml:space="preserve"> following the Fair Work Commission’s Annual Wage Review and any increase in the Superannuation Guarantee Charge</w:t>
      </w:r>
      <w:r w:rsidR="00252035">
        <w:t>.</w:t>
      </w:r>
    </w:p>
    <w:p w14:paraId="54F28BD6" w14:textId="64CBB4A0" w:rsidR="00252035" w:rsidRDefault="00252035" w:rsidP="00371CAD">
      <w:pPr>
        <w:pStyle w:val="RecHeading"/>
      </w:pPr>
      <w:r w:rsidRPr="007E12AF">
        <w:t>Recommendat</w:t>
      </w:r>
      <w:r w:rsidRPr="3D96749F">
        <w:t>ion 2</w:t>
      </w:r>
    </w:p>
    <w:p w14:paraId="5D4CE76D" w14:textId="4DDCA521" w:rsidR="00D4221F" w:rsidRPr="00DF0C3D" w:rsidRDefault="00252035" w:rsidP="00CA0161">
      <w:pPr>
        <w:pStyle w:val="RecText"/>
      </w:pPr>
      <w:r>
        <w:t>The NDIA</w:t>
      </w:r>
      <w:r w:rsidRPr="00DF0C3D">
        <w:t xml:space="preserve"> should </w:t>
      </w:r>
      <w:r w:rsidR="00980EB4" w:rsidRPr="00803378">
        <w:t>exten</w:t>
      </w:r>
      <w:r w:rsidR="00980EB4">
        <w:t>d</w:t>
      </w:r>
      <w:r w:rsidR="00980EB4" w:rsidRPr="00803378">
        <w:t xml:space="preserve"> the temporary loading for a further 12 months at 1% from 1 July 2023</w:t>
      </w:r>
      <w:r w:rsidR="00980EB4">
        <w:t xml:space="preserve"> with this </w:t>
      </w:r>
      <w:r w:rsidR="00980EB4" w:rsidRPr="00803378">
        <w:t>ceas</w:t>
      </w:r>
      <w:r w:rsidR="00980EB4">
        <w:t>ing</w:t>
      </w:r>
      <w:r w:rsidR="00980EB4" w:rsidRPr="00803378">
        <w:t xml:space="preserve"> on 1 July 2024</w:t>
      </w:r>
      <w:r>
        <w:t>.</w:t>
      </w:r>
      <w:r w:rsidRPr="00DF0C3D">
        <w:t xml:space="preserve"> </w:t>
      </w:r>
    </w:p>
    <w:p w14:paraId="16EA30F4" w14:textId="5E896DDB" w:rsidR="00271BAC" w:rsidRPr="0051581E" w:rsidRDefault="00271BAC" w:rsidP="001132A9">
      <w:pPr>
        <w:pStyle w:val="Heading3"/>
        <w:rPr>
          <w:rStyle w:val="normaltextrun"/>
          <w:b w:val="0"/>
          <w:bCs w:val="0"/>
          <w:i w:val="0"/>
          <w:iCs w:val="0"/>
        </w:rPr>
      </w:pPr>
      <w:r w:rsidRPr="00C13CDA">
        <w:t>DSW Cost</w:t>
      </w:r>
      <w:r w:rsidRPr="0051581E">
        <w:rPr>
          <w:rStyle w:val="normaltextrun"/>
        </w:rPr>
        <w:t xml:space="preserve"> Model </w:t>
      </w:r>
      <w:r w:rsidR="006F0D31" w:rsidRPr="0051581E">
        <w:rPr>
          <w:rStyle w:val="normaltextrun"/>
        </w:rPr>
        <w:t>c</w:t>
      </w:r>
      <w:r w:rsidRPr="0051581E">
        <w:rPr>
          <w:rStyle w:val="normaltextrun"/>
        </w:rPr>
        <w:t>hanges</w:t>
      </w:r>
    </w:p>
    <w:p w14:paraId="3164CC65" w14:textId="6703FA31" w:rsidR="00271BAC" w:rsidRDefault="00271BAC" w:rsidP="00271BAC">
      <w:pPr>
        <w:rPr>
          <w:szCs w:val="22"/>
        </w:rPr>
      </w:pPr>
      <w:r w:rsidRPr="00787B95">
        <w:rPr>
          <w:szCs w:val="22"/>
        </w:rPr>
        <w:t xml:space="preserve">The DSW </w:t>
      </w:r>
      <w:r>
        <w:rPr>
          <w:szCs w:val="22"/>
        </w:rPr>
        <w:t>C</w:t>
      </w:r>
      <w:r w:rsidRPr="00787B95">
        <w:rPr>
          <w:szCs w:val="22"/>
        </w:rPr>
        <w:t xml:space="preserve">ost </w:t>
      </w:r>
      <w:r>
        <w:rPr>
          <w:szCs w:val="22"/>
        </w:rPr>
        <w:t>M</w:t>
      </w:r>
      <w:r w:rsidRPr="00787B95">
        <w:rPr>
          <w:szCs w:val="22"/>
        </w:rPr>
        <w:t xml:space="preserve">odel is updated annually </w:t>
      </w:r>
      <w:r>
        <w:rPr>
          <w:szCs w:val="22"/>
        </w:rPr>
        <w:t xml:space="preserve">alongside </w:t>
      </w:r>
      <w:r w:rsidRPr="00787B95">
        <w:rPr>
          <w:szCs w:val="22"/>
        </w:rPr>
        <w:t>any changes to the superannuation contribution</w:t>
      </w:r>
      <w:r w:rsidR="0042645B">
        <w:rPr>
          <w:szCs w:val="22"/>
        </w:rPr>
        <w:t>,</w:t>
      </w:r>
      <w:r w:rsidRPr="00787B95">
        <w:rPr>
          <w:szCs w:val="22"/>
        </w:rPr>
        <w:t xml:space="preserve"> which will increase from 10.5% to 11% from 1 July 2023. This </w:t>
      </w:r>
      <w:r>
        <w:rPr>
          <w:szCs w:val="22"/>
        </w:rPr>
        <w:t xml:space="preserve">increase </w:t>
      </w:r>
      <w:r w:rsidRPr="00787B95">
        <w:rPr>
          <w:szCs w:val="22"/>
        </w:rPr>
        <w:t xml:space="preserve">will be passed on in full </w:t>
      </w:r>
      <w:r>
        <w:rPr>
          <w:szCs w:val="22"/>
        </w:rPr>
        <w:t xml:space="preserve">to </w:t>
      </w:r>
      <w:r w:rsidRPr="00787B95">
        <w:rPr>
          <w:szCs w:val="22"/>
        </w:rPr>
        <w:t xml:space="preserve">the </w:t>
      </w:r>
      <w:r w:rsidR="00555ECD">
        <w:rPr>
          <w:szCs w:val="22"/>
        </w:rPr>
        <w:t xml:space="preserve">DSW </w:t>
      </w:r>
      <w:r>
        <w:rPr>
          <w:szCs w:val="22"/>
        </w:rPr>
        <w:t>C</w:t>
      </w:r>
      <w:r w:rsidRPr="00787B95">
        <w:rPr>
          <w:szCs w:val="22"/>
        </w:rPr>
        <w:t xml:space="preserve">ost </w:t>
      </w:r>
      <w:r>
        <w:rPr>
          <w:szCs w:val="22"/>
        </w:rPr>
        <w:t>M</w:t>
      </w:r>
      <w:r w:rsidRPr="00787B95">
        <w:rPr>
          <w:szCs w:val="22"/>
        </w:rPr>
        <w:t xml:space="preserve">odel. </w:t>
      </w:r>
    </w:p>
    <w:p w14:paraId="00602302" w14:textId="3C2ADA2B" w:rsidR="00271BAC" w:rsidRDefault="4A9E8301" w:rsidP="00271BAC">
      <w:r>
        <w:t xml:space="preserve">An additional consideration this year is the new paid family and domestic violence leave introduced by the Fair Work Commission. Based on previous surveys and studies, the NDIA estimates an upper bound number of workers accessing family and domestic violence leave to be 2.3%, with those accessing the leave assumed to be accessing the entire minimum entitlement. </w:t>
      </w:r>
      <w:r w:rsidR="3D243190">
        <w:t xml:space="preserve">Incorporating this </w:t>
      </w:r>
      <w:r w:rsidR="193BACAE">
        <w:t xml:space="preserve">into the </w:t>
      </w:r>
      <w:r w:rsidR="3C888BD8">
        <w:t xml:space="preserve">2022-23 </w:t>
      </w:r>
      <w:r w:rsidR="193BACAE">
        <w:t xml:space="preserve">DSW Cost Model, holding </w:t>
      </w:r>
      <w:r w:rsidR="7BF0D218">
        <w:t>everything else constant, this equates to a 0.1% increase to an hou</w:t>
      </w:r>
      <w:r w:rsidR="7649C514">
        <w:t xml:space="preserve">r of the standard, weekday daytime disability support worker. </w:t>
      </w:r>
      <w:r w:rsidRPr="19AAF43B">
        <w:rPr>
          <w:rFonts w:asciiTheme="majorHAnsi" w:eastAsia="Arial" w:hAnsiTheme="majorHAnsi" w:cstheme="majorBidi"/>
          <w:lang w:val="en-US"/>
        </w:rPr>
        <w:t xml:space="preserve">The NDIA acknowledges this may be </w:t>
      </w:r>
      <w:r w:rsidR="45BDA6AF" w:rsidRPr="19AAF43B">
        <w:rPr>
          <w:rFonts w:asciiTheme="majorHAnsi" w:eastAsia="Arial" w:hAnsiTheme="majorHAnsi" w:cstheme="majorBidi"/>
          <w:lang w:val="en-US"/>
        </w:rPr>
        <w:t>an overestimation of</w:t>
      </w:r>
      <w:r w:rsidRPr="19AAF43B">
        <w:rPr>
          <w:rFonts w:asciiTheme="majorHAnsi" w:eastAsia="Arial" w:hAnsiTheme="majorHAnsi" w:cstheme="majorBidi"/>
          <w:lang w:val="en-US"/>
        </w:rPr>
        <w:t xml:space="preserve"> the actual </w:t>
      </w:r>
      <w:r w:rsidR="5208FCDD" w:rsidRPr="19AAF43B">
        <w:rPr>
          <w:rFonts w:asciiTheme="majorHAnsi" w:eastAsia="Arial" w:hAnsiTheme="majorHAnsi" w:cstheme="majorBidi"/>
          <w:lang w:val="en-US"/>
        </w:rPr>
        <w:t>uptake</w:t>
      </w:r>
      <w:r w:rsidRPr="19AAF43B">
        <w:rPr>
          <w:rFonts w:asciiTheme="majorHAnsi" w:eastAsia="Arial" w:hAnsiTheme="majorHAnsi" w:cstheme="majorBidi"/>
          <w:lang w:val="en-US"/>
        </w:rPr>
        <w:t xml:space="preserve"> of this leave in the sector as it is implemented and will continue monitoring </w:t>
      </w:r>
      <w:r w:rsidR="43F6B086" w:rsidRPr="19AAF43B">
        <w:rPr>
          <w:rFonts w:asciiTheme="majorHAnsi" w:eastAsia="Arial" w:hAnsiTheme="majorHAnsi" w:cstheme="majorBidi"/>
          <w:lang w:val="en-US"/>
        </w:rPr>
        <w:t xml:space="preserve">its impact </w:t>
      </w:r>
      <w:r w:rsidRPr="19AAF43B">
        <w:rPr>
          <w:rFonts w:asciiTheme="majorHAnsi" w:eastAsia="Arial" w:hAnsiTheme="majorHAnsi" w:cstheme="majorBidi"/>
          <w:lang w:val="en-US"/>
        </w:rPr>
        <w:t>into the future.</w:t>
      </w:r>
    </w:p>
    <w:p w14:paraId="032BB1E4" w14:textId="6D72DDE4" w:rsidR="00271BAC" w:rsidRDefault="00271BAC" w:rsidP="00271BAC">
      <w:pPr>
        <w:pStyle w:val="RecHeading"/>
        <w:rPr>
          <w:rFonts w:cs="Arial"/>
          <w:i w:val="0"/>
          <w:iCs/>
          <w:szCs w:val="22"/>
        </w:rPr>
      </w:pPr>
      <w:r w:rsidRPr="00256D9F">
        <w:t xml:space="preserve">Recommendation </w:t>
      </w:r>
      <w:r w:rsidR="00B57F94">
        <w:t>3</w:t>
      </w:r>
    </w:p>
    <w:p w14:paraId="7E338621" w14:textId="11189777" w:rsidR="00D4221F" w:rsidRPr="00CA1C1C" w:rsidRDefault="00271BAC" w:rsidP="00CA0161">
      <w:pPr>
        <w:pStyle w:val="RecText"/>
        <w:rPr>
          <w:rStyle w:val="normaltextrun"/>
        </w:rPr>
      </w:pPr>
      <w:r>
        <w:t>The NDIA</w:t>
      </w:r>
      <w:r w:rsidRPr="00DF0C3D">
        <w:t xml:space="preserve"> should </w:t>
      </w:r>
      <w:r>
        <w:t>include</w:t>
      </w:r>
      <w:r w:rsidR="00E565C5">
        <w:t xml:space="preserve"> the</w:t>
      </w:r>
      <w:r w:rsidR="00E565C5" w:rsidRPr="00803378">
        <w:t xml:space="preserve"> paid family and domestic violence leave into the Disability Support Worker Cost Model -</w:t>
      </w:r>
      <w:r w:rsidR="00872F17">
        <w:t xml:space="preserve"> an</w:t>
      </w:r>
      <w:r w:rsidR="00E565C5" w:rsidRPr="00803378">
        <w:t xml:space="preserve"> increase </w:t>
      </w:r>
      <w:r w:rsidR="00872F17">
        <w:t>of</w:t>
      </w:r>
      <w:r w:rsidR="00E565C5" w:rsidRPr="00803378">
        <w:t xml:space="preserve"> 0.1% from 1 July </w:t>
      </w:r>
      <w:r w:rsidR="00CB4BCB">
        <w:t xml:space="preserve">2023 </w:t>
      </w:r>
      <w:r w:rsidR="00E565C5" w:rsidRPr="00803378">
        <w:t>to reflect the new entitlements for workers in the industry</w:t>
      </w:r>
      <w:r>
        <w:t>.</w:t>
      </w:r>
    </w:p>
    <w:p w14:paraId="491C07F1" w14:textId="41A22107" w:rsidR="00271BAC" w:rsidRPr="0051581E" w:rsidRDefault="00271BAC" w:rsidP="00D9646F">
      <w:pPr>
        <w:pStyle w:val="Heading3"/>
        <w:rPr>
          <w:rStyle w:val="normaltextrun"/>
          <w:b w:val="0"/>
          <w:bCs w:val="0"/>
          <w:i w:val="0"/>
          <w:iCs w:val="0"/>
        </w:rPr>
      </w:pPr>
      <w:r w:rsidRPr="0051581E">
        <w:rPr>
          <w:rStyle w:val="normaltextrun"/>
        </w:rPr>
        <w:t xml:space="preserve">Aged Care Award </w:t>
      </w:r>
      <w:r w:rsidR="006F0D31" w:rsidRPr="0051581E">
        <w:rPr>
          <w:rStyle w:val="normaltextrun"/>
        </w:rPr>
        <w:t>c</w:t>
      </w:r>
      <w:r w:rsidRPr="0051581E">
        <w:rPr>
          <w:rStyle w:val="normaltextrun"/>
        </w:rPr>
        <w:t>hanges</w:t>
      </w:r>
    </w:p>
    <w:p w14:paraId="53699618" w14:textId="0430F199" w:rsidR="00271BAC" w:rsidRDefault="00271BAC" w:rsidP="00271BAC">
      <w:r>
        <w:t>T</w:t>
      </w:r>
      <w:r w:rsidRPr="00787B95">
        <w:t xml:space="preserve">he Fair Work Commission </w:t>
      </w:r>
      <w:r>
        <w:t xml:space="preserve">has </w:t>
      </w:r>
      <w:r w:rsidRPr="00787B95">
        <w:t>lift</w:t>
      </w:r>
      <w:r>
        <w:t>ed</w:t>
      </w:r>
      <w:r w:rsidRPr="00787B95">
        <w:t xml:space="preserve"> the </w:t>
      </w:r>
      <w:r w:rsidR="00B56271">
        <w:t>aged care worker wages in relevant Awards</w:t>
      </w:r>
      <w:r w:rsidRPr="00787B95">
        <w:t xml:space="preserve"> by 15% from July 2023</w:t>
      </w:r>
      <w:r>
        <w:t>.</w:t>
      </w:r>
      <w:r w:rsidRPr="00787B95">
        <w:t xml:space="preserve"> </w:t>
      </w:r>
      <w:r>
        <w:t>T</w:t>
      </w:r>
      <w:r w:rsidRPr="00787B95">
        <w:t xml:space="preserve">he Award rates </w:t>
      </w:r>
      <w:r w:rsidR="00A06101">
        <w:t xml:space="preserve">for DSWs </w:t>
      </w:r>
      <w:r w:rsidRPr="00787B95">
        <w:t xml:space="preserve">are still </w:t>
      </w:r>
      <w:r>
        <w:t xml:space="preserve">estimated to be </w:t>
      </w:r>
      <w:r w:rsidRPr="00787B95">
        <w:t xml:space="preserve">higher than comparable </w:t>
      </w:r>
      <w:r w:rsidR="00A06101">
        <w:t>aged care workers</w:t>
      </w:r>
      <w:r>
        <w:t xml:space="preserve">. </w:t>
      </w:r>
      <w:r w:rsidR="00C550C2">
        <w:t>However,</w:t>
      </w:r>
      <w:r>
        <w:t xml:space="preserve"> there could be greater attraction of workers to the aged care workforce as the disability sector and aged care sector share the same pool of workers. Although</w:t>
      </w:r>
      <w:r w:rsidRPr="00787B95">
        <w:t xml:space="preserve"> the NDIA expects the impact </w:t>
      </w:r>
      <w:r>
        <w:t xml:space="preserve">of these changes </w:t>
      </w:r>
      <w:r w:rsidRPr="00787B95">
        <w:t>to be limited</w:t>
      </w:r>
      <w:r>
        <w:t>, the NDIA should continue to monitor the impact of these changes</w:t>
      </w:r>
      <w:r w:rsidRPr="00787B95">
        <w:t>.</w:t>
      </w:r>
    </w:p>
    <w:p w14:paraId="14B005FD" w14:textId="098FFCFF" w:rsidR="00271BAC" w:rsidRPr="00DF0C3D" w:rsidRDefault="00271BAC" w:rsidP="00271BAC">
      <w:pPr>
        <w:pStyle w:val="RecHeading"/>
      </w:pPr>
      <w:r w:rsidRPr="00DF0C3D">
        <w:lastRenderedPageBreak/>
        <w:t xml:space="preserve">Recommendation </w:t>
      </w:r>
      <w:r w:rsidR="00B57F94">
        <w:t>4</w:t>
      </w:r>
    </w:p>
    <w:p w14:paraId="70ED4CE1" w14:textId="3393F9D7" w:rsidR="00271BAC" w:rsidRPr="00CA0161" w:rsidRDefault="00271BAC" w:rsidP="00CA0161">
      <w:pPr>
        <w:pStyle w:val="RecText"/>
      </w:pPr>
      <w:r>
        <w:t>The NDIA</w:t>
      </w:r>
      <w:r w:rsidRPr="00DF0C3D">
        <w:t xml:space="preserve"> should continue to work with the sector to monitor the impact </w:t>
      </w:r>
      <w:r>
        <w:t xml:space="preserve">of changes to the Aged Care Award </w:t>
      </w:r>
      <w:r w:rsidRPr="00DF0C3D">
        <w:t>that come into effect on 1 July 202</w:t>
      </w:r>
      <w:r>
        <w:t>3</w:t>
      </w:r>
      <w:r w:rsidRPr="00DF0C3D">
        <w:t xml:space="preserve"> with a view to further addressing these costs</w:t>
      </w:r>
      <w:r>
        <w:t xml:space="preserve"> in the future</w:t>
      </w:r>
      <w:r w:rsidRPr="00DF0C3D">
        <w:t xml:space="preserve"> if necessary.</w:t>
      </w:r>
    </w:p>
    <w:p w14:paraId="5AAB4062" w14:textId="03D9DB98" w:rsidR="00271BAC" w:rsidRPr="0051581E" w:rsidRDefault="00271BAC" w:rsidP="00D9646F">
      <w:pPr>
        <w:pStyle w:val="Heading3"/>
        <w:rPr>
          <w:rStyle w:val="normaltextrun"/>
          <w:b w:val="0"/>
          <w:i w:val="0"/>
          <w:iCs w:val="0"/>
        </w:rPr>
      </w:pPr>
      <w:r w:rsidRPr="0051581E">
        <w:rPr>
          <w:rStyle w:val="normaltextrun"/>
        </w:rPr>
        <w:t xml:space="preserve">Temporary Transformation Payment </w:t>
      </w:r>
      <w:r w:rsidR="006F0D31" w:rsidRPr="0051581E">
        <w:rPr>
          <w:rStyle w:val="normaltextrun"/>
        </w:rPr>
        <w:t>l</w:t>
      </w:r>
      <w:r w:rsidRPr="0051581E">
        <w:rPr>
          <w:rStyle w:val="normaltextrun"/>
        </w:rPr>
        <w:t>oading</w:t>
      </w:r>
    </w:p>
    <w:p w14:paraId="76D1D820" w14:textId="4A38E880" w:rsidR="00271BAC" w:rsidRDefault="00271BAC" w:rsidP="00271BAC">
      <w:r w:rsidRPr="00787B95">
        <w:t xml:space="preserve">The </w:t>
      </w:r>
      <w:r>
        <w:t>T</w:t>
      </w:r>
      <w:r w:rsidRPr="00787B95">
        <w:t xml:space="preserve">emporary </w:t>
      </w:r>
      <w:r>
        <w:t>T</w:t>
      </w:r>
      <w:r w:rsidRPr="00787B95">
        <w:t xml:space="preserve">ransformation </w:t>
      </w:r>
      <w:r>
        <w:t>P</w:t>
      </w:r>
      <w:r w:rsidRPr="00787B95">
        <w:t xml:space="preserve">ayment (TTP) was initially setup to </w:t>
      </w:r>
      <w:r>
        <w:t>allow providers time to assist transitioning to more</w:t>
      </w:r>
      <w:r w:rsidRPr="00787B95">
        <w:t xml:space="preserve"> efficient </w:t>
      </w:r>
      <w:r>
        <w:t xml:space="preserve">systems and </w:t>
      </w:r>
      <w:r w:rsidRPr="00787B95">
        <w:t>prices.</w:t>
      </w:r>
      <w:r w:rsidRPr="00787B95" w:rsidDel="00457E69">
        <w:t xml:space="preserve"> </w:t>
      </w:r>
      <w:r w:rsidRPr="00134174">
        <w:t>The NDIA has conducted extensive financial benchmarking over the last six years, and consequently, the NDIA d</w:t>
      </w:r>
      <w:r w:rsidR="004E6700">
        <w:t>id</w:t>
      </w:r>
      <w:r w:rsidRPr="00134174">
        <w:t xml:space="preserve"> not consider it necessary to conduct a financial benchmarking survey in 2022-2023. </w:t>
      </w:r>
    </w:p>
    <w:p w14:paraId="49575CE0" w14:textId="5EC3D392" w:rsidR="00077E94" w:rsidRPr="00134174" w:rsidRDefault="00271BAC" w:rsidP="00271BAC">
      <w:r w:rsidRPr="00787B95">
        <w:t>As per the initial</w:t>
      </w:r>
      <w:r>
        <w:t xml:space="preserve"> pricing strategy</w:t>
      </w:r>
      <w:r w:rsidRPr="00787B95">
        <w:t xml:space="preserve"> framework, the NDIA </w:t>
      </w:r>
      <w:r>
        <w:t>does not see a need to change the timeline of the TTP to ensure balance is maintained between incentivising providers to achieve greater efficiencies while considering differing cost structures of providers. I</w:t>
      </w:r>
      <w:r>
        <w:rPr>
          <w:rStyle w:val="ui-provider"/>
        </w:rPr>
        <w:t>n the absence of a NDIS Financial Benchmarking Survey, is it reasonable to assume those who were accessing the TTP in FY2022-23 may continue to need access to assist transitioning systems.</w:t>
      </w:r>
    </w:p>
    <w:p w14:paraId="707C3650" w14:textId="0E093CF7" w:rsidR="00271BAC" w:rsidRPr="004A359C" w:rsidRDefault="00271BAC" w:rsidP="00271BAC">
      <w:r w:rsidRPr="00134174">
        <w:t xml:space="preserve">The NDIA will continue to work closely with the sector in monitoring market conditions and cost structures. </w:t>
      </w:r>
    </w:p>
    <w:p w14:paraId="683C9A5D" w14:textId="73E985FF" w:rsidR="00271BAC" w:rsidRPr="00DF0C3D" w:rsidRDefault="00271BAC" w:rsidP="00271BAC">
      <w:pPr>
        <w:pStyle w:val="RecHeading"/>
      </w:pPr>
      <w:r w:rsidRPr="00DF0C3D">
        <w:t xml:space="preserve">Recommendation </w:t>
      </w:r>
      <w:r w:rsidR="00B57F94">
        <w:t>5</w:t>
      </w:r>
    </w:p>
    <w:p w14:paraId="77FAD300" w14:textId="77777777" w:rsidR="00271BAC" w:rsidRDefault="00271BAC" w:rsidP="00271BAC">
      <w:pPr>
        <w:pStyle w:val="RecText"/>
      </w:pPr>
      <w:r>
        <w:t>The NDIA</w:t>
      </w:r>
      <w:r w:rsidRPr="00DF0C3D">
        <w:t xml:space="preserve"> should maintain its current pricing strategy including the scheduled reduction over the next year of the Temporary Transformation Payment (TTP) loading to </w:t>
      </w:r>
      <w:r>
        <w:t>1.5</w:t>
      </w:r>
      <w:r w:rsidRPr="00DF0C3D">
        <w:t>% on 1 July 202</w:t>
      </w:r>
      <w:r>
        <w:t>3</w:t>
      </w:r>
      <w:r w:rsidRPr="00DF0C3D">
        <w:t>. The TTP loading should cease to apply from 1 July 2024.</w:t>
      </w:r>
    </w:p>
    <w:p w14:paraId="24F9AE89" w14:textId="4C486854" w:rsidR="00B57F94" w:rsidRPr="00CA0161" w:rsidRDefault="00612CD1" w:rsidP="00CA0161">
      <w:pPr>
        <w:pStyle w:val="RecText"/>
      </w:pPr>
      <w:r>
        <w:t>The NDIA should allow r</w:t>
      </w:r>
      <w:r w:rsidR="00271BAC">
        <w:t xml:space="preserve">egistered providers who have been claiming for the TTP in financial year 2022-23 </w:t>
      </w:r>
      <w:r w:rsidR="00C44E4D">
        <w:t>to</w:t>
      </w:r>
      <w:r w:rsidR="00271BAC">
        <w:t xml:space="preserve"> continue to do so in financial year 2023-24 until cessation. </w:t>
      </w:r>
    </w:p>
    <w:p w14:paraId="2FA4D59E" w14:textId="57CA05B9" w:rsidR="00787B95" w:rsidRPr="0063698B" w:rsidRDefault="00787B95" w:rsidP="00D9646F">
      <w:pPr>
        <w:pStyle w:val="Heading3"/>
      </w:pPr>
      <w:r w:rsidRPr="0063698B">
        <w:t xml:space="preserve">Therapy </w:t>
      </w:r>
      <w:r w:rsidR="00B87A7B" w:rsidRPr="0063698B">
        <w:t>s</w:t>
      </w:r>
      <w:r w:rsidRPr="0063698B">
        <w:t>upport</w:t>
      </w:r>
      <w:r w:rsidR="00A12FB5" w:rsidRPr="0063698B">
        <w:t>s</w:t>
      </w:r>
    </w:p>
    <w:p w14:paraId="66A14E62" w14:textId="238224D6" w:rsidR="00787B95" w:rsidRPr="00787B95" w:rsidDel="00062E66" w:rsidRDefault="00787B95" w:rsidP="00787B95">
      <w:r w:rsidRPr="00787B95" w:rsidDel="00062E66">
        <w:t>In the six months to December 2022, 325,319 participants (57% of active participants</w:t>
      </w:r>
      <w:r w:rsidR="00AE7588" w:rsidDel="00062E66">
        <w:t xml:space="preserve"> in the same period</w:t>
      </w:r>
      <w:r w:rsidRPr="00787B95" w:rsidDel="00062E66">
        <w:t xml:space="preserve">) purchased therapy supports through their </w:t>
      </w:r>
      <w:r w:rsidR="004E5FC9" w:rsidDel="00062E66">
        <w:t xml:space="preserve">NDIS </w:t>
      </w:r>
      <w:r w:rsidRPr="00787B95" w:rsidDel="00062E66">
        <w:t xml:space="preserve">plans. These service supports were delivered by 46,434 providers, a 14% increase to provider numbers </w:t>
      </w:r>
      <w:r w:rsidR="002A3782" w:rsidRPr="002A3782">
        <w:t>compared to the six months to December 2021</w:t>
      </w:r>
      <w:r w:rsidRPr="00787B95" w:rsidDel="00062E66">
        <w:t xml:space="preserve">. Expenditure on therapy supports </w:t>
      </w:r>
      <w:r w:rsidR="00FC4950">
        <w:t>over</w:t>
      </w:r>
      <w:r w:rsidR="00FC4950" w:rsidRPr="00787B95" w:rsidDel="00062E66">
        <w:t xml:space="preserve"> </w:t>
      </w:r>
      <w:r w:rsidR="008E28C4" w:rsidDel="00062E66">
        <w:t xml:space="preserve">the six months </w:t>
      </w:r>
      <w:r w:rsidRPr="00787B95" w:rsidDel="00062E66">
        <w:t>to December 2022 equate</w:t>
      </w:r>
      <w:r w:rsidR="00582DF4" w:rsidDel="00062E66">
        <w:t>d</w:t>
      </w:r>
      <w:r w:rsidRPr="00787B95" w:rsidDel="00062E66">
        <w:t xml:space="preserve"> to $1.6 billion, accounting to almost 10% of all expenditure by the NDIS ($16.8 billion), an increase of 26% </w:t>
      </w:r>
      <w:r w:rsidR="00F45DD8">
        <w:rPr>
          <w:rStyle w:val="ui-provider"/>
        </w:rPr>
        <w:t>compared to the six months to December 2021.</w:t>
      </w:r>
      <w:r w:rsidRPr="00787B95" w:rsidDel="00062E66">
        <w:t> </w:t>
      </w:r>
    </w:p>
    <w:p w14:paraId="6BEF52D6" w14:textId="15C7D7C7" w:rsidR="00787B95" w:rsidRPr="00787B95" w:rsidDel="00062E66" w:rsidRDefault="00787B95" w:rsidP="00787B95">
      <w:pPr>
        <w:rPr>
          <w:szCs w:val="22"/>
        </w:rPr>
      </w:pPr>
      <w:r w:rsidRPr="00787B95" w:rsidDel="00062E66">
        <w:t xml:space="preserve">In terms of employment, </w:t>
      </w:r>
      <w:r w:rsidR="00817450" w:rsidDel="00062E66">
        <w:t>a</w:t>
      </w:r>
      <w:r w:rsidRPr="00787B95" w:rsidDel="00062E66">
        <w:t xml:space="preserve">s of February 2023, the Department of Health and Aged Care </w:t>
      </w:r>
      <w:r w:rsidR="00803A65">
        <w:t xml:space="preserve">reported </w:t>
      </w:r>
      <w:r w:rsidRPr="00787B95" w:rsidDel="00062E66">
        <w:t xml:space="preserve">that the total number </w:t>
      </w:r>
      <w:r w:rsidR="00F62811">
        <w:t xml:space="preserve">of </w:t>
      </w:r>
      <w:r w:rsidR="00817450" w:rsidDel="00062E66">
        <w:t xml:space="preserve">several Allied Health professionals </w:t>
      </w:r>
      <w:r w:rsidRPr="00787B95" w:rsidDel="00062E66">
        <w:t xml:space="preserve">registered with Australian Health Practitioners Registration Agency (AHPRA) </w:t>
      </w:r>
      <w:r w:rsidR="00803A65">
        <w:t xml:space="preserve">grew </w:t>
      </w:r>
      <w:r w:rsidRPr="00787B95" w:rsidDel="00062E66">
        <w:t>significantly</w:t>
      </w:r>
      <w:r w:rsidR="00B02361">
        <w:t>, by 26%,</w:t>
      </w:r>
      <w:r w:rsidRPr="00787B95" w:rsidDel="00062E66">
        <w:t xml:space="preserve"> from 2017 to 2021. This trend is set to continue with Jobs and Skills Australia forecasting </w:t>
      </w:r>
      <w:r w:rsidR="003E766D">
        <w:t xml:space="preserve">growth for </w:t>
      </w:r>
      <w:r w:rsidR="00817450" w:rsidDel="00062E66">
        <w:t xml:space="preserve">several </w:t>
      </w:r>
      <w:r w:rsidRPr="00787B95" w:rsidDel="00062E66">
        <w:t xml:space="preserve">types of </w:t>
      </w:r>
      <w:r w:rsidR="00817450" w:rsidDel="00062E66">
        <w:t>Allied Health professionals</w:t>
      </w:r>
      <w:r w:rsidRPr="00787B95" w:rsidDel="00062E66">
        <w:t xml:space="preserve"> </w:t>
      </w:r>
      <w:r w:rsidR="007D6387">
        <w:t xml:space="preserve">of </w:t>
      </w:r>
      <w:r w:rsidRPr="00787B95" w:rsidDel="00062E66">
        <w:t>between 7% to 35% in the next five years.</w:t>
      </w:r>
      <w:r w:rsidR="005B5B9D">
        <w:t xml:space="preserve"> </w:t>
      </w:r>
    </w:p>
    <w:p w14:paraId="3AFD0125" w14:textId="7524CD3B" w:rsidR="00787B95" w:rsidRPr="00787B95" w:rsidRDefault="00817450" w:rsidP="000950DD">
      <w:pPr>
        <w:rPr>
          <w:szCs w:val="22"/>
        </w:rPr>
      </w:pPr>
      <w:r>
        <w:rPr>
          <w:szCs w:val="22"/>
        </w:rPr>
        <w:t xml:space="preserve">As with the 2021-22 APR, the NDIA conducted a </w:t>
      </w:r>
      <w:r w:rsidR="00787B95" w:rsidRPr="00787B95">
        <w:rPr>
          <w:szCs w:val="22"/>
        </w:rPr>
        <w:t>comparison</w:t>
      </w:r>
      <w:r>
        <w:rPr>
          <w:szCs w:val="22"/>
        </w:rPr>
        <w:t xml:space="preserve"> of therapy pricing</w:t>
      </w:r>
      <w:r w:rsidR="00787B95" w:rsidRPr="00787B95">
        <w:rPr>
          <w:szCs w:val="22"/>
        </w:rPr>
        <w:t xml:space="preserve"> to </w:t>
      </w:r>
      <w:r w:rsidR="00633606">
        <w:rPr>
          <w:szCs w:val="22"/>
        </w:rPr>
        <w:t xml:space="preserve">16 </w:t>
      </w:r>
      <w:r w:rsidR="00787B95" w:rsidRPr="00787B95">
        <w:rPr>
          <w:szCs w:val="22"/>
        </w:rPr>
        <w:t xml:space="preserve">other government </w:t>
      </w:r>
      <w:r w:rsidR="00633606">
        <w:rPr>
          <w:szCs w:val="22"/>
        </w:rPr>
        <w:t xml:space="preserve">insurance </w:t>
      </w:r>
      <w:r>
        <w:rPr>
          <w:szCs w:val="22"/>
        </w:rPr>
        <w:t xml:space="preserve">and funding </w:t>
      </w:r>
      <w:r w:rsidR="00215470">
        <w:rPr>
          <w:szCs w:val="22"/>
        </w:rPr>
        <w:t xml:space="preserve">schemes </w:t>
      </w:r>
      <w:r w:rsidR="00787B95" w:rsidRPr="00787B95">
        <w:rPr>
          <w:szCs w:val="22"/>
        </w:rPr>
        <w:t xml:space="preserve">to understand where the NDIS price stands </w:t>
      </w:r>
      <w:r w:rsidR="007D6387">
        <w:rPr>
          <w:szCs w:val="22"/>
        </w:rPr>
        <w:t xml:space="preserve">against </w:t>
      </w:r>
      <w:r w:rsidR="00787B95" w:rsidRPr="00787B95">
        <w:rPr>
          <w:szCs w:val="22"/>
        </w:rPr>
        <w:t xml:space="preserve">other funding sources. </w:t>
      </w:r>
      <w:r w:rsidR="00F1222A" w:rsidRPr="00F1222A">
        <w:rPr>
          <w:szCs w:val="22"/>
        </w:rPr>
        <w:t xml:space="preserve">Overall, </w:t>
      </w:r>
      <w:r w:rsidR="00633606" w:rsidRPr="00DF0C3D">
        <w:t xml:space="preserve">current NDIS price limits are broadly consistent with the effective hourly rates paid by other government insurance and </w:t>
      </w:r>
      <w:r w:rsidR="00633606" w:rsidRPr="00DF0C3D">
        <w:t xml:space="preserve">funding </w:t>
      </w:r>
      <w:r w:rsidR="00215470">
        <w:t xml:space="preserve">schemes </w:t>
      </w:r>
      <w:r w:rsidR="00633606" w:rsidRPr="00DF0C3D">
        <w:t xml:space="preserve">for </w:t>
      </w:r>
      <w:r w:rsidR="00633606" w:rsidRPr="00DF0C3D">
        <w:t>therapy, once account is taken of duration of service, co-payments and provisions for travel and consumables.</w:t>
      </w:r>
      <w:r w:rsidR="0071557A">
        <w:t xml:space="preserve"> Although the results this year indicate that many types of therapies have </w:t>
      </w:r>
      <w:r w:rsidR="0071557A">
        <w:lastRenderedPageBreak/>
        <w:t xml:space="preserve">been indexed by other schemes over the past year, </w:t>
      </w:r>
      <w:r w:rsidR="00607932">
        <w:t xml:space="preserve">the NDIS price limits remain in </w:t>
      </w:r>
      <w:r w:rsidR="008D67C8">
        <w:t>the middle or upper range</w:t>
      </w:r>
      <w:r w:rsidR="00607932">
        <w:t xml:space="preserve"> </w:t>
      </w:r>
      <w:r w:rsidR="006D1DED">
        <w:t>for most therapies</w:t>
      </w:r>
      <w:r w:rsidR="0071557A">
        <w:t>.</w:t>
      </w:r>
    </w:p>
    <w:p w14:paraId="1D1666D8" w14:textId="7FCF9FAB" w:rsidR="002633C0" w:rsidRDefault="00787B95" w:rsidP="00787B95">
      <w:r w:rsidRPr="00787B95">
        <w:rPr>
          <w:szCs w:val="22"/>
        </w:rPr>
        <w:t>Another key aspect of the therapy analysis is the comparison to the private billing rates. A</w:t>
      </w:r>
      <w:r w:rsidRPr="00787B95">
        <w:t xml:space="preserve"> </w:t>
      </w:r>
      <w:r w:rsidR="00746ADA">
        <w:t xml:space="preserve">sample of </w:t>
      </w:r>
      <w:r w:rsidRPr="00787B95">
        <w:t>2,857 billing rates were used</w:t>
      </w:r>
      <w:r w:rsidRPr="00787B95" w:rsidDel="00746ADA">
        <w:t xml:space="preserve"> </w:t>
      </w:r>
      <w:r w:rsidRPr="00787B95">
        <w:t>across all types of NDIS therapy supports</w:t>
      </w:r>
      <w:r w:rsidR="00E56E61">
        <w:t xml:space="preserve"> and </w:t>
      </w:r>
      <w:r w:rsidR="00EB59D2">
        <w:t>several</w:t>
      </w:r>
      <w:r w:rsidR="00E56E61">
        <w:t xml:space="preserve"> regression models were run to</w:t>
      </w:r>
      <w:r w:rsidR="00EE5BCF">
        <w:t xml:space="preserve"> </w:t>
      </w:r>
      <w:r w:rsidR="00B51F9E">
        <w:t>analyse</w:t>
      </w:r>
      <w:r w:rsidR="00FB0D21">
        <w:t xml:space="preserve"> private therapy billing rates</w:t>
      </w:r>
      <w:r w:rsidRPr="00787B95">
        <w:t xml:space="preserve">. </w:t>
      </w:r>
      <w:r w:rsidR="0081045E" w:rsidRPr="00DF0C3D">
        <w:t xml:space="preserve">The private billing market data suggests that the average fully loaded hourly cost of </w:t>
      </w:r>
      <w:r w:rsidR="008328AB">
        <w:t>most types of therapy professionals</w:t>
      </w:r>
      <w:r w:rsidR="0081045E" w:rsidRPr="00DF0C3D">
        <w:t xml:space="preserve"> is $1</w:t>
      </w:r>
      <w:r w:rsidR="0081045E">
        <w:t>89</w:t>
      </w:r>
      <w:r w:rsidR="0081045E" w:rsidRPr="00DF0C3D">
        <w:t xml:space="preserve">, </w:t>
      </w:r>
      <w:r w:rsidR="00645B39">
        <w:t xml:space="preserve">still slightly </w:t>
      </w:r>
      <w:r w:rsidR="0081045E" w:rsidRPr="00DF0C3D">
        <w:t>lower than the current NDIS price limit</w:t>
      </w:r>
      <w:r w:rsidR="007C57A1">
        <w:t xml:space="preserve"> of $193.99</w:t>
      </w:r>
      <w:r w:rsidR="0081045E">
        <w:t xml:space="preserve">. </w:t>
      </w:r>
    </w:p>
    <w:p w14:paraId="5C9A32B6" w14:textId="73CB5866" w:rsidR="00787B95" w:rsidRPr="00787B95" w:rsidRDefault="2D9A76D4" w:rsidP="00787B95">
      <w:bookmarkStart w:id="15" w:name="_Hlk134294704"/>
      <w:r>
        <w:t>There were 17</w:t>
      </w:r>
      <w:r w:rsidR="0C0547B2">
        <w:t>4</w:t>
      </w:r>
      <w:r>
        <w:t xml:space="preserve"> </w:t>
      </w:r>
      <w:r w:rsidR="75A04A22">
        <w:t>p</w:t>
      </w:r>
      <w:r>
        <w:t xml:space="preserve">ublic consultation submissions related to </w:t>
      </w:r>
      <w:r w:rsidR="6AE2820A">
        <w:t>t</w:t>
      </w:r>
      <w:r>
        <w:t xml:space="preserve">herapy supports. Many providers noted the biggest </w:t>
      </w:r>
      <w:r w:rsidR="08B4A3C9">
        <w:t xml:space="preserve">cost </w:t>
      </w:r>
      <w:r>
        <w:t xml:space="preserve">driver </w:t>
      </w:r>
      <w:r w:rsidR="4D0A0931">
        <w:t xml:space="preserve">has been the </w:t>
      </w:r>
      <w:r w:rsidR="08B4A3C9">
        <w:t xml:space="preserve">increasing </w:t>
      </w:r>
      <w:r>
        <w:t xml:space="preserve">supply costs and wages. </w:t>
      </w:r>
      <w:r w:rsidR="1F81284A">
        <w:t xml:space="preserve">Other costs involved </w:t>
      </w:r>
      <w:r w:rsidR="7F4DFFA9">
        <w:t xml:space="preserve">attracting, </w:t>
      </w:r>
      <w:proofErr w:type="gramStart"/>
      <w:r w:rsidR="7F4DFFA9">
        <w:t>training</w:t>
      </w:r>
      <w:proofErr w:type="gramEnd"/>
      <w:r w:rsidR="7F4DFFA9">
        <w:t xml:space="preserve"> and retaining staff, as well as quality, safeguarding and compliance costs. </w:t>
      </w:r>
      <w:r w:rsidR="5BD165DE">
        <w:t>Many p</w:t>
      </w:r>
      <w:r>
        <w:t xml:space="preserve">articipants </w:t>
      </w:r>
      <w:r w:rsidR="1EC8DDA6">
        <w:t xml:space="preserve">and their </w:t>
      </w:r>
      <w:r w:rsidR="69737DCF">
        <w:t xml:space="preserve">representatives </w:t>
      </w:r>
      <w:r w:rsidR="1EC8DDA6">
        <w:t xml:space="preserve">who responded to the </w:t>
      </w:r>
      <w:r w:rsidR="5BD165DE">
        <w:t>Consultation Paper suggested</w:t>
      </w:r>
      <w:r>
        <w:t xml:space="preserve"> that they </w:t>
      </w:r>
      <w:r w:rsidR="5BD165DE">
        <w:t xml:space="preserve">were </w:t>
      </w:r>
      <w:r>
        <w:t xml:space="preserve">charged more than </w:t>
      </w:r>
      <w:r w:rsidR="5BD165DE">
        <w:t xml:space="preserve">non-NDIS </w:t>
      </w:r>
      <w:r>
        <w:t xml:space="preserve">clients and </w:t>
      </w:r>
      <w:bookmarkStart w:id="16" w:name="_Int_0l0LK3Mx"/>
      <w:r w:rsidR="207839B3">
        <w:t>generally supported</w:t>
      </w:r>
      <w:bookmarkEnd w:id="16"/>
      <w:r w:rsidR="207839B3">
        <w:t xml:space="preserve"> </w:t>
      </w:r>
      <w:r w:rsidR="46FAF91B">
        <w:t xml:space="preserve">no </w:t>
      </w:r>
      <w:r>
        <w:t>further price increase</w:t>
      </w:r>
      <w:r w:rsidR="46FAF91B">
        <w:t xml:space="preserve"> at this time</w:t>
      </w:r>
      <w:r>
        <w:t xml:space="preserve">. </w:t>
      </w:r>
    </w:p>
    <w:bookmarkEnd w:id="15"/>
    <w:p w14:paraId="21C6773C" w14:textId="0A9F5BC3" w:rsidR="007A526D" w:rsidRDefault="46FAF91B" w:rsidP="24862EB2">
      <w:r>
        <w:t xml:space="preserve">On balance, </w:t>
      </w:r>
      <w:r w:rsidR="72C30A32">
        <w:t xml:space="preserve">available </w:t>
      </w:r>
      <w:r w:rsidR="2D9A76D4">
        <w:t xml:space="preserve">therapy </w:t>
      </w:r>
      <w:r w:rsidR="72C30A32">
        <w:t xml:space="preserve">data </w:t>
      </w:r>
      <w:r w:rsidR="2D9A76D4">
        <w:t>input</w:t>
      </w:r>
      <w:r>
        <w:t>s</w:t>
      </w:r>
      <w:r w:rsidR="14A1201E">
        <w:t xml:space="preserve"> suggests that the </w:t>
      </w:r>
      <w:r w:rsidR="61A57F43">
        <w:t xml:space="preserve">current </w:t>
      </w:r>
      <w:r w:rsidR="14A1201E">
        <w:t>NDI</w:t>
      </w:r>
      <w:r w:rsidR="72C30A32">
        <w:t>S therapy</w:t>
      </w:r>
      <w:r w:rsidR="14A1201E">
        <w:t xml:space="preserve"> </w:t>
      </w:r>
      <w:r w:rsidR="6CC6592B">
        <w:t>price limit</w:t>
      </w:r>
      <w:r w:rsidR="72C30A32">
        <w:t>s</w:t>
      </w:r>
      <w:r w:rsidR="6CC6592B">
        <w:t xml:space="preserve"> should </w:t>
      </w:r>
      <w:r w:rsidR="30C0D892">
        <w:t>be maintained</w:t>
      </w:r>
      <w:r w:rsidR="6CC6592B">
        <w:t xml:space="preserve">. </w:t>
      </w:r>
      <w:r w:rsidR="0074790C">
        <w:t>Some c</w:t>
      </w:r>
      <w:r w:rsidR="00A33D0A">
        <w:t xml:space="preserve">omparable </w:t>
      </w:r>
      <w:r w:rsidR="479935DE">
        <w:t xml:space="preserve">government insurance schemes have </w:t>
      </w:r>
      <w:r w:rsidR="658689DA">
        <w:t xml:space="preserve">revised </w:t>
      </w:r>
      <w:r w:rsidR="00C65865">
        <w:t xml:space="preserve">their </w:t>
      </w:r>
      <w:r w:rsidR="43076E6A">
        <w:t>price limits</w:t>
      </w:r>
      <w:r w:rsidR="2438134F">
        <w:t xml:space="preserve">, </w:t>
      </w:r>
      <w:r w:rsidR="0074790C">
        <w:t xml:space="preserve">and </w:t>
      </w:r>
      <w:r w:rsidR="02EDFCB6">
        <w:t xml:space="preserve">the average fully loaded hourly cost of most types of therapy professionals </w:t>
      </w:r>
      <w:r w:rsidR="0074790C">
        <w:t xml:space="preserve">in the private billing market </w:t>
      </w:r>
      <w:r w:rsidR="02EDFCB6">
        <w:t>is estimated to be $189,</w:t>
      </w:r>
      <w:r w:rsidR="2A2D005A">
        <w:t xml:space="preserve"> </w:t>
      </w:r>
      <w:r w:rsidR="00364824">
        <w:t xml:space="preserve">which remains </w:t>
      </w:r>
      <w:r w:rsidR="2A2D005A">
        <w:t xml:space="preserve">below the current NDIS price limits. </w:t>
      </w:r>
      <w:r w:rsidR="2BEE03FC" w:rsidRPr="24862EB2">
        <w:rPr>
          <w:noProof/>
          <w:lang w:eastAsia="en-AU"/>
        </w:rPr>
        <w:t xml:space="preserve">Data </w:t>
      </w:r>
      <w:r w:rsidR="00130517">
        <w:rPr>
          <w:noProof/>
          <w:lang w:eastAsia="en-AU"/>
        </w:rPr>
        <w:t xml:space="preserve">analysis </w:t>
      </w:r>
      <w:r w:rsidR="2BEE03FC" w:rsidRPr="24862EB2">
        <w:rPr>
          <w:noProof/>
          <w:lang w:eastAsia="en-AU"/>
        </w:rPr>
        <w:t>suggest</w:t>
      </w:r>
      <w:r w:rsidR="00130517">
        <w:rPr>
          <w:noProof/>
          <w:lang w:eastAsia="en-AU"/>
        </w:rPr>
        <w:t>s</w:t>
      </w:r>
      <w:r w:rsidR="2BEE03FC" w:rsidRPr="24862EB2">
        <w:rPr>
          <w:noProof/>
          <w:lang w:eastAsia="en-AU"/>
        </w:rPr>
        <w:t xml:space="preserve"> </w:t>
      </w:r>
      <w:r w:rsidR="7B19945B" w:rsidRPr="24862EB2">
        <w:rPr>
          <w:noProof/>
          <w:lang w:eastAsia="en-AU"/>
        </w:rPr>
        <w:t xml:space="preserve">that price limits of </w:t>
      </w:r>
      <w:r w:rsidR="1AA4E418" w:rsidRPr="24862EB2">
        <w:rPr>
          <w:noProof/>
          <w:lang w:eastAsia="en-AU"/>
        </w:rPr>
        <w:t>certain</w:t>
      </w:r>
      <w:r w:rsidR="2BEE03FC" w:rsidRPr="24862EB2">
        <w:rPr>
          <w:noProof/>
          <w:lang w:eastAsia="en-AU"/>
        </w:rPr>
        <w:t xml:space="preserve"> therapy supports could </w:t>
      </w:r>
      <w:r w:rsidR="5013FD81" w:rsidRPr="24862EB2">
        <w:rPr>
          <w:noProof/>
          <w:lang w:eastAsia="en-AU"/>
        </w:rPr>
        <w:t xml:space="preserve">be decreased </w:t>
      </w:r>
      <w:r w:rsidR="2BEE03FC" w:rsidRPr="24862EB2">
        <w:rPr>
          <w:noProof/>
          <w:lang w:eastAsia="en-AU"/>
        </w:rPr>
        <w:t>slight</w:t>
      </w:r>
      <w:r w:rsidR="5013FD81" w:rsidRPr="24862EB2">
        <w:rPr>
          <w:noProof/>
          <w:lang w:eastAsia="en-AU"/>
        </w:rPr>
        <w:t>ly</w:t>
      </w:r>
      <w:r w:rsidR="7B19945B" w:rsidRPr="24862EB2">
        <w:rPr>
          <w:noProof/>
          <w:lang w:eastAsia="en-AU"/>
        </w:rPr>
        <w:t xml:space="preserve">. However, </w:t>
      </w:r>
      <w:r w:rsidR="75BC0715" w:rsidRPr="24862EB2">
        <w:rPr>
          <w:noProof/>
          <w:lang w:eastAsia="en-AU"/>
        </w:rPr>
        <w:t xml:space="preserve">a decrease </w:t>
      </w:r>
      <w:r w:rsidR="00337891">
        <w:rPr>
          <w:noProof/>
          <w:lang w:eastAsia="en-AU"/>
        </w:rPr>
        <w:t xml:space="preserve">is likely to </w:t>
      </w:r>
      <w:r w:rsidR="75BC0715" w:rsidRPr="24862EB2">
        <w:rPr>
          <w:noProof/>
          <w:lang w:eastAsia="en-AU"/>
        </w:rPr>
        <w:t>disrupt the provision of supports to participants in some regions</w:t>
      </w:r>
      <w:r w:rsidR="75BC0715">
        <w:t xml:space="preserve"> </w:t>
      </w:r>
      <w:r w:rsidR="003A22A1">
        <w:t xml:space="preserve">and impact </w:t>
      </w:r>
      <w:r w:rsidR="007D6387">
        <w:t>p</w:t>
      </w:r>
      <w:r w:rsidR="0C24B12A">
        <w:t xml:space="preserve">rofessionals </w:t>
      </w:r>
      <w:r w:rsidR="003A22A1">
        <w:t xml:space="preserve">considering moving </w:t>
      </w:r>
      <w:r w:rsidR="0C24B12A">
        <w:t>into the sector to support NDIS participants.</w:t>
      </w:r>
    </w:p>
    <w:p w14:paraId="5A502210" w14:textId="2C185C66" w:rsidR="00787B95" w:rsidRPr="0091244B" w:rsidRDefault="00787B95" w:rsidP="0091244B">
      <w:pPr>
        <w:rPr>
          <w:szCs w:val="22"/>
        </w:rPr>
      </w:pPr>
      <w:r w:rsidRPr="00787B95">
        <w:rPr>
          <w:szCs w:val="22"/>
        </w:rPr>
        <w:t xml:space="preserve">What is evident is the vast and diverse nature of the therapy market. </w:t>
      </w:r>
      <w:r w:rsidR="002D5B65">
        <w:rPr>
          <w:szCs w:val="22"/>
        </w:rPr>
        <w:t xml:space="preserve">As </w:t>
      </w:r>
      <w:r w:rsidRPr="00787B95">
        <w:rPr>
          <w:szCs w:val="22"/>
        </w:rPr>
        <w:t xml:space="preserve">the NDIS Review </w:t>
      </w:r>
      <w:r w:rsidR="003245C6">
        <w:rPr>
          <w:szCs w:val="22"/>
        </w:rPr>
        <w:t xml:space="preserve">is currently </w:t>
      </w:r>
      <w:r w:rsidRPr="00787B95">
        <w:rPr>
          <w:szCs w:val="22"/>
        </w:rPr>
        <w:t>examin</w:t>
      </w:r>
      <w:r w:rsidR="003245C6">
        <w:rPr>
          <w:szCs w:val="22"/>
        </w:rPr>
        <w:t>ing</w:t>
      </w:r>
      <w:r w:rsidRPr="00787B95">
        <w:rPr>
          <w:szCs w:val="22"/>
        </w:rPr>
        <w:t xml:space="preserve"> non-price related solutions</w:t>
      </w:r>
      <w:r w:rsidR="0082415C">
        <w:rPr>
          <w:szCs w:val="22"/>
        </w:rPr>
        <w:t xml:space="preserve">, the NDIA </w:t>
      </w:r>
      <w:r w:rsidR="00166679">
        <w:rPr>
          <w:szCs w:val="22"/>
        </w:rPr>
        <w:t xml:space="preserve">should </w:t>
      </w:r>
      <w:r w:rsidR="0082415C">
        <w:rPr>
          <w:szCs w:val="22"/>
        </w:rPr>
        <w:t>consider</w:t>
      </w:r>
      <w:r w:rsidR="002D5B65">
        <w:rPr>
          <w:szCs w:val="22"/>
        </w:rPr>
        <w:t xml:space="preserve"> structural changes </w:t>
      </w:r>
      <w:r w:rsidR="00683BBE">
        <w:rPr>
          <w:szCs w:val="22"/>
        </w:rPr>
        <w:t xml:space="preserve">to therapy pricing arrangements </w:t>
      </w:r>
      <w:r w:rsidR="00C51FDA">
        <w:rPr>
          <w:szCs w:val="22"/>
        </w:rPr>
        <w:t>after</w:t>
      </w:r>
      <w:r w:rsidR="002D5B65">
        <w:rPr>
          <w:szCs w:val="22"/>
        </w:rPr>
        <w:t xml:space="preserve"> </w:t>
      </w:r>
      <w:r w:rsidR="00683BBE">
        <w:rPr>
          <w:szCs w:val="22"/>
        </w:rPr>
        <w:t xml:space="preserve">any relevant recommendations from </w:t>
      </w:r>
      <w:r w:rsidR="002D5B65">
        <w:rPr>
          <w:szCs w:val="22"/>
        </w:rPr>
        <w:t>the NDIS Review</w:t>
      </w:r>
      <w:r w:rsidRPr="00787B95">
        <w:rPr>
          <w:szCs w:val="22"/>
        </w:rPr>
        <w:t xml:space="preserve">.  </w:t>
      </w:r>
    </w:p>
    <w:p w14:paraId="74CFFE8F" w14:textId="23E7F820" w:rsidR="00C54E3A" w:rsidRPr="00DF0C3D" w:rsidRDefault="00C54E3A" w:rsidP="00C54E3A">
      <w:pPr>
        <w:pStyle w:val="RecHeading"/>
      </w:pPr>
      <w:r w:rsidRPr="00DF0C3D">
        <w:t xml:space="preserve">Recommendation </w:t>
      </w:r>
      <w:r w:rsidR="008074B6">
        <w:t>6</w:t>
      </w:r>
    </w:p>
    <w:p w14:paraId="15146129" w14:textId="2D620D28" w:rsidR="005A63CE" w:rsidRDefault="00C54E3A" w:rsidP="00C54E3A">
      <w:pPr>
        <w:pStyle w:val="RecText"/>
      </w:pPr>
      <w:r>
        <w:t>The NDIA</w:t>
      </w:r>
      <w:r w:rsidRPr="00DF0C3D">
        <w:t xml:space="preserve"> should not make any structural adjustment to the pricing arrangements for therapy supports at this time and should not index the price limits for therapy supports on 1 July 202</w:t>
      </w:r>
      <w:r w:rsidR="005A63CE">
        <w:t>3</w:t>
      </w:r>
      <w:r w:rsidRPr="00DF0C3D">
        <w:t xml:space="preserve">. </w:t>
      </w:r>
    </w:p>
    <w:p w14:paraId="7F463DD3" w14:textId="0995B789" w:rsidR="005A63CE" w:rsidRPr="00DF0C3D" w:rsidRDefault="005A63CE" w:rsidP="005A63CE">
      <w:pPr>
        <w:pStyle w:val="RecHeading"/>
      </w:pPr>
      <w:r w:rsidRPr="00DF0C3D">
        <w:t xml:space="preserve">Recommendation </w:t>
      </w:r>
      <w:r w:rsidR="008074B6">
        <w:t>7</w:t>
      </w:r>
    </w:p>
    <w:p w14:paraId="5BFF3502" w14:textId="601567AC" w:rsidR="00787B95" w:rsidRPr="00CA0161" w:rsidRDefault="005A63CE" w:rsidP="00CA0161">
      <w:pPr>
        <w:pStyle w:val="RecText"/>
      </w:pPr>
      <w:r>
        <w:t>The NDIA</w:t>
      </w:r>
      <w:r w:rsidRPr="00DF0C3D">
        <w:t xml:space="preserve"> should </w:t>
      </w:r>
      <w:r>
        <w:t xml:space="preserve">consider </w:t>
      </w:r>
      <w:r w:rsidR="00996BF4">
        <w:t xml:space="preserve">the structure of therapy support pricing arrangements </w:t>
      </w:r>
      <w:r w:rsidR="007B6A78">
        <w:t xml:space="preserve">after </w:t>
      </w:r>
      <w:r w:rsidR="00AF1908">
        <w:t xml:space="preserve">any </w:t>
      </w:r>
      <w:r w:rsidR="007B6A78">
        <w:t xml:space="preserve">relevant </w:t>
      </w:r>
      <w:r w:rsidR="000665D3">
        <w:t>recommendations from the NDIS Review</w:t>
      </w:r>
      <w:r w:rsidR="00AF010F">
        <w:t xml:space="preserve">. This </w:t>
      </w:r>
      <w:r w:rsidR="00BD7881">
        <w:t xml:space="preserve">is </w:t>
      </w:r>
      <w:r w:rsidR="003E1DCB">
        <w:t>intend</w:t>
      </w:r>
      <w:r w:rsidR="00BD7881">
        <w:t>ed</w:t>
      </w:r>
      <w:r w:rsidR="000665D3">
        <w:t xml:space="preserve"> to better incentivise </w:t>
      </w:r>
      <w:r w:rsidR="00D731DC">
        <w:t xml:space="preserve">quality service provision to NDIS participants and </w:t>
      </w:r>
      <w:r w:rsidR="00AA7877">
        <w:t>create greater</w:t>
      </w:r>
      <w:r w:rsidR="00AF010F">
        <w:t xml:space="preserve"> market </w:t>
      </w:r>
      <w:r w:rsidR="00CE650F">
        <w:t>efficiencies</w:t>
      </w:r>
      <w:r w:rsidR="00D370CE">
        <w:t>.</w:t>
      </w:r>
    </w:p>
    <w:p w14:paraId="14519728" w14:textId="7C4A6A30" w:rsidR="00787B95" w:rsidRPr="003A25C3" w:rsidRDefault="00787B95" w:rsidP="00D9646F">
      <w:pPr>
        <w:pStyle w:val="Heading3"/>
      </w:pPr>
      <w:r w:rsidRPr="003A25C3">
        <w:t xml:space="preserve">Support </w:t>
      </w:r>
      <w:r w:rsidR="00B87A7B">
        <w:t>c</w:t>
      </w:r>
      <w:r w:rsidRPr="003A25C3">
        <w:t>oordination</w:t>
      </w:r>
    </w:p>
    <w:p w14:paraId="6AC632C4" w14:textId="3144E90D" w:rsidR="00787B95" w:rsidRDefault="000A59A9" w:rsidP="00787B95">
      <w:pPr>
        <w:rPr>
          <w:szCs w:val="22"/>
        </w:rPr>
      </w:pPr>
      <w:r>
        <w:t>When comparing</w:t>
      </w:r>
      <w:r w:rsidR="002D3934" w:rsidRPr="00787B95">
        <w:t xml:space="preserve"> the six months to </w:t>
      </w:r>
      <w:r w:rsidR="00787B95" w:rsidRPr="00787B95">
        <w:rPr>
          <w:szCs w:val="22"/>
        </w:rPr>
        <w:t>December 202</w:t>
      </w:r>
      <w:r w:rsidR="00752EA0">
        <w:rPr>
          <w:szCs w:val="22"/>
        </w:rPr>
        <w:t>2</w:t>
      </w:r>
      <w:r w:rsidR="00787B95" w:rsidRPr="00787B95">
        <w:rPr>
          <w:szCs w:val="22"/>
        </w:rPr>
        <w:t xml:space="preserve"> </w:t>
      </w:r>
      <w:r w:rsidR="001E756D">
        <w:rPr>
          <w:szCs w:val="22"/>
        </w:rPr>
        <w:t>to the</w:t>
      </w:r>
      <w:r w:rsidR="00291C5F">
        <w:rPr>
          <w:szCs w:val="22"/>
        </w:rPr>
        <w:t xml:space="preserve"> six months to December 202</w:t>
      </w:r>
      <w:r w:rsidR="00752EA0">
        <w:rPr>
          <w:szCs w:val="22"/>
        </w:rPr>
        <w:t>1</w:t>
      </w:r>
      <w:r w:rsidR="00787B95" w:rsidRPr="00787B95">
        <w:rPr>
          <w:szCs w:val="22"/>
        </w:rPr>
        <w:t xml:space="preserve">, the number of participants receiving support coordination </w:t>
      </w:r>
      <w:r w:rsidR="00B27E03">
        <w:rPr>
          <w:szCs w:val="22"/>
        </w:rPr>
        <w:t xml:space="preserve">and </w:t>
      </w:r>
      <w:r w:rsidR="007740A5">
        <w:rPr>
          <w:szCs w:val="22"/>
        </w:rPr>
        <w:t xml:space="preserve">the </w:t>
      </w:r>
      <w:r w:rsidR="00B27E03">
        <w:rPr>
          <w:szCs w:val="22"/>
        </w:rPr>
        <w:t>payments claimed</w:t>
      </w:r>
      <w:r w:rsidR="002A3578">
        <w:rPr>
          <w:szCs w:val="22"/>
        </w:rPr>
        <w:t xml:space="preserve"> from </w:t>
      </w:r>
      <w:r w:rsidR="008444EC">
        <w:rPr>
          <w:szCs w:val="22"/>
        </w:rPr>
        <w:t>participant plans</w:t>
      </w:r>
      <w:r w:rsidR="00B27E03">
        <w:rPr>
          <w:szCs w:val="22"/>
        </w:rPr>
        <w:t xml:space="preserve"> both </w:t>
      </w:r>
      <w:r w:rsidR="00787B95" w:rsidRPr="00787B95">
        <w:rPr>
          <w:szCs w:val="22"/>
        </w:rPr>
        <w:t>increased</w:t>
      </w:r>
      <w:r w:rsidR="007740A5">
        <w:rPr>
          <w:szCs w:val="22"/>
        </w:rPr>
        <w:t>,</w:t>
      </w:r>
      <w:r w:rsidR="00787B95" w:rsidRPr="00787B95">
        <w:rPr>
          <w:szCs w:val="22"/>
        </w:rPr>
        <w:t xml:space="preserve"> by 15%</w:t>
      </w:r>
      <w:r w:rsidR="00752EA0">
        <w:rPr>
          <w:szCs w:val="22"/>
        </w:rPr>
        <w:t xml:space="preserve"> </w:t>
      </w:r>
      <w:r w:rsidR="005901F8">
        <w:rPr>
          <w:szCs w:val="22"/>
        </w:rPr>
        <w:t xml:space="preserve">(to </w:t>
      </w:r>
      <w:r w:rsidR="004D7391">
        <w:rPr>
          <w:szCs w:val="22"/>
        </w:rPr>
        <w:t>2</w:t>
      </w:r>
      <w:r w:rsidR="002D4471">
        <w:rPr>
          <w:szCs w:val="22"/>
        </w:rPr>
        <w:t>10,</w:t>
      </w:r>
      <w:r w:rsidR="00714085">
        <w:rPr>
          <w:szCs w:val="22"/>
        </w:rPr>
        <w:t>909 participants and $428.4 million in payments</w:t>
      </w:r>
      <w:r w:rsidR="001F5087">
        <w:rPr>
          <w:szCs w:val="22"/>
        </w:rPr>
        <w:t>, respectively</w:t>
      </w:r>
      <w:r w:rsidR="00714085">
        <w:rPr>
          <w:szCs w:val="22"/>
        </w:rPr>
        <w:t>)</w:t>
      </w:r>
      <w:r w:rsidR="00787B95" w:rsidRPr="00787B95">
        <w:rPr>
          <w:szCs w:val="22"/>
        </w:rPr>
        <w:t xml:space="preserve">. </w:t>
      </w:r>
      <w:r w:rsidR="005D7DBE">
        <w:rPr>
          <w:szCs w:val="22"/>
        </w:rPr>
        <w:t>O</w:t>
      </w:r>
      <w:r w:rsidR="005D7DBE" w:rsidRPr="005D7DBE">
        <w:rPr>
          <w:szCs w:val="22"/>
        </w:rPr>
        <w:t>ver the six months to December 2022 compared to the six months to December 2021</w:t>
      </w:r>
      <w:r w:rsidR="00856EA0">
        <w:rPr>
          <w:szCs w:val="22"/>
        </w:rPr>
        <w:t xml:space="preserve">, </w:t>
      </w:r>
      <w:r w:rsidR="00787B95" w:rsidRPr="00787B95">
        <w:rPr>
          <w:szCs w:val="22"/>
        </w:rPr>
        <w:t xml:space="preserve">the </w:t>
      </w:r>
      <w:r w:rsidR="00787B95" w:rsidRPr="00787B95">
        <w:rPr>
          <w:szCs w:val="22"/>
        </w:rPr>
        <w:t xml:space="preserve">number of active providers </w:t>
      </w:r>
      <w:r w:rsidR="00856EA0">
        <w:rPr>
          <w:szCs w:val="22"/>
        </w:rPr>
        <w:t xml:space="preserve">has </w:t>
      </w:r>
      <w:r w:rsidR="00787B95" w:rsidRPr="00787B95">
        <w:rPr>
          <w:szCs w:val="22"/>
        </w:rPr>
        <w:t>increased significantly by 34%</w:t>
      </w:r>
      <w:r w:rsidR="00714085">
        <w:rPr>
          <w:szCs w:val="22"/>
        </w:rPr>
        <w:t xml:space="preserve"> to 7,023 providers</w:t>
      </w:r>
      <w:r w:rsidR="00787B95" w:rsidRPr="00787B95">
        <w:rPr>
          <w:szCs w:val="22"/>
        </w:rPr>
        <w:t>, demonstrating a steady increase to the supply of support coordination</w:t>
      </w:r>
      <w:r w:rsidR="007C1C83">
        <w:rPr>
          <w:szCs w:val="22"/>
        </w:rPr>
        <w:t xml:space="preserve"> to NDIS participants</w:t>
      </w:r>
      <w:r w:rsidR="00787B95" w:rsidRPr="00787B95">
        <w:rPr>
          <w:szCs w:val="22"/>
        </w:rPr>
        <w:t xml:space="preserve">. </w:t>
      </w:r>
    </w:p>
    <w:p w14:paraId="6F63FBFD" w14:textId="120F563F" w:rsidR="0079215C" w:rsidRPr="0079215C" w:rsidRDefault="20788B6B" w:rsidP="0079215C">
      <w:r>
        <w:t xml:space="preserve">Considering these changes over time, the average number of participants being serviced per provider has reduced from 48 participants per provider to 32 participants per provider </w:t>
      </w:r>
      <w:r>
        <w:lastRenderedPageBreak/>
        <w:t xml:space="preserve">between December 2020 and December 2022. This ratio of providers servicing participants has decreased </w:t>
      </w:r>
      <w:bookmarkStart w:id="17" w:name="_Int_Y034vQwk"/>
      <w:r>
        <w:t>largely due</w:t>
      </w:r>
      <w:bookmarkEnd w:id="17"/>
      <w:r>
        <w:t xml:space="preserve"> to the 29% overall growth of provider numbers in the same </w:t>
      </w:r>
      <w:r w:rsidR="5AB6783E">
        <w:t>period</w:t>
      </w:r>
      <w:r>
        <w:t xml:space="preserve">, including 31% growth rate in unregistered providers. </w:t>
      </w:r>
    </w:p>
    <w:p w14:paraId="63892B7D" w14:textId="0964CF1D" w:rsidR="008C0896" w:rsidRDefault="74648947" w:rsidP="00787B95">
      <w:r>
        <w:t xml:space="preserve">A total of </w:t>
      </w:r>
      <w:r w:rsidR="266F586A">
        <w:t>99</w:t>
      </w:r>
      <w:r>
        <w:t xml:space="preserve"> submissions </w:t>
      </w:r>
      <w:r w:rsidR="00892340">
        <w:t xml:space="preserve">received during the consultation process </w:t>
      </w:r>
      <w:r>
        <w:t xml:space="preserve">addressed </w:t>
      </w:r>
      <w:r w:rsidR="0049595E">
        <w:t>support coordination</w:t>
      </w:r>
      <w:r>
        <w:t xml:space="preserve">. Providers </w:t>
      </w:r>
      <w:r w:rsidR="138D9E01">
        <w:t xml:space="preserve">raised concerns </w:t>
      </w:r>
      <w:r w:rsidR="05972FA7">
        <w:t>about</w:t>
      </w:r>
      <w:r w:rsidR="5F9F8B76">
        <w:t xml:space="preserve"> NDIS price limits </w:t>
      </w:r>
      <w:r w:rsidR="00D432B9">
        <w:t xml:space="preserve">relating to </w:t>
      </w:r>
      <w:r w:rsidR="5F9F8B76">
        <w:t xml:space="preserve">support coordination </w:t>
      </w:r>
      <w:r w:rsidR="00D432B9">
        <w:t xml:space="preserve">and </w:t>
      </w:r>
      <w:r>
        <w:t>the</w:t>
      </w:r>
      <w:r w:rsidR="138D9E01">
        <w:t xml:space="preserve"> </w:t>
      </w:r>
      <w:r>
        <w:t xml:space="preserve">fragmented nature of supports </w:t>
      </w:r>
      <w:bookmarkStart w:id="18" w:name="_Int_AjJrux0e"/>
      <w:r>
        <w:t>offered</w:t>
      </w:r>
      <w:bookmarkEnd w:id="18"/>
      <w:r>
        <w:t xml:space="preserve"> and unbillable hours</w:t>
      </w:r>
      <w:r w:rsidR="13557EFF">
        <w:t xml:space="preserve"> </w:t>
      </w:r>
      <w:r>
        <w:t xml:space="preserve">associated with </w:t>
      </w:r>
      <w:r w:rsidR="02322453">
        <w:t xml:space="preserve">their </w:t>
      </w:r>
      <w:r>
        <w:t xml:space="preserve">work. </w:t>
      </w:r>
    </w:p>
    <w:p w14:paraId="033B4742" w14:textId="7B44F528" w:rsidR="00625F47" w:rsidRDefault="00787B95" w:rsidP="001B5BAB">
      <w:pPr>
        <w:rPr>
          <w:szCs w:val="22"/>
        </w:rPr>
      </w:pPr>
      <w:r w:rsidRPr="00787B95">
        <w:rPr>
          <w:szCs w:val="22"/>
        </w:rPr>
        <w:t xml:space="preserve">A </w:t>
      </w:r>
      <w:r w:rsidR="00D633A2">
        <w:rPr>
          <w:szCs w:val="22"/>
        </w:rPr>
        <w:t xml:space="preserve">key </w:t>
      </w:r>
      <w:r w:rsidRPr="00787B95">
        <w:rPr>
          <w:szCs w:val="22"/>
        </w:rPr>
        <w:t xml:space="preserve">theme </w:t>
      </w:r>
      <w:r w:rsidR="00CF24CA">
        <w:rPr>
          <w:szCs w:val="22"/>
        </w:rPr>
        <w:t xml:space="preserve">from </w:t>
      </w:r>
      <w:r w:rsidRPr="00787B95">
        <w:rPr>
          <w:szCs w:val="22"/>
        </w:rPr>
        <w:t>both participant</w:t>
      </w:r>
      <w:r w:rsidR="00A16096">
        <w:rPr>
          <w:szCs w:val="22"/>
        </w:rPr>
        <w:t>s</w:t>
      </w:r>
      <w:r w:rsidRPr="00787B95">
        <w:rPr>
          <w:szCs w:val="22"/>
        </w:rPr>
        <w:t xml:space="preserve"> and </w:t>
      </w:r>
      <w:r w:rsidR="00A16096">
        <w:rPr>
          <w:szCs w:val="22"/>
        </w:rPr>
        <w:t>representatives</w:t>
      </w:r>
      <w:r w:rsidRPr="00787B95">
        <w:rPr>
          <w:szCs w:val="22"/>
        </w:rPr>
        <w:t xml:space="preserve"> and provider</w:t>
      </w:r>
      <w:r w:rsidR="00A16096">
        <w:rPr>
          <w:szCs w:val="22"/>
        </w:rPr>
        <w:t>s</w:t>
      </w:r>
      <w:r w:rsidRPr="00787B95">
        <w:rPr>
          <w:szCs w:val="22"/>
        </w:rPr>
        <w:t xml:space="preserve"> is </w:t>
      </w:r>
      <w:r w:rsidR="007D6387">
        <w:rPr>
          <w:szCs w:val="22"/>
        </w:rPr>
        <w:t xml:space="preserve">that </w:t>
      </w:r>
      <w:r w:rsidRPr="00787B95">
        <w:rPr>
          <w:szCs w:val="22"/>
        </w:rPr>
        <w:t xml:space="preserve">greater clarity </w:t>
      </w:r>
      <w:r w:rsidR="007D6387">
        <w:rPr>
          <w:szCs w:val="22"/>
        </w:rPr>
        <w:t xml:space="preserve">is </w:t>
      </w:r>
      <w:r w:rsidR="008C0896">
        <w:rPr>
          <w:szCs w:val="22"/>
        </w:rPr>
        <w:t xml:space="preserve">needed for </w:t>
      </w:r>
      <w:r w:rsidRPr="00787B95">
        <w:rPr>
          <w:szCs w:val="22"/>
        </w:rPr>
        <w:t>the role</w:t>
      </w:r>
      <w:r w:rsidR="008C0896">
        <w:rPr>
          <w:szCs w:val="22"/>
        </w:rPr>
        <w:t>s</w:t>
      </w:r>
      <w:r w:rsidRPr="00787B95">
        <w:rPr>
          <w:szCs w:val="22"/>
        </w:rPr>
        <w:t xml:space="preserve"> of </w:t>
      </w:r>
      <w:r w:rsidR="0049595E">
        <w:rPr>
          <w:szCs w:val="22"/>
        </w:rPr>
        <w:t>support coordinator</w:t>
      </w:r>
      <w:r w:rsidRPr="00787B95">
        <w:rPr>
          <w:szCs w:val="22"/>
        </w:rPr>
        <w:t xml:space="preserve"> </w:t>
      </w:r>
      <w:r w:rsidR="00F44DC9">
        <w:rPr>
          <w:szCs w:val="22"/>
        </w:rPr>
        <w:t>and</w:t>
      </w:r>
      <w:r w:rsidR="00C41BD7">
        <w:rPr>
          <w:szCs w:val="22"/>
        </w:rPr>
        <w:t xml:space="preserve"> </w:t>
      </w:r>
      <w:r w:rsidR="002B1CDA">
        <w:rPr>
          <w:szCs w:val="22"/>
        </w:rPr>
        <w:t>plan manager</w:t>
      </w:r>
      <w:r w:rsidR="008C0896">
        <w:rPr>
          <w:szCs w:val="22"/>
        </w:rPr>
        <w:t>s</w:t>
      </w:r>
      <w:r w:rsidRPr="00787B95">
        <w:rPr>
          <w:szCs w:val="22"/>
        </w:rPr>
        <w:t xml:space="preserve">. </w:t>
      </w:r>
      <w:r w:rsidR="00851F7B">
        <w:rPr>
          <w:szCs w:val="22"/>
        </w:rPr>
        <w:t xml:space="preserve">In line with </w:t>
      </w:r>
      <w:r w:rsidR="00C10832">
        <w:rPr>
          <w:szCs w:val="22"/>
        </w:rPr>
        <w:t xml:space="preserve">previous </w:t>
      </w:r>
      <w:r w:rsidR="00851F7B">
        <w:rPr>
          <w:szCs w:val="22"/>
        </w:rPr>
        <w:t>recommendations from the 2021-22 APR,</w:t>
      </w:r>
      <w:r w:rsidR="00530066">
        <w:rPr>
          <w:szCs w:val="22"/>
        </w:rPr>
        <w:t xml:space="preserve"> </w:t>
      </w:r>
      <w:r w:rsidR="00010B6D">
        <w:rPr>
          <w:szCs w:val="22"/>
        </w:rPr>
        <w:t>these</w:t>
      </w:r>
      <w:r w:rsidR="00530066">
        <w:rPr>
          <w:szCs w:val="22"/>
        </w:rPr>
        <w:t xml:space="preserve"> will be </w:t>
      </w:r>
      <w:r w:rsidRPr="00787B95">
        <w:rPr>
          <w:szCs w:val="22"/>
        </w:rPr>
        <w:t>considered by the NDIS Review</w:t>
      </w:r>
      <w:r w:rsidR="00851F7B">
        <w:rPr>
          <w:szCs w:val="22"/>
        </w:rPr>
        <w:t>. T</w:t>
      </w:r>
      <w:r w:rsidR="008C0896">
        <w:rPr>
          <w:szCs w:val="22"/>
        </w:rPr>
        <w:t xml:space="preserve">he NDIA should </w:t>
      </w:r>
      <w:r w:rsidR="00F8460F">
        <w:rPr>
          <w:szCs w:val="22"/>
        </w:rPr>
        <w:t>consider any</w:t>
      </w:r>
      <w:r w:rsidR="008C0896">
        <w:rPr>
          <w:szCs w:val="22"/>
        </w:rPr>
        <w:t xml:space="preserve"> appropriate structural changes </w:t>
      </w:r>
      <w:r w:rsidR="001C2623">
        <w:rPr>
          <w:szCs w:val="22"/>
        </w:rPr>
        <w:t xml:space="preserve">after </w:t>
      </w:r>
      <w:r w:rsidR="00970BAA">
        <w:rPr>
          <w:szCs w:val="22"/>
        </w:rPr>
        <w:t xml:space="preserve">recommendations </w:t>
      </w:r>
      <w:r w:rsidR="00880720">
        <w:rPr>
          <w:szCs w:val="22"/>
        </w:rPr>
        <w:t xml:space="preserve">are received </w:t>
      </w:r>
      <w:r w:rsidR="00970BAA">
        <w:rPr>
          <w:szCs w:val="22"/>
        </w:rPr>
        <w:t>from the NDIS Review</w:t>
      </w:r>
      <w:r w:rsidRPr="00787B95">
        <w:rPr>
          <w:szCs w:val="22"/>
        </w:rPr>
        <w:t>.</w:t>
      </w:r>
      <w:r w:rsidR="006F6DD9">
        <w:rPr>
          <w:szCs w:val="22"/>
        </w:rPr>
        <w:t xml:space="preserve"> </w:t>
      </w:r>
    </w:p>
    <w:p w14:paraId="633AA400" w14:textId="5B4FCB73" w:rsidR="00625F6D" w:rsidRDefault="00E17F72" w:rsidP="001B5BAB">
      <w:pPr>
        <w:rPr>
          <w:szCs w:val="22"/>
        </w:rPr>
      </w:pPr>
      <w:r>
        <w:rPr>
          <w:szCs w:val="22"/>
        </w:rPr>
        <w:t>D</w:t>
      </w:r>
      <w:r w:rsidR="00F66AC7">
        <w:rPr>
          <w:szCs w:val="22"/>
        </w:rPr>
        <w:t xml:space="preserve">ata </w:t>
      </w:r>
      <w:r w:rsidR="006F4332">
        <w:rPr>
          <w:szCs w:val="22"/>
        </w:rPr>
        <w:t xml:space="preserve">analysis </w:t>
      </w:r>
      <w:r w:rsidR="00F66AC7">
        <w:rPr>
          <w:szCs w:val="22"/>
        </w:rPr>
        <w:t>and</w:t>
      </w:r>
      <w:r w:rsidR="00036DB3">
        <w:rPr>
          <w:szCs w:val="22"/>
        </w:rPr>
        <w:t xml:space="preserve"> evidence </w:t>
      </w:r>
      <w:r w:rsidR="00E80C05">
        <w:rPr>
          <w:szCs w:val="22"/>
        </w:rPr>
        <w:t>suggest that there are new entra</w:t>
      </w:r>
      <w:r w:rsidR="002D0263">
        <w:rPr>
          <w:szCs w:val="22"/>
        </w:rPr>
        <w:t>nts</w:t>
      </w:r>
      <w:r w:rsidR="00E80C05">
        <w:rPr>
          <w:szCs w:val="22"/>
        </w:rPr>
        <w:t xml:space="preserve"> to the market</w:t>
      </w:r>
      <w:r w:rsidR="00955D5F">
        <w:rPr>
          <w:szCs w:val="22"/>
        </w:rPr>
        <w:t xml:space="preserve"> </w:t>
      </w:r>
      <w:r w:rsidR="00AB7B67">
        <w:rPr>
          <w:szCs w:val="22"/>
        </w:rPr>
        <w:t xml:space="preserve">and </w:t>
      </w:r>
      <w:r w:rsidR="008D4D43">
        <w:rPr>
          <w:szCs w:val="22"/>
        </w:rPr>
        <w:t xml:space="preserve">the current price limits </w:t>
      </w:r>
      <w:r w:rsidR="00E01F1B">
        <w:rPr>
          <w:szCs w:val="22"/>
        </w:rPr>
        <w:t>remain viable</w:t>
      </w:r>
      <w:r w:rsidR="000E0812">
        <w:rPr>
          <w:szCs w:val="22"/>
        </w:rPr>
        <w:t xml:space="preserve"> for </w:t>
      </w:r>
      <w:r w:rsidR="00D31132">
        <w:rPr>
          <w:szCs w:val="22"/>
        </w:rPr>
        <w:t xml:space="preserve">most </w:t>
      </w:r>
      <w:r w:rsidR="000E0812">
        <w:rPr>
          <w:szCs w:val="22"/>
        </w:rPr>
        <w:t xml:space="preserve">providers to </w:t>
      </w:r>
      <w:r w:rsidR="006F4395">
        <w:rPr>
          <w:szCs w:val="22"/>
        </w:rPr>
        <w:t>deliver</w:t>
      </w:r>
      <w:r w:rsidR="000E0812">
        <w:rPr>
          <w:szCs w:val="22"/>
        </w:rPr>
        <w:t xml:space="preserve"> the service.</w:t>
      </w:r>
      <w:r w:rsidR="00003B06">
        <w:rPr>
          <w:szCs w:val="22"/>
        </w:rPr>
        <w:t xml:space="preserve"> </w:t>
      </w:r>
      <w:r w:rsidR="00C03746">
        <w:rPr>
          <w:szCs w:val="22"/>
        </w:rPr>
        <w:t xml:space="preserve">Given the market for support coordination is still </w:t>
      </w:r>
      <w:r w:rsidR="00057186">
        <w:rPr>
          <w:szCs w:val="22"/>
        </w:rPr>
        <w:t>not</w:t>
      </w:r>
      <w:r w:rsidR="00D4101E">
        <w:rPr>
          <w:szCs w:val="22"/>
        </w:rPr>
        <w:t xml:space="preserve"> yet mature and continuing to grow, </w:t>
      </w:r>
      <w:r w:rsidR="00231129">
        <w:rPr>
          <w:szCs w:val="22"/>
        </w:rPr>
        <w:t>on balance, an increase in price limits for Level 2</w:t>
      </w:r>
      <w:r w:rsidR="00681643">
        <w:rPr>
          <w:szCs w:val="22"/>
        </w:rPr>
        <w:t xml:space="preserve">: Coordination of Supports services and Level 3: Specialist Support Coordination services </w:t>
      </w:r>
      <w:r w:rsidR="00BA4957">
        <w:rPr>
          <w:szCs w:val="22"/>
        </w:rPr>
        <w:t xml:space="preserve">is </w:t>
      </w:r>
      <w:r w:rsidR="00AE2885">
        <w:rPr>
          <w:szCs w:val="22"/>
        </w:rPr>
        <w:t>not recommended</w:t>
      </w:r>
      <w:r w:rsidR="00BA4957">
        <w:rPr>
          <w:szCs w:val="22"/>
        </w:rPr>
        <w:t xml:space="preserve"> at this </w:t>
      </w:r>
      <w:r w:rsidR="00554591">
        <w:rPr>
          <w:szCs w:val="22"/>
        </w:rPr>
        <w:t>time.</w:t>
      </w:r>
    </w:p>
    <w:p w14:paraId="6E8C44EC" w14:textId="7E726AF5" w:rsidR="00F8460F" w:rsidRPr="00DF0C3D" w:rsidRDefault="00F8460F" w:rsidP="00F8460F">
      <w:pPr>
        <w:pStyle w:val="RecHeading"/>
      </w:pPr>
      <w:r w:rsidRPr="00DF0C3D">
        <w:t xml:space="preserve">Recommendation </w:t>
      </w:r>
      <w:r w:rsidR="008074B6">
        <w:t>8</w:t>
      </w:r>
    </w:p>
    <w:p w14:paraId="163CFFE2" w14:textId="77777777" w:rsidR="00F8460F" w:rsidRPr="00DF0C3D" w:rsidRDefault="00F8460F" w:rsidP="00F8460F">
      <w:pPr>
        <w:pStyle w:val="RecText"/>
      </w:pPr>
      <w:r>
        <w:t>The NDIA</w:t>
      </w:r>
      <w:r w:rsidRPr="00DF0C3D">
        <w:t xml:space="preserve"> should not make any structural adjustment to the NDIS pricing arrangements for support coordination at this time and should: </w:t>
      </w:r>
    </w:p>
    <w:p w14:paraId="3D31352D" w14:textId="0B9BE155" w:rsidR="00F8460F" w:rsidRPr="00DF0C3D" w:rsidRDefault="00F8460F" w:rsidP="00F317CA">
      <w:pPr>
        <w:pStyle w:val="RecDotPoint"/>
        <w:numPr>
          <w:ilvl w:val="0"/>
          <w:numId w:val="5"/>
        </w:numPr>
        <w:ind w:left="851"/>
      </w:pPr>
      <w:r w:rsidRPr="00DF0C3D">
        <w:t>Index the price limits for the Level 1: Support Connection services on 1 July 202</w:t>
      </w:r>
      <w:r>
        <w:t>3</w:t>
      </w:r>
      <w:r w:rsidRPr="00DF0C3D">
        <w:t xml:space="preserve">, in line with the indexation of </w:t>
      </w:r>
      <w:r>
        <w:t xml:space="preserve">supports </w:t>
      </w:r>
      <w:r w:rsidRPr="00DF0C3D">
        <w:t xml:space="preserve">determined by the NDIS Disability Support Worker Cost Model in recommendation </w:t>
      </w:r>
      <w:r>
        <w:t>1</w:t>
      </w:r>
      <w:r w:rsidR="004613EC">
        <w:t xml:space="preserve"> </w:t>
      </w:r>
      <w:r w:rsidRPr="00DF0C3D">
        <w:t>and</w:t>
      </w:r>
    </w:p>
    <w:p w14:paraId="23D1E268" w14:textId="77777777" w:rsidR="00F8460F" w:rsidRPr="00DF0C3D" w:rsidRDefault="00F8460F" w:rsidP="00F317CA">
      <w:pPr>
        <w:pStyle w:val="RecDotPoint"/>
        <w:numPr>
          <w:ilvl w:val="0"/>
          <w:numId w:val="5"/>
        </w:numPr>
        <w:ind w:left="851"/>
      </w:pPr>
      <w:r w:rsidRPr="00DF0C3D">
        <w:t>Not index the price limits for the Level 2: Coordination of Supports services and Level 3: Specialist Support Coordination services on 1 July 202</w:t>
      </w:r>
      <w:r>
        <w:t>3</w:t>
      </w:r>
      <w:r w:rsidRPr="00DF0C3D">
        <w:t>.</w:t>
      </w:r>
    </w:p>
    <w:p w14:paraId="4BC6D29A" w14:textId="77777777" w:rsidR="00F8460F" w:rsidRPr="00787B95" w:rsidRDefault="00F8460F" w:rsidP="00787B95">
      <w:pPr>
        <w:rPr>
          <w:szCs w:val="22"/>
        </w:rPr>
      </w:pPr>
    </w:p>
    <w:p w14:paraId="7530C163" w14:textId="172CC5AE" w:rsidR="00787B95" w:rsidRPr="00787B95" w:rsidRDefault="005A155E" w:rsidP="00787B95">
      <w:pPr>
        <w:rPr>
          <w:szCs w:val="22"/>
        </w:rPr>
      </w:pPr>
      <w:r w:rsidRPr="00DF0C3D">
        <w:t>A major submission was</w:t>
      </w:r>
      <w:r>
        <w:t xml:space="preserve"> again</w:t>
      </w:r>
      <w:r w:rsidRPr="00DF0C3D">
        <w:t xml:space="preserve"> received from Disability Intermediaries Australia (DIA)</w:t>
      </w:r>
      <w:r w:rsidR="00AC52C7">
        <w:t xml:space="preserve">, </w:t>
      </w:r>
      <w:r w:rsidRPr="00DF0C3D">
        <w:t>the industry group for providers of Intermediary supports (plan management and support coordination). Th</w:t>
      </w:r>
      <w:r>
        <w:t>is</w:t>
      </w:r>
      <w:r w:rsidRPr="00DF0C3D">
        <w:t xml:space="preserve"> submission included summary results of a survey of plan management and support coordination providers on the costs of providing service. </w:t>
      </w:r>
      <w:r w:rsidR="00782101">
        <w:t>The</w:t>
      </w:r>
      <w:r w:rsidR="00787B95" w:rsidRPr="00787B95">
        <w:rPr>
          <w:szCs w:val="22"/>
        </w:rPr>
        <w:t xml:space="preserve"> NDIA </w:t>
      </w:r>
      <w:r w:rsidR="00782101">
        <w:rPr>
          <w:szCs w:val="22"/>
        </w:rPr>
        <w:t>sees merit</w:t>
      </w:r>
      <w:r w:rsidR="00787B95" w:rsidRPr="00787B95">
        <w:rPr>
          <w:szCs w:val="22"/>
        </w:rPr>
        <w:t xml:space="preserve"> </w:t>
      </w:r>
      <w:r w:rsidR="001D00AA">
        <w:rPr>
          <w:szCs w:val="22"/>
        </w:rPr>
        <w:t xml:space="preserve">in the benchmarking </w:t>
      </w:r>
      <w:r w:rsidR="00DF6E29">
        <w:rPr>
          <w:szCs w:val="22"/>
        </w:rPr>
        <w:t xml:space="preserve">survey conducted by DIA </w:t>
      </w:r>
      <w:r w:rsidR="00D31132">
        <w:rPr>
          <w:szCs w:val="22"/>
        </w:rPr>
        <w:t>in</w:t>
      </w:r>
      <w:r w:rsidR="00E41336">
        <w:rPr>
          <w:szCs w:val="22"/>
        </w:rPr>
        <w:t xml:space="preserve"> </w:t>
      </w:r>
      <w:r w:rsidR="003C6AEA">
        <w:rPr>
          <w:szCs w:val="22"/>
        </w:rPr>
        <w:t xml:space="preserve">better </w:t>
      </w:r>
      <w:r w:rsidR="003C6AEA" w:rsidRPr="00787B95">
        <w:rPr>
          <w:szCs w:val="22"/>
        </w:rPr>
        <w:t>captur</w:t>
      </w:r>
      <w:r w:rsidR="00E41336">
        <w:rPr>
          <w:szCs w:val="22"/>
        </w:rPr>
        <w:t>ing</w:t>
      </w:r>
      <w:r w:rsidR="003C6AEA" w:rsidRPr="00787B95">
        <w:rPr>
          <w:szCs w:val="22"/>
        </w:rPr>
        <w:t xml:space="preserve"> the specific cost drivers </w:t>
      </w:r>
      <w:r w:rsidR="003C6AEA">
        <w:rPr>
          <w:szCs w:val="22"/>
        </w:rPr>
        <w:t>faced by support coordination providers. This is considering</w:t>
      </w:r>
      <w:r w:rsidR="00CD3C9B">
        <w:rPr>
          <w:szCs w:val="22"/>
        </w:rPr>
        <w:t xml:space="preserve"> 92% of respondents </w:t>
      </w:r>
      <w:r w:rsidR="003C6AEA">
        <w:rPr>
          <w:szCs w:val="22"/>
        </w:rPr>
        <w:t xml:space="preserve">for support coordination </w:t>
      </w:r>
      <w:r w:rsidR="00CD3C9B">
        <w:rPr>
          <w:szCs w:val="22"/>
        </w:rPr>
        <w:t>reported to have employees under the SCHADS Award</w:t>
      </w:r>
      <w:r w:rsidR="003C6AEA">
        <w:rPr>
          <w:szCs w:val="22"/>
        </w:rPr>
        <w:t>.</w:t>
      </w:r>
      <w:r w:rsidR="00787B95" w:rsidRPr="00787B95">
        <w:rPr>
          <w:szCs w:val="22"/>
        </w:rPr>
        <w:t xml:space="preserve"> </w:t>
      </w:r>
    </w:p>
    <w:p w14:paraId="6A77E920" w14:textId="1B96EFC2" w:rsidR="0078058E" w:rsidRPr="00DF0C3D" w:rsidRDefault="0078058E" w:rsidP="0078058E">
      <w:pPr>
        <w:pStyle w:val="RecHeading"/>
      </w:pPr>
      <w:r w:rsidRPr="00DF0C3D">
        <w:t xml:space="preserve">Recommendation </w:t>
      </w:r>
      <w:r w:rsidR="008074B6">
        <w:t>9</w:t>
      </w:r>
    </w:p>
    <w:p w14:paraId="15375BB3" w14:textId="1F7DEB48" w:rsidR="00D65D07" w:rsidRDefault="00FC7BFA" w:rsidP="0022265C">
      <w:pPr>
        <w:pStyle w:val="RecText"/>
      </w:pPr>
      <w:r>
        <w:t>After</w:t>
      </w:r>
      <w:r w:rsidR="0049363C">
        <w:t xml:space="preserve"> the outcomes of the NDIS Review</w:t>
      </w:r>
      <w:r w:rsidR="00097EF8">
        <w:t xml:space="preserve"> are </w:t>
      </w:r>
      <w:r w:rsidR="00603722">
        <w:t>announced</w:t>
      </w:r>
      <w:r w:rsidR="0049363C">
        <w:t xml:space="preserve">, </w:t>
      </w:r>
      <w:r w:rsidR="00060D31">
        <w:t>t</w:t>
      </w:r>
      <w:r w:rsidR="0078058E">
        <w:t>he NDIA</w:t>
      </w:r>
      <w:r w:rsidR="0078058E" w:rsidRPr="00DF0C3D">
        <w:t xml:space="preserve"> should </w:t>
      </w:r>
      <w:r w:rsidR="00060D31">
        <w:t xml:space="preserve">work with </w:t>
      </w:r>
      <w:r w:rsidR="00B0096E">
        <w:t>the sector</w:t>
      </w:r>
      <w:r w:rsidR="00060D31">
        <w:t xml:space="preserve"> and other appropriate stakeholders to develop Cost Model</w:t>
      </w:r>
      <w:r w:rsidR="00CD3C9B">
        <w:t>s</w:t>
      </w:r>
      <w:r w:rsidR="00060D31">
        <w:t xml:space="preserve"> </w:t>
      </w:r>
      <w:r w:rsidR="00E3296D">
        <w:t>for Level 2: Coordination of Supports and Level 3: Specialist Support Coordinatio</w:t>
      </w:r>
      <w:r w:rsidR="00A654A0">
        <w:t>n</w:t>
      </w:r>
      <w:r w:rsidR="00CD3C9B">
        <w:t>.</w:t>
      </w:r>
    </w:p>
    <w:p w14:paraId="07C5AB29" w14:textId="77777777" w:rsidR="00D65D07" w:rsidRDefault="00D65D07" w:rsidP="00787B95"/>
    <w:p w14:paraId="549EFC99" w14:textId="4910538B" w:rsidR="00F11209" w:rsidRPr="00F11209" w:rsidRDefault="00F11209" w:rsidP="00F11209">
      <w:pPr>
        <w:rPr>
          <w:szCs w:val="22"/>
        </w:rPr>
      </w:pPr>
      <w:r w:rsidRPr="00F11209">
        <w:rPr>
          <w:szCs w:val="22"/>
        </w:rPr>
        <w:t xml:space="preserve">The NDIA also considers that there may be instances where </w:t>
      </w:r>
      <w:r w:rsidR="0049595E">
        <w:rPr>
          <w:szCs w:val="22"/>
        </w:rPr>
        <w:t>support coordinator</w:t>
      </w:r>
      <w:r w:rsidRPr="00F11209">
        <w:rPr>
          <w:szCs w:val="22"/>
        </w:rPr>
        <w:t xml:space="preserve">s could be required to undertake work following the death of a participant or including the administrative work associated with gathering information, returning equipment, and completing forms. In addition, other significant </w:t>
      </w:r>
      <w:proofErr w:type="gramStart"/>
      <w:r w:rsidRPr="00F11209">
        <w:rPr>
          <w:szCs w:val="22"/>
        </w:rPr>
        <w:t>changes</w:t>
      </w:r>
      <w:proofErr w:type="gramEnd"/>
      <w:r w:rsidRPr="00F11209">
        <w:rPr>
          <w:szCs w:val="22"/>
        </w:rPr>
        <w:t xml:space="preserve"> or situations (such as interactions with justice or health services) may require additional administrative work including responding to subpoenas or </w:t>
      </w:r>
      <w:r w:rsidRPr="00F11209">
        <w:rPr>
          <w:szCs w:val="22"/>
        </w:rPr>
        <w:lastRenderedPageBreak/>
        <w:t xml:space="preserve">providing critical details where required. As such, the NDIA should examine options to allow </w:t>
      </w:r>
      <w:r w:rsidR="0049595E">
        <w:rPr>
          <w:szCs w:val="22"/>
        </w:rPr>
        <w:t>support coordinator</w:t>
      </w:r>
      <w:r w:rsidRPr="00F11209">
        <w:rPr>
          <w:szCs w:val="22"/>
        </w:rPr>
        <w:t>s to claim for reasonable payments</w:t>
      </w:r>
      <w:r w:rsidR="00AE2885">
        <w:rPr>
          <w:szCs w:val="22"/>
        </w:rPr>
        <w:t xml:space="preserve"> related to </w:t>
      </w:r>
      <w:r w:rsidR="00E144D0">
        <w:rPr>
          <w:szCs w:val="22"/>
        </w:rPr>
        <w:t>these events</w:t>
      </w:r>
      <w:r w:rsidRPr="00F11209">
        <w:rPr>
          <w:szCs w:val="22"/>
        </w:rPr>
        <w:t>.</w:t>
      </w:r>
    </w:p>
    <w:p w14:paraId="32BFA865" w14:textId="153A5E32" w:rsidR="00CD3C9B" w:rsidRPr="00DF0C3D" w:rsidRDefault="00CD3C9B" w:rsidP="00CD3C9B">
      <w:pPr>
        <w:pStyle w:val="RecHeading"/>
      </w:pPr>
      <w:r w:rsidRPr="00DF0C3D">
        <w:t xml:space="preserve">Recommendation </w:t>
      </w:r>
      <w:r>
        <w:t>1</w:t>
      </w:r>
      <w:r w:rsidR="008074B6">
        <w:t>0</w:t>
      </w:r>
    </w:p>
    <w:p w14:paraId="39351180" w14:textId="381D72EF" w:rsidR="00787B95" w:rsidRPr="00CA0161" w:rsidRDefault="00CD3C9B" w:rsidP="00CA0161">
      <w:pPr>
        <w:pStyle w:val="RecText"/>
      </w:pPr>
      <w:r>
        <w:t xml:space="preserve">The NDIA </w:t>
      </w:r>
      <w:r w:rsidR="002B7CAF">
        <w:t xml:space="preserve">should </w:t>
      </w:r>
      <w:r w:rsidR="00D61F75">
        <w:t>examine</w:t>
      </w:r>
      <w:r>
        <w:t xml:space="preserve"> </w:t>
      </w:r>
      <w:r w:rsidR="001D1D60">
        <w:t>options</w:t>
      </w:r>
      <w:r w:rsidR="002B7CAF" w:rsidRPr="003A7A73">
        <w:t xml:space="preserve"> </w:t>
      </w:r>
      <w:r w:rsidR="002B76C3">
        <w:t xml:space="preserve">on </w:t>
      </w:r>
      <w:r w:rsidR="008361FE">
        <w:t xml:space="preserve">billable work required by </w:t>
      </w:r>
      <w:r w:rsidR="0049595E">
        <w:t>support coordinator</w:t>
      </w:r>
      <w:r w:rsidR="002B7CAF">
        <w:t xml:space="preserve">s </w:t>
      </w:r>
      <w:r w:rsidR="00200028">
        <w:t xml:space="preserve">that is </w:t>
      </w:r>
      <w:r w:rsidR="000A77F2">
        <w:t xml:space="preserve">required </w:t>
      </w:r>
      <w:r w:rsidR="002B7CAF" w:rsidRPr="002B7CAF">
        <w:t>after a participant’s death</w:t>
      </w:r>
      <w:r w:rsidR="00F11209">
        <w:t xml:space="preserve"> or other key events</w:t>
      </w:r>
      <w:r w:rsidR="002B7CAF" w:rsidRPr="002B7CAF">
        <w:t>.</w:t>
      </w:r>
    </w:p>
    <w:p w14:paraId="43ED3B55" w14:textId="7A429389" w:rsidR="00787B95" w:rsidRPr="004671A0" w:rsidRDefault="00787B95" w:rsidP="00D9646F">
      <w:pPr>
        <w:pStyle w:val="Heading3"/>
      </w:pPr>
      <w:r w:rsidRPr="004671A0">
        <w:t xml:space="preserve">Plan </w:t>
      </w:r>
      <w:r w:rsidR="0049595E">
        <w:t>management</w:t>
      </w:r>
      <w:r w:rsidRPr="004671A0">
        <w:t xml:space="preserve"> </w:t>
      </w:r>
      <w:r w:rsidR="00B87A7B">
        <w:t>s</w:t>
      </w:r>
      <w:r w:rsidRPr="004671A0">
        <w:t xml:space="preserve">upports </w:t>
      </w:r>
    </w:p>
    <w:p w14:paraId="4EE75B27" w14:textId="61EE4E25" w:rsidR="00454BED" w:rsidRPr="00454BED" w:rsidRDefault="00454BED" w:rsidP="00454BED">
      <w:r w:rsidRPr="00454BED">
        <w:t xml:space="preserve">Participants can choose to have a registered </w:t>
      </w:r>
      <w:r w:rsidR="0049595E">
        <w:t>plan management</w:t>
      </w:r>
      <w:r w:rsidRPr="00454BED">
        <w:t xml:space="preserve"> provider to manage their funding and budget for the supports in their NDIS plan. </w:t>
      </w:r>
      <w:r w:rsidR="002B1CDA">
        <w:t>Plan manager</w:t>
      </w:r>
      <w:r w:rsidRPr="00454BED">
        <w:t xml:space="preserve">s are bound to the </w:t>
      </w:r>
      <w:r w:rsidRPr="00454BED">
        <w:rPr>
          <w:i/>
        </w:rPr>
        <w:t>NDIS Pricing Arrangements and Price Limits</w:t>
      </w:r>
      <w:r w:rsidRPr="00454BED">
        <w:t xml:space="preserve"> and </w:t>
      </w:r>
      <w:r w:rsidR="00EB59D2" w:rsidRPr="00454BED">
        <w:t>can</w:t>
      </w:r>
      <w:r w:rsidRPr="00454BED">
        <w:t xml:space="preserve"> connect participants with both NDIS registered providers and providers that are not registered with the NDIS. </w:t>
      </w:r>
    </w:p>
    <w:p w14:paraId="2C5590D5" w14:textId="3CF39FD5" w:rsidR="00324833" w:rsidRPr="00AC52C7" w:rsidRDefault="00324833" w:rsidP="00324833">
      <w:r w:rsidRPr="00787B95">
        <w:t xml:space="preserve">The proportion of participants </w:t>
      </w:r>
      <w:r w:rsidRPr="00AC52C7">
        <w:t xml:space="preserve">using plan management has </w:t>
      </w:r>
      <w:r w:rsidR="002E0853">
        <w:t>increased</w:t>
      </w:r>
      <w:r w:rsidRPr="00AC52C7">
        <w:t xml:space="preserve"> as the preferred method over several years, from</w:t>
      </w:r>
      <w:r w:rsidRPr="00AC52C7" w:rsidDel="00324833">
        <w:t xml:space="preserve"> </w:t>
      </w:r>
      <w:r w:rsidRPr="00AC52C7">
        <w:t>45% in the December 2020 quarter to 58% in the December 2022 quarter.</w:t>
      </w:r>
    </w:p>
    <w:p w14:paraId="6013EF09" w14:textId="7329A1EF" w:rsidR="009075B7" w:rsidRDefault="00454BED" w:rsidP="002C6068">
      <w:r w:rsidRPr="00AC52C7">
        <w:t xml:space="preserve">In the six months to December 2022, </w:t>
      </w:r>
      <w:r w:rsidR="001620DA" w:rsidRPr="00AC52C7">
        <w:t xml:space="preserve">333,077 participants used </w:t>
      </w:r>
      <w:r w:rsidR="00CA3025" w:rsidRPr="00AC52C7">
        <w:t xml:space="preserve">a </w:t>
      </w:r>
      <w:r w:rsidR="001620DA" w:rsidRPr="00AC52C7">
        <w:t>plan manager</w:t>
      </w:r>
      <w:r w:rsidR="00CA3025" w:rsidRPr="00AC52C7">
        <w:t xml:space="preserve"> for some or </w:t>
      </w:r>
      <w:r w:rsidR="00EB59D2" w:rsidRPr="00AC52C7">
        <w:t>all</w:t>
      </w:r>
      <w:r w:rsidR="00CA3025" w:rsidRPr="00AC52C7">
        <w:t xml:space="preserve"> their </w:t>
      </w:r>
      <w:r w:rsidR="00C41F8B" w:rsidRPr="00AC52C7">
        <w:t xml:space="preserve">NDIS </w:t>
      </w:r>
      <w:r w:rsidR="00CA3025" w:rsidRPr="00AC52C7">
        <w:t>plan</w:t>
      </w:r>
      <w:r w:rsidR="001620DA" w:rsidRPr="00AC52C7">
        <w:t>, a 2</w:t>
      </w:r>
      <w:r w:rsidR="00AB7186" w:rsidRPr="00AC52C7">
        <w:t>6</w:t>
      </w:r>
      <w:r w:rsidR="001620DA" w:rsidRPr="00AC52C7">
        <w:t xml:space="preserve">% growth compared to 262,915 participants in the </w:t>
      </w:r>
      <w:r w:rsidR="00C0621F" w:rsidRPr="00AC52C7">
        <w:t>six months to December</w:t>
      </w:r>
      <w:r w:rsidR="001620DA" w:rsidRPr="00AC52C7">
        <w:t xml:space="preserve"> 2021. </w:t>
      </w:r>
      <w:r w:rsidR="00787B95" w:rsidRPr="00AC52C7">
        <w:t>In the six months to December 2022, payments were made to 1,797 plan managers</w:t>
      </w:r>
      <w:r w:rsidR="006C7A33" w:rsidRPr="00AC52C7">
        <w:t>,</w:t>
      </w:r>
      <w:r w:rsidR="00787B95" w:rsidRPr="00AC52C7">
        <w:t xml:space="preserve"> a 13% rise </w:t>
      </w:r>
      <w:r w:rsidR="006F10FF">
        <w:t>compared to</w:t>
      </w:r>
      <w:r w:rsidR="00D2146C">
        <w:t xml:space="preserve"> the </w:t>
      </w:r>
      <w:r w:rsidR="003A0F80">
        <w:t xml:space="preserve">six months </w:t>
      </w:r>
      <w:r w:rsidR="00787B95" w:rsidRPr="00AC52C7">
        <w:t>to</w:t>
      </w:r>
      <w:r w:rsidR="006C7A33" w:rsidRPr="00AC52C7">
        <w:t xml:space="preserve"> </w:t>
      </w:r>
      <w:r w:rsidR="00787B95" w:rsidRPr="00AC52C7">
        <w:t xml:space="preserve">December 2021. </w:t>
      </w:r>
    </w:p>
    <w:p w14:paraId="6D7EE4D4" w14:textId="1F363D8B" w:rsidR="00E519DE" w:rsidRPr="00AC52C7" w:rsidRDefault="00B355F0" w:rsidP="002C6068">
      <w:r>
        <w:t>In the six months to December 202</w:t>
      </w:r>
      <w:r w:rsidR="00815AAF">
        <w:t>2</w:t>
      </w:r>
      <w:r>
        <w:t xml:space="preserve">, </w:t>
      </w:r>
      <w:r w:rsidR="00787B95" w:rsidRPr="00AC52C7">
        <w:t xml:space="preserve">$8.1 billion, </w:t>
      </w:r>
      <w:r w:rsidR="009463FD">
        <w:t>that is</w:t>
      </w:r>
      <w:r w:rsidR="00787B95" w:rsidRPr="00AC52C7">
        <w:t>, 4</w:t>
      </w:r>
      <w:r w:rsidR="00693C59">
        <w:t>8</w:t>
      </w:r>
      <w:r w:rsidR="00787B95" w:rsidRPr="00AC52C7">
        <w:t xml:space="preserve">% of </w:t>
      </w:r>
      <w:r w:rsidR="009463FD">
        <w:t xml:space="preserve">NDIS </w:t>
      </w:r>
      <w:r w:rsidR="00107CB9">
        <w:t xml:space="preserve">funds spent was through </w:t>
      </w:r>
      <w:r w:rsidR="002B1CDA">
        <w:t>plan manager</w:t>
      </w:r>
      <w:r w:rsidR="00107CB9">
        <w:t>s</w:t>
      </w:r>
      <w:r w:rsidR="00787B95" w:rsidRPr="00AC52C7">
        <w:t>, consist</w:t>
      </w:r>
      <w:r w:rsidR="00D3689A">
        <w:t>ing</w:t>
      </w:r>
      <w:r w:rsidR="00787B95" w:rsidRPr="00AC52C7">
        <w:t xml:space="preserve"> of $228 million for plan management fees</w:t>
      </w:r>
      <w:r w:rsidR="00E519DE" w:rsidRPr="00AC52C7">
        <w:t xml:space="preserve">. </w:t>
      </w:r>
      <w:r w:rsidR="00E519DE" w:rsidRPr="00AC52C7">
        <w:rPr>
          <w:rFonts w:cs="Arial"/>
          <w:lang w:eastAsia="en-US" w:bidi="th-TH"/>
        </w:rPr>
        <w:t>T</w:t>
      </w:r>
      <w:r w:rsidR="002C6068" w:rsidRPr="00AC52C7">
        <w:rPr>
          <w:rFonts w:cs="Arial"/>
          <w:lang w:eastAsia="en-US" w:bidi="th-TH"/>
        </w:rPr>
        <w:t>he largest five plan managers received more than a quarter (27%) o</w:t>
      </w:r>
      <w:r w:rsidR="00E519DE" w:rsidRPr="00AC52C7">
        <w:rPr>
          <w:rFonts w:cs="Arial"/>
          <w:lang w:eastAsia="en-US" w:bidi="th-TH"/>
        </w:rPr>
        <w:t>f this.</w:t>
      </w:r>
    </w:p>
    <w:p w14:paraId="63348DEF" w14:textId="04228638" w:rsidR="002C6068" w:rsidRPr="00AC52C7" w:rsidRDefault="0048366E" w:rsidP="002C6068">
      <w:r>
        <w:t xml:space="preserve">As participant numbers have increased relative to provider numbers, the average number of participants being serviced per provider has increased from 178 to 214 participants between December 2020 quarter and December 2022 quarter. </w:t>
      </w:r>
    </w:p>
    <w:p w14:paraId="5F77C55B" w14:textId="5CA5317D" w:rsidR="00787B95" w:rsidRDefault="00787B95" w:rsidP="00787B95">
      <w:r w:rsidRPr="00AC52C7">
        <w:t xml:space="preserve">In total, </w:t>
      </w:r>
      <w:r w:rsidR="00A91144" w:rsidRPr="00AC52C7">
        <w:t>81</w:t>
      </w:r>
      <w:r w:rsidRPr="00AC52C7">
        <w:t xml:space="preserve"> submissions were received through the Public Consultation on plan management. </w:t>
      </w:r>
      <w:r w:rsidR="00064F9F" w:rsidRPr="00AC52C7">
        <w:t xml:space="preserve">Most respondents </w:t>
      </w:r>
      <w:r w:rsidRPr="00AC52C7">
        <w:t>suggested the monthly</w:t>
      </w:r>
      <w:r w:rsidRPr="00787B95">
        <w:t xml:space="preserve"> fee </w:t>
      </w:r>
      <w:r w:rsidR="00064F9F">
        <w:t xml:space="preserve">for plan management </w:t>
      </w:r>
      <w:r w:rsidRPr="00787B95">
        <w:t xml:space="preserve">is insufficient for the work they are doing, which </w:t>
      </w:r>
      <w:r w:rsidR="00365DB2">
        <w:t xml:space="preserve">is </w:t>
      </w:r>
      <w:r w:rsidR="00227D82">
        <w:t>said</w:t>
      </w:r>
      <w:r w:rsidR="00227D82" w:rsidRPr="00DD01AE">
        <w:t xml:space="preserve"> to encompass activities outside of </w:t>
      </w:r>
      <w:r w:rsidR="00227D82">
        <w:t>what they believe is expected of them</w:t>
      </w:r>
      <w:r w:rsidRPr="00787B95">
        <w:t xml:space="preserve">. There </w:t>
      </w:r>
      <w:r w:rsidR="00C550C2">
        <w:t>were</w:t>
      </w:r>
      <w:r w:rsidR="0089676D">
        <w:t xml:space="preserve"> also</w:t>
      </w:r>
      <w:r w:rsidRPr="00787B95">
        <w:t xml:space="preserve"> suggestions of clearer guidelines on the role of plan managers which was </w:t>
      </w:r>
      <w:r w:rsidR="00DE565C">
        <w:t xml:space="preserve">a common sentiment </w:t>
      </w:r>
      <w:r w:rsidRPr="00787B95">
        <w:t xml:space="preserve">raised in the </w:t>
      </w:r>
      <w:r w:rsidR="00DE565C">
        <w:t xml:space="preserve">2021-22 </w:t>
      </w:r>
      <w:r w:rsidRPr="00787B95">
        <w:t>APR</w:t>
      </w:r>
      <w:r w:rsidR="00B94C03" w:rsidRPr="00787B95">
        <w:t xml:space="preserve"> and</w:t>
      </w:r>
      <w:r w:rsidR="00DE565C">
        <w:t xml:space="preserve"> is anticipated to be </w:t>
      </w:r>
      <w:r w:rsidR="0080549E">
        <w:t>in the scope of the</w:t>
      </w:r>
      <w:r w:rsidRPr="00787B95">
        <w:t xml:space="preserve"> NDIS Review. </w:t>
      </w:r>
    </w:p>
    <w:p w14:paraId="7667DB7A" w14:textId="3AF7EF1D" w:rsidR="00654B21" w:rsidRDefault="5833E8B9" w:rsidP="00787B95">
      <w:r>
        <w:t>As the market continues to mature</w:t>
      </w:r>
      <w:r w:rsidR="0603162C">
        <w:t xml:space="preserve">, </w:t>
      </w:r>
      <w:proofErr w:type="gramStart"/>
      <w:r w:rsidR="0603162C" w:rsidDel="00182889">
        <w:t>it is clear that the</w:t>
      </w:r>
      <w:proofErr w:type="gramEnd"/>
      <w:r w:rsidR="0603162C">
        <w:t xml:space="preserve"> roles and expectations o</w:t>
      </w:r>
      <w:r w:rsidR="13F7C4DE">
        <w:t>f</w:t>
      </w:r>
      <w:r w:rsidR="0603162C">
        <w:t xml:space="preserve"> plan managers are still evolving. </w:t>
      </w:r>
      <w:r w:rsidR="4AD180B4">
        <w:t xml:space="preserve">In line with previous recommendations from the 2021-22 APR, </w:t>
      </w:r>
      <w:r w:rsidR="615222D1">
        <w:t xml:space="preserve">the role of plan managers </w:t>
      </w:r>
      <w:r w:rsidR="3B312868">
        <w:t>is to be considered by the NDIS Review</w:t>
      </w:r>
      <w:r w:rsidR="615222D1">
        <w:t xml:space="preserve"> and t</w:t>
      </w:r>
      <w:r w:rsidR="3B312868">
        <w:t xml:space="preserve">he NDIA should consider any appropriate structural changes </w:t>
      </w:r>
      <w:r w:rsidR="00C51FDA">
        <w:t>after</w:t>
      </w:r>
      <w:r w:rsidR="3B312868">
        <w:t xml:space="preserve"> recommendations from the NDIS Review.</w:t>
      </w:r>
    </w:p>
    <w:p w14:paraId="134EC5E1" w14:textId="02514810" w:rsidR="00FF09A5" w:rsidRDefault="00FF09A5" w:rsidP="00FF09A5">
      <w:r>
        <w:t xml:space="preserve">Further, available data signals growth in both participants accessing, and providers delivering, plan management supports over the past two years. The growth of providers seen over this period signals economic feasibility </w:t>
      </w:r>
      <w:r w:rsidR="009F1AB0">
        <w:t xml:space="preserve">in </w:t>
      </w:r>
      <w:r>
        <w:t xml:space="preserve">delivering </w:t>
      </w:r>
      <w:r w:rsidR="00FC6750">
        <w:t>these services</w:t>
      </w:r>
      <w:r w:rsidR="0051385E">
        <w:t xml:space="preserve"> for most providers</w:t>
      </w:r>
      <w:r>
        <w:t xml:space="preserve">, with increasing </w:t>
      </w:r>
      <w:r w:rsidR="00FC6750">
        <w:t xml:space="preserve">number of </w:t>
      </w:r>
      <w:r>
        <w:t xml:space="preserve">participants accessing these supports ensuring </w:t>
      </w:r>
      <w:r w:rsidR="00F7684B">
        <w:t xml:space="preserve">growing </w:t>
      </w:r>
      <w:r>
        <w:t>demand for plan management services</w:t>
      </w:r>
      <w:r w:rsidR="00CC0497">
        <w:t xml:space="preserve"> if this remains as is</w:t>
      </w:r>
      <w:r>
        <w:t>.</w:t>
      </w:r>
      <w:r w:rsidR="0057107B">
        <w:t xml:space="preserve"> </w:t>
      </w:r>
    </w:p>
    <w:p w14:paraId="25F736EE" w14:textId="637BFC22" w:rsidR="006C6A4F" w:rsidRPr="00813286" w:rsidRDefault="00813286" w:rsidP="00787B95">
      <w:r>
        <w:t>Consider</w:t>
      </w:r>
      <w:r w:rsidR="00027837">
        <w:t>ing</w:t>
      </w:r>
      <w:r>
        <w:t xml:space="preserve"> available</w:t>
      </w:r>
      <w:r w:rsidR="00A375E6">
        <w:t xml:space="preserve"> </w:t>
      </w:r>
      <w:r w:rsidDel="00A375E6">
        <w:t>information</w:t>
      </w:r>
      <w:r w:rsidDel="00CF3CC7">
        <w:t>,</w:t>
      </w:r>
      <w:r w:rsidDel="00865515">
        <w:t xml:space="preserve"> </w:t>
      </w:r>
      <w:r w:rsidR="002636DE" w:rsidDel="004F1F02">
        <w:t>o</w:t>
      </w:r>
      <w:r w:rsidR="002636DE" w:rsidDel="00CF3CC7">
        <w:t>n balance</w:t>
      </w:r>
      <w:r w:rsidR="002636DE">
        <w:t xml:space="preserve">, </w:t>
      </w:r>
      <w:r w:rsidR="00F7684B">
        <w:t xml:space="preserve">the growth of plan management </w:t>
      </w:r>
      <w:r w:rsidR="00130418">
        <w:t xml:space="preserve">participants and providers over the past two years </w:t>
      </w:r>
      <w:r w:rsidR="00E147A1">
        <w:t xml:space="preserve">suggests this market </w:t>
      </w:r>
      <w:r w:rsidR="00EC4078">
        <w:t xml:space="preserve">is still viable and </w:t>
      </w:r>
      <w:r w:rsidR="00D60CCF">
        <w:t xml:space="preserve">does not </w:t>
      </w:r>
      <w:r>
        <w:t xml:space="preserve">support an increase to plan management supports </w:t>
      </w:r>
      <w:r w:rsidR="0041393C">
        <w:t xml:space="preserve">until </w:t>
      </w:r>
      <w:r w:rsidR="008F3758">
        <w:t>the role</w:t>
      </w:r>
      <w:r w:rsidR="00C357FD">
        <w:t xml:space="preserve">s and expectations of </w:t>
      </w:r>
      <w:r w:rsidR="00941C87">
        <w:t xml:space="preserve">plan </w:t>
      </w:r>
      <w:r w:rsidR="00CE346C">
        <w:t>managers</w:t>
      </w:r>
      <w:r w:rsidR="00953000">
        <w:t xml:space="preserve"> are further </w:t>
      </w:r>
      <w:r w:rsidR="000359C2">
        <w:t>defined</w:t>
      </w:r>
      <w:r>
        <w:t>.</w:t>
      </w:r>
      <w:r w:rsidR="00C90A45">
        <w:t xml:space="preserve"> T</w:t>
      </w:r>
      <w:r w:rsidR="006C6A4F" w:rsidRPr="00AC52C7">
        <w:t xml:space="preserve">he NDIA should continue to monitor the movement of providers claiming for plan management supports in future quarters if this </w:t>
      </w:r>
      <w:r>
        <w:t xml:space="preserve">becomes </w:t>
      </w:r>
      <w:r w:rsidR="006C6A4F" w:rsidRPr="00AC52C7">
        <w:t xml:space="preserve">a trend. </w:t>
      </w:r>
    </w:p>
    <w:p w14:paraId="381B864E" w14:textId="56317248" w:rsidR="00076417" w:rsidRPr="00DF0C3D" w:rsidRDefault="00076417" w:rsidP="00076417">
      <w:pPr>
        <w:pStyle w:val="RecHeading"/>
      </w:pPr>
      <w:r w:rsidRPr="00DF0C3D">
        <w:lastRenderedPageBreak/>
        <w:t xml:space="preserve">Recommendation </w:t>
      </w:r>
      <w:r w:rsidR="00030092">
        <w:t>1</w:t>
      </w:r>
      <w:r w:rsidR="008074B6">
        <w:t>1</w:t>
      </w:r>
    </w:p>
    <w:p w14:paraId="382162E2" w14:textId="303FE6C9" w:rsidR="00117BB0" w:rsidRDefault="00076417" w:rsidP="00CA0161">
      <w:pPr>
        <w:pStyle w:val="RecText"/>
      </w:pPr>
      <w:r>
        <w:t>The NDIA</w:t>
      </w:r>
      <w:r w:rsidRPr="00DF0C3D">
        <w:t xml:space="preserve"> should not make any structural adjustment to the NDIS pricing arrangements for </w:t>
      </w:r>
      <w:r w:rsidRPr="00DF0C3D">
        <w:t xml:space="preserve">plan management </w:t>
      </w:r>
      <w:r w:rsidR="00B9394B">
        <w:t>supports</w:t>
      </w:r>
      <w:r w:rsidR="00503013">
        <w:t xml:space="preserve"> </w:t>
      </w:r>
      <w:r w:rsidRPr="00DF0C3D">
        <w:t>at this time and should not index the price limits for plan management fees on 1 July 202</w:t>
      </w:r>
      <w:r>
        <w:t>3</w:t>
      </w:r>
      <w:r w:rsidRPr="00DF0C3D">
        <w:t xml:space="preserve">. </w:t>
      </w:r>
    </w:p>
    <w:p w14:paraId="28DC905E" w14:textId="4E55CCC0" w:rsidR="00022779" w:rsidRPr="004671A0" w:rsidRDefault="00022779" w:rsidP="00D9646F">
      <w:pPr>
        <w:pStyle w:val="Heading3"/>
      </w:pPr>
      <w:r w:rsidRPr="004671A0">
        <w:t xml:space="preserve">Other </w:t>
      </w:r>
      <w:r w:rsidR="00E41BE3">
        <w:t>s</w:t>
      </w:r>
      <w:r w:rsidRPr="004671A0">
        <w:t>upports</w:t>
      </w:r>
    </w:p>
    <w:p w14:paraId="309B381F" w14:textId="5AF28A6B" w:rsidR="00022779" w:rsidRDefault="00022779" w:rsidP="00022779">
      <w:pPr>
        <w:rPr>
          <w:lang w:eastAsia="en-AU"/>
        </w:rPr>
      </w:pPr>
      <w:r>
        <w:rPr>
          <w:lang w:eastAsia="en-AU"/>
        </w:rPr>
        <w:t xml:space="preserve">In the absence of specific </w:t>
      </w:r>
      <w:r w:rsidR="00CE0FD5">
        <w:rPr>
          <w:lang w:eastAsia="en-AU"/>
        </w:rPr>
        <w:t xml:space="preserve">focus </w:t>
      </w:r>
      <w:r>
        <w:rPr>
          <w:lang w:eastAsia="en-AU"/>
        </w:rPr>
        <w:t xml:space="preserve">within the APR cycle, the NDIA considers the need to maintain the real value of NDIS price limits for support to maintain the supply of supports to NDIS participants. </w:t>
      </w:r>
      <w:r w:rsidR="00D74A74">
        <w:rPr>
          <w:lang w:eastAsia="en-AU"/>
        </w:rPr>
        <w:t>Furthermore, there is also a need</w:t>
      </w:r>
      <w:r>
        <w:rPr>
          <w:lang w:eastAsia="en-AU"/>
        </w:rPr>
        <w:t xml:space="preserve"> to allow further innovation of providers to achieve greater efficiencies and improve the quality and safety of supports delivered. </w:t>
      </w:r>
    </w:p>
    <w:p w14:paraId="4DC4CC29" w14:textId="0CCF83E5" w:rsidR="00022779" w:rsidRDefault="00022779" w:rsidP="00022779">
      <w:r>
        <w:t xml:space="preserve">The NDIA acknowledges there are a range of supports that are not under scope of the 2022-23 APR and are not linked to the DSW Cost Model, </w:t>
      </w:r>
      <w:r w:rsidR="00CF2FF3">
        <w:t xml:space="preserve">which </w:t>
      </w:r>
      <w:r>
        <w:t xml:space="preserve">are not price limited or benchmarked. </w:t>
      </w:r>
    </w:p>
    <w:p w14:paraId="11D92500" w14:textId="75C2F712" w:rsidR="00022779" w:rsidRDefault="005070B5" w:rsidP="00022779">
      <w:r>
        <w:t xml:space="preserve">Nursing supports are considered as part of this category. </w:t>
      </w:r>
      <w:r w:rsidR="00420276">
        <w:t xml:space="preserve">Examples of </w:t>
      </w:r>
      <w:r w:rsidR="00022779">
        <w:t xml:space="preserve">supports </w:t>
      </w:r>
      <w:r w:rsidR="00420276">
        <w:t xml:space="preserve">in </w:t>
      </w:r>
      <w:r w:rsidR="00F75F78">
        <w:t xml:space="preserve">this category </w:t>
      </w:r>
      <w:r w:rsidR="00022779">
        <w:t xml:space="preserve">include several within the core and capacity building support categories such as personal domestic cleaning, house and/or yard maintenance. There is </w:t>
      </w:r>
      <w:r w:rsidR="00022779">
        <w:rPr>
          <w:lang w:eastAsia="en-AU"/>
        </w:rPr>
        <w:t xml:space="preserve">the need to maintain the real value of NDIS price limits for support to maintain the supply of </w:t>
      </w:r>
      <w:r w:rsidR="00CE0FD5">
        <w:rPr>
          <w:lang w:eastAsia="en-AU"/>
        </w:rPr>
        <w:t xml:space="preserve">these </w:t>
      </w:r>
      <w:r w:rsidR="00022779">
        <w:rPr>
          <w:lang w:eastAsia="en-AU"/>
        </w:rPr>
        <w:t xml:space="preserve">supports to NDIS participants. </w:t>
      </w:r>
    </w:p>
    <w:p w14:paraId="216D4113" w14:textId="42333C32" w:rsidR="002F7625" w:rsidRDefault="00022779" w:rsidP="00022779">
      <w:r>
        <w:t xml:space="preserve">This is particularly </w:t>
      </w:r>
      <w:r w:rsidR="00CE0FD5">
        <w:t xml:space="preserve">relevant </w:t>
      </w:r>
      <w:r>
        <w:t xml:space="preserve">for nursing supports, </w:t>
      </w:r>
      <w:r w:rsidR="00FC51A8">
        <w:t xml:space="preserve">with </w:t>
      </w:r>
      <w:r>
        <w:t xml:space="preserve">aged care reforms including </w:t>
      </w:r>
      <w:r w:rsidR="008C18E8">
        <w:t xml:space="preserve">a </w:t>
      </w:r>
      <w:r>
        <w:t xml:space="preserve">15% </w:t>
      </w:r>
      <w:r w:rsidR="008C18E8">
        <w:t>wage</w:t>
      </w:r>
      <w:r>
        <w:t xml:space="preserve"> increase </w:t>
      </w:r>
      <w:r w:rsidR="008C18E8">
        <w:t xml:space="preserve">for </w:t>
      </w:r>
      <w:r>
        <w:t xml:space="preserve">those working in aged care </w:t>
      </w:r>
      <w:r w:rsidR="008C18E8">
        <w:t xml:space="preserve">as well as </w:t>
      </w:r>
      <w:r>
        <w:t xml:space="preserve">other potential increases to the Nursing Award. It is imperative that the NDIA ensures these supports remain competitive to other markets. </w:t>
      </w:r>
      <w:r w:rsidR="002F7625">
        <w:t xml:space="preserve">It </w:t>
      </w:r>
      <w:r>
        <w:t>may pose a risk to participants receiving these supports</w:t>
      </w:r>
      <w:r w:rsidR="002F7625">
        <w:t xml:space="preserve"> if there is no pricing </w:t>
      </w:r>
      <w:r w:rsidR="002F7625">
        <w:t>increase</w:t>
      </w:r>
      <w:r>
        <w:t xml:space="preserve">, and thus is deemed necessary to </w:t>
      </w:r>
      <w:r>
        <w:t>increase</w:t>
      </w:r>
      <w:r>
        <w:t xml:space="preserve"> </w:t>
      </w:r>
      <w:r w:rsidR="002F7625">
        <w:t xml:space="preserve">the price limits of </w:t>
      </w:r>
      <w:r>
        <w:t>these supports in line with previous year’s indexation methodology.</w:t>
      </w:r>
    </w:p>
    <w:p w14:paraId="0E7ED5B0" w14:textId="3C062AF5" w:rsidR="003A6482" w:rsidRDefault="003A6482" w:rsidP="00022779">
      <w:r>
        <w:t xml:space="preserve">It noted that prices for </w:t>
      </w:r>
      <w:r w:rsidR="00334737">
        <w:t>c</w:t>
      </w:r>
      <w:r>
        <w:t xml:space="preserve">apital items are not in </w:t>
      </w:r>
      <w:r w:rsidR="000B388D">
        <w:t>scope for this review and will be the subject of a separate</w:t>
      </w:r>
      <w:r w:rsidR="00334737">
        <w:t xml:space="preserve"> review process.  </w:t>
      </w:r>
      <w:r w:rsidR="000B388D">
        <w:t xml:space="preserve"> </w:t>
      </w:r>
    </w:p>
    <w:p w14:paraId="43FA0181" w14:textId="0EEA0E73" w:rsidR="00022779" w:rsidRDefault="00022779" w:rsidP="00022779">
      <w:pPr>
        <w:pStyle w:val="RecHeading"/>
      </w:pPr>
      <w:r w:rsidRPr="00DF0C3D">
        <w:t xml:space="preserve">Recommendation </w:t>
      </w:r>
      <w:r>
        <w:t>1</w:t>
      </w:r>
      <w:r w:rsidR="00F4302A">
        <w:t>2</w:t>
      </w:r>
    </w:p>
    <w:p w14:paraId="69188D0D" w14:textId="1B960D38" w:rsidR="00022779" w:rsidRDefault="00022779" w:rsidP="00022779">
      <w:pPr>
        <w:pStyle w:val="RecText"/>
      </w:pPr>
      <w:r>
        <w:t>The NDIA</w:t>
      </w:r>
      <w:r w:rsidRPr="00DF0C3D">
        <w:t>, subject to any specific recommendation arising from the current Annual Pricing Review, should:</w:t>
      </w:r>
    </w:p>
    <w:p w14:paraId="05BC3AD9" w14:textId="75BA6B15" w:rsidR="004671A0" w:rsidRDefault="00022779" w:rsidP="00CA0161">
      <w:pPr>
        <w:pStyle w:val="RecDotPoint"/>
        <w:numPr>
          <w:ilvl w:val="0"/>
          <w:numId w:val="5"/>
        </w:numPr>
        <w:ind w:left="851"/>
      </w:pPr>
      <w:r w:rsidRPr="00DF0C3D">
        <w:t>Increase</w:t>
      </w:r>
      <w:r w:rsidRPr="00DF0C3D">
        <w:t xml:space="preserve"> the price limits for supports</w:t>
      </w:r>
      <w:r w:rsidR="00B227F6">
        <w:t xml:space="preserve"> other than </w:t>
      </w:r>
      <w:r w:rsidR="005966EF">
        <w:t>c</w:t>
      </w:r>
      <w:r w:rsidR="00B227F6">
        <w:t xml:space="preserve">apital </w:t>
      </w:r>
      <w:r w:rsidR="005966EF">
        <w:t xml:space="preserve">items </w:t>
      </w:r>
      <w:r w:rsidR="00B227F6">
        <w:t xml:space="preserve">and those </w:t>
      </w:r>
      <w:r w:rsidR="001258A4">
        <w:t>covered by previous recommendations</w:t>
      </w:r>
      <w:r>
        <w:t>,</w:t>
      </w:r>
      <w:r w:rsidRPr="00DF0C3D">
        <w:t xml:space="preserve"> on 1 July </w:t>
      </w:r>
      <w:r w:rsidR="007B1E41">
        <w:t>2023</w:t>
      </w:r>
      <w:r w:rsidRPr="00DF0C3D">
        <w:t xml:space="preserve">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w:t>
      </w:r>
    </w:p>
    <w:p w14:paraId="070F1345" w14:textId="3744F9F4" w:rsidR="00042C73" w:rsidRPr="004671A0" w:rsidRDefault="00042C73" w:rsidP="00D9646F">
      <w:pPr>
        <w:pStyle w:val="Heading3"/>
      </w:pPr>
      <w:r w:rsidRPr="004671A0">
        <w:t xml:space="preserve">NDIS </w:t>
      </w:r>
      <w:r w:rsidR="00E41BE3">
        <w:t>c</w:t>
      </w:r>
      <w:r w:rsidRPr="004671A0">
        <w:t xml:space="preserve">ancellation </w:t>
      </w:r>
      <w:r w:rsidR="00E41BE3">
        <w:t>p</w:t>
      </w:r>
      <w:r w:rsidRPr="004671A0">
        <w:t>olicy</w:t>
      </w:r>
    </w:p>
    <w:p w14:paraId="396895AF" w14:textId="41FFD5DB" w:rsidR="00042C73" w:rsidRPr="001C01E2" w:rsidRDefault="00042C73" w:rsidP="00041A19">
      <w:pPr>
        <w:rPr>
          <w:iCs/>
        </w:rPr>
      </w:pPr>
      <w:r>
        <w:rPr>
          <w:lang w:eastAsia="en-AU"/>
        </w:rPr>
        <w:t>The 2021-22 APR changed the NDIS cancellation policy from 2 days to 7 days to align</w:t>
      </w:r>
      <w:r w:rsidR="00567F12">
        <w:rPr>
          <w:lang w:eastAsia="en-AU"/>
        </w:rPr>
        <w:t>ing</w:t>
      </w:r>
      <w:r>
        <w:rPr>
          <w:lang w:eastAsia="en-AU"/>
        </w:rPr>
        <w:t xml:space="preserve"> to </w:t>
      </w:r>
      <w:r w:rsidR="00822366">
        <w:rPr>
          <w:lang w:eastAsia="en-AU"/>
        </w:rPr>
        <w:t xml:space="preserve">changes to </w:t>
      </w:r>
      <w:r>
        <w:rPr>
          <w:lang w:eastAsia="en-AU"/>
        </w:rPr>
        <w:t xml:space="preserve">the SCHADS Award from 1 July 2022. The policy was </w:t>
      </w:r>
      <w:r w:rsidR="00822366">
        <w:rPr>
          <w:lang w:eastAsia="en-AU"/>
        </w:rPr>
        <w:t xml:space="preserve">updated </w:t>
      </w:r>
      <w:r>
        <w:rPr>
          <w:lang w:eastAsia="en-AU"/>
        </w:rPr>
        <w:t xml:space="preserve">to ensure staff are protected from any impact of short notice cancellations. </w:t>
      </w:r>
      <w:r w:rsidR="00822366">
        <w:rPr>
          <w:lang w:eastAsia="en-AU"/>
        </w:rPr>
        <w:t xml:space="preserve">Following the implementation of this </w:t>
      </w:r>
      <w:r>
        <w:rPr>
          <w:lang w:eastAsia="en-AU"/>
        </w:rPr>
        <w:t xml:space="preserve">change, </w:t>
      </w:r>
      <w:r w:rsidR="00D349A7">
        <w:rPr>
          <w:lang w:eastAsia="en-AU"/>
        </w:rPr>
        <w:t>f</w:t>
      </w:r>
      <w:r w:rsidR="00041A19" w:rsidRPr="00041A19">
        <w:rPr>
          <w:lang w:eastAsia="en-AU"/>
        </w:rPr>
        <w:t xml:space="preserve">eedback </w:t>
      </w:r>
      <w:r w:rsidR="00377276">
        <w:rPr>
          <w:lang w:eastAsia="en-AU"/>
        </w:rPr>
        <w:t xml:space="preserve">received </w:t>
      </w:r>
      <w:r w:rsidR="00041A19" w:rsidRPr="00041A19">
        <w:rPr>
          <w:lang w:eastAsia="en-AU"/>
        </w:rPr>
        <w:t xml:space="preserve">from participants and their representatives </w:t>
      </w:r>
      <w:r w:rsidR="00561432">
        <w:rPr>
          <w:lang w:eastAsia="en-AU"/>
        </w:rPr>
        <w:t xml:space="preserve">reflected </w:t>
      </w:r>
      <w:r w:rsidR="00041A19" w:rsidRPr="00041A19">
        <w:rPr>
          <w:lang w:eastAsia="en-AU"/>
        </w:rPr>
        <w:t>that the 7 days is too long to account for sudden illnesses or events outside of a participant’s control.</w:t>
      </w:r>
      <w:r w:rsidR="00B8435C">
        <w:rPr>
          <w:iCs/>
        </w:rPr>
        <w:t xml:space="preserve"> </w:t>
      </w:r>
      <w:r w:rsidRPr="001C01E2">
        <w:rPr>
          <w:iCs/>
        </w:rPr>
        <w:t>It is important to note that the 7</w:t>
      </w:r>
      <w:r w:rsidR="00B56B82" w:rsidRPr="001C01E2">
        <w:rPr>
          <w:iCs/>
        </w:rPr>
        <w:t>-</w:t>
      </w:r>
      <w:r w:rsidRPr="001C01E2">
        <w:rPr>
          <w:iCs/>
        </w:rPr>
        <w:t>day cancellation policy is the maximum allowable cancellation length by the NDIA, providers can include shorter cancellation periods.</w:t>
      </w:r>
    </w:p>
    <w:p w14:paraId="3658F98C" w14:textId="7EC25E3E" w:rsidR="00042C73" w:rsidRDefault="00042C73" w:rsidP="00042C73">
      <w:r>
        <w:lastRenderedPageBreak/>
        <w:t xml:space="preserve">Analysis of NDIA claims data from July 2020 to December 2022 </w:t>
      </w:r>
      <w:r w:rsidR="005A1500">
        <w:t xml:space="preserve">shows </w:t>
      </w:r>
      <w:r>
        <w:t xml:space="preserve">that cancellations accounted </w:t>
      </w:r>
      <w:r w:rsidR="0070127E">
        <w:t xml:space="preserve">for </w:t>
      </w:r>
      <w:r>
        <w:t xml:space="preserve">around 0.6% of DSW claims over this period. This has remained stable throughout this period with no significant change since the policy update. </w:t>
      </w:r>
    </w:p>
    <w:p w14:paraId="7772A5E1" w14:textId="0EBC14A5" w:rsidR="0085172B" w:rsidRDefault="00042C73" w:rsidP="007B2684">
      <w:r>
        <w:t xml:space="preserve">It is </w:t>
      </w:r>
      <w:r w:rsidR="005A1500">
        <w:t xml:space="preserve">too early to understand </w:t>
      </w:r>
      <w:r>
        <w:t xml:space="preserve">the impact of the changes to the NDIS </w:t>
      </w:r>
      <w:r w:rsidRPr="00361DE9">
        <w:t xml:space="preserve">cancellation policy to NDIS participants based on current data. The NDIA should </w:t>
      </w:r>
      <w:r w:rsidR="005A1500">
        <w:t xml:space="preserve">continue to </w:t>
      </w:r>
      <w:r w:rsidRPr="00361DE9">
        <w:t xml:space="preserve">work </w:t>
      </w:r>
      <w:r w:rsidR="005A1500">
        <w:t xml:space="preserve">closely </w:t>
      </w:r>
      <w:r w:rsidRPr="00361DE9">
        <w:t xml:space="preserve">with the sector to investigate the appropriateness of the current NDIS cancellation policy </w:t>
      </w:r>
      <w:r w:rsidRPr="00B302FB">
        <w:t>post the 2022-23 APR</w:t>
      </w:r>
      <w:r w:rsidRPr="00361DE9">
        <w:t>.</w:t>
      </w:r>
      <w:r w:rsidR="007B2684" w:rsidRPr="007B2684">
        <w:t xml:space="preserve"> </w:t>
      </w:r>
      <w:r w:rsidR="007B2684">
        <w:t xml:space="preserve">The NDIA should </w:t>
      </w:r>
      <w:r w:rsidR="00E36A15">
        <w:t xml:space="preserve">also </w:t>
      </w:r>
      <w:r w:rsidR="007B2684">
        <w:t>consider relevant Industry Awards, employment standards and other relevant industry legislation when setting pricing policy.</w:t>
      </w:r>
    </w:p>
    <w:p w14:paraId="216FB20A" w14:textId="17174EA1" w:rsidR="00042C73" w:rsidRPr="00371CAD" w:rsidRDefault="007B2684" w:rsidP="00042C73">
      <w:pPr>
        <w:pStyle w:val="RecHeading"/>
      </w:pPr>
      <w:r>
        <w:t xml:space="preserve"> </w:t>
      </w:r>
      <w:r w:rsidR="00042C73" w:rsidRPr="00371CAD">
        <w:t>Recommendation</w:t>
      </w:r>
      <w:r w:rsidR="00042C73">
        <w:t xml:space="preserve"> 13</w:t>
      </w:r>
    </w:p>
    <w:p w14:paraId="7C13A105" w14:textId="0F425379" w:rsidR="00307AA0" w:rsidRDefault="00042C73" w:rsidP="00CA0161">
      <w:pPr>
        <w:pStyle w:val="DotPoint"/>
        <w:numPr>
          <w:ilvl w:val="0"/>
          <w:numId w:val="0"/>
        </w:numPr>
        <w:ind w:left="284"/>
        <w:rPr>
          <w:lang w:eastAsia="en-AU"/>
        </w:rPr>
      </w:pPr>
      <w:r w:rsidRPr="008A2EC1">
        <w:rPr>
          <w:i/>
          <w:color w:val="6B2976" w:themeColor="accent1"/>
        </w:rPr>
        <w:t xml:space="preserve">The NDIA </w:t>
      </w:r>
      <w:r>
        <w:rPr>
          <w:i/>
          <w:color w:val="6B2976" w:themeColor="accent1"/>
        </w:rPr>
        <w:t>should work with the sector to investigate the appropriateness of the NDIS cancellation policy for NDIS supports post the 2022-23 APR.</w:t>
      </w:r>
      <w:r w:rsidRPr="008A2EC1">
        <w:rPr>
          <w:i/>
          <w:color w:val="6B2976" w:themeColor="accent1"/>
        </w:rPr>
        <w:t xml:space="preserve"> </w:t>
      </w:r>
    </w:p>
    <w:p w14:paraId="5CD1379F" w14:textId="2F0F4E2F" w:rsidR="008A2EC1" w:rsidRPr="004671A0" w:rsidRDefault="008A2EC1" w:rsidP="00D9646F">
      <w:pPr>
        <w:pStyle w:val="Heading3"/>
      </w:pPr>
      <w:r w:rsidRPr="004671A0">
        <w:t>The NDIS Review</w:t>
      </w:r>
    </w:p>
    <w:p w14:paraId="04F062F5" w14:textId="6A77BB98" w:rsidR="00064D2C" w:rsidRDefault="00064D2C" w:rsidP="00064D2C">
      <w:pPr>
        <w:rPr>
          <w:lang w:eastAsia="en-AU"/>
        </w:rPr>
      </w:pPr>
      <w:r>
        <w:rPr>
          <w:lang w:eastAsia="en-AU"/>
        </w:rPr>
        <w:t xml:space="preserve">The Minister for the NDIS, the Hon Bill Shorten MP, announced the NDIS Review in October 2022. The </w:t>
      </w:r>
      <w:r w:rsidR="000C1343">
        <w:rPr>
          <w:lang w:eastAsia="en-AU"/>
        </w:rPr>
        <w:t xml:space="preserve">NDIS </w:t>
      </w:r>
      <w:r>
        <w:rPr>
          <w:lang w:eastAsia="en-AU"/>
        </w:rPr>
        <w:t xml:space="preserve">Review </w:t>
      </w:r>
      <w:r w:rsidR="00AD6CA3">
        <w:rPr>
          <w:lang w:eastAsia="en-AU"/>
        </w:rPr>
        <w:t xml:space="preserve">is likely </w:t>
      </w:r>
      <w:r>
        <w:rPr>
          <w:lang w:eastAsia="en-AU"/>
        </w:rPr>
        <w:t>to have significant strategic implications for NDIS pricing arrangements in the future.</w:t>
      </w:r>
    </w:p>
    <w:p w14:paraId="49660D42" w14:textId="04BCD45E" w:rsidR="008A2EC1" w:rsidRPr="004A3864" w:rsidRDefault="00064D2C" w:rsidP="004A3864">
      <w:pPr>
        <w:rPr>
          <w:lang w:eastAsia="en-AU"/>
        </w:rPr>
      </w:pPr>
      <w:r>
        <w:rPr>
          <w:lang w:eastAsia="en-AU"/>
        </w:rPr>
        <w:t xml:space="preserve">As the </w:t>
      </w:r>
      <w:r w:rsidR="009F6A1F">
        <w:rPr>
          <w:lang w:eastAsia="en-AU"/>
        </w:rPr>
        <w:t xml:space="preserve">NDIS </w:t>
      </w:r>
      <w:r>
        <w:rPr>
          <w:lang w:eastAsia="en-AU"/>
        </w:rPr>
        <w:t>Review is running concurrently with the 2022-23 APR, t</w:t>
      </w:r>
      <w:r w:rsidR="008A2EC1" w:rsidRPr="00371CAD">
        <w:t xml:space="preserve">he NDIA is committed to working with the NDIS Review Team throughout the </w:t>
      </w:r>
      <w:r w:rsidR="009F6A1F">
        <w:t xml:space="preserve">NDIS </w:t>
      </w:r>
      <w:r w:rsidR="008A2EC1" w:rsidRPr="00371CAD">
        <w:t>Review process.</w:t>
      </w:r>
      <w:r w:rsidR="00AC7D5A" w:rsidRPr="00AC7D5A">
        <w:t xml:space="preserve"> The NDIA acknowledges this may impact some supports and outcomes under the scope of the APR, which should be considered in line with </w:t>
      </w:r>
      <w:r w:rsidR="00EE3DEF">
        <w:t xml:space="preserve">upcoming recommendations </w:t>
      </w:r>
      <w:r w:rsidR="00AC7D5A" w:rsidRPr="00AC7D5A">
        <w:t>from the NDIS Review</w:t>
      </w:r>
      <w:r w:rsidR="00EE3DEF">
        <w:t xml:space="preserve"> expected in October 2023</w:t>
      </w:r>
      <w:r w:rsidR="00AC7D5A" w:rsidRPr="00AC7D5A">
        <w:t>.</w:t>
      </w:r>
    </w:p>
    <w:p w14:paraId="6B178952" w14:textId="154FD53F" w:rsidR="008A2EC1" w:rsidRPr="00371CAD" w:rsidRDefault="008A2EC1" w:rsidP="008A2EC1">
      <w:pPr>
        <w:pStyle w:val="RecHeading"/>
      </w:pPr>
      <w:r w:rsidRPr="00371CAD">
        <w:t>Recommendation</w:t>
      </w:r>
      <w:r w:rsidR="000A708E">
        <w:t xml:space="preserve"> 1</w:t>
      </w:r>
      <w:r w:rsidR="00E11CC2">
        <w:t>4</w:t>
      </w:r>
    </w:p>
    <w:p w14:paraId="2752BC13" w14:textId="5D44B6F7" w:rsidR="008A2EC1" w:rsidRDefault="008A2EC1" w:rsidP="00CA0161">
      <w:pPr>
        <w:pStyle w:val="DotPoint"/>
        <w:numPr>
          <w:ilvl w:val="0"/>
          <w:numId w:val="0"/>
        </w:numPr>
        <w:ind w:left="284"/>
        <w:rPr>
          <w:i/>
          <w:color w:val="6B2976" w:themeColor="text1"/>
        </w:rPr>
      </w:pPr>
      <w:r w:rsidRPr="008A2EC1">
        <w:rPr>
          <w:i/>
          <w:color w:val="6B2976" w:themeColor="accent1"/>
        </w:rPr>
        <w:t xml:space="preserve">The NDIA </w:t>
      </w:r>
      <w:r w:rsidR="00D1631F">
        <w:rPr>
          <w:i/>
          <w:color w:val="6B2976" w:themeColor="accent1"/>
        </w:rPr>
        <w:t>should</w:t>
      </w:r>
      <w:r w:rsidRPr="008A2EC1">
        <w:rPr>
          <w:i/>
          <w:color w:val="6B2976" w:themeColor="accent1"/>
        </w:rPr>
        <w:t xml:space="preserve"> continue to work with the NDIS Review team on relevant topics and issues involving structural changes to the current NDIS pricing arrangements. </w:t>
      </w:r>
    </w:p>
    <w:p w14:paraId="2F593579" w14:textId="6C35E3F9" w:rsidR="00E11CC2" w:rsidRPr="004671A0" w:rsidRDefault="00E11CC2" w:rsidP="00D9646F">
      <w:pPr>
        <w:pStyle w:val="Heading3"/>
      </w:pPr>
      <w:r w:rsidRPr="004671A0">
        <w:t xml:space="preserve">NDIS Pricing Strategy </w:t>
      </w:r>
      <w:r w:rsidR="00184F12">
        <w:t>r</w:t>
      </w:r>
      <w:r w:rsidRPr="004671A0">
        <w:t>efresh</w:t>
      </w:r>
    </w:p>
    <w:p w14:paraId="100757B3" w14:textId="3C7C2FCD" w:rsidR="00E11CC2" w:rsidRPr="00F1442C" w:rsidRDefault="00E11CC2" w:rsidP="00E11CC2">
      <w:r w:rsidRPr="003D064A">
        <w:t xml:space="preserve">The pricing arrangements for the NDIS are governed by the </w:t>
      </w:r>
      <w:r w:rsidRPr="24862EB2">
        <w:rPr>
          <w:i/>
          <w:iCs/>
        </w:rPr>
        <w:t>NDIS Pricing Strategy</w:t>
      </w:r>
      <w:r w:rsidRPr="003D064A">
        <w:t xml:space="preserve">, which was adopted by the NDIA Board in 2019. </w:t>
      </w:r>
      <w:r w:rsidRPr="00F1442C">
        <w:t xml:space="preserve">Since the release of the </w:t>
      </w:r>
      <w:r w:rsidRPr="00F1442C">
        <w:rPr>
          <w:i/>
          <w:iCs/>
        </w:rPr>
        <w:t>NDIS Pricing Strategy</w:t>
      </w:r>
      <w:r w:rsidRPr="00F1442C">
        <w:t xml:space="preserve"> in 2019, there has been rapid growth in the provision of supports across many types of support markets delivering supports to NDIS participants</w:t>
      </w:r>
      <w:r w:rsidR="6277C0DF">
        <w:t>,</w:t>
      </w:r>
      <w:r w:rsidRPr="00F1442C">
        <w:t xml:space="preserve"> which was needed in the roll-out of the NDIS. </w:t>
      </w:r>
    </w:p>
    <w:p w14:paraId="4A124D2C" w14:textId="3DDDF15E" w:rsidR="00EE3DEF" w:rsidRDefault="00EE3DEF" w:rsidP="00E11CC2">
      <w:r>
        <w:t>Other</w:t>
      </w:r>
      <w:r w:rsidR="00E11CC2" w:rsidRPr="00F1442C">
        <w:t xml:space="preserve"> </w:t>
      </w:r>
      <w:r>
        <w:t>changes include:</w:t>
      </w:r>
    </w:p>
    <w:p w14:paraId="42F58437" w14:textId="009653B5" w:rsidR="00EE3DEF" w:rsidRDefault="00EE3DEF" w:rsidP="00F317CA">
      <w:pPr>
        <w:pStyle w:val="ListParagraph"/>
        <w:numPr>
          <w:ilvl w:val="0"/>
          <w:numId w:val="18"/>
        </w:numPr>
      </w:pPr>
      <w:r>
        <w:t xml:space="preserve">The growth </w:t>
      </w:r>
      <w:r w:rsidR="00E11CC2" w:rsidRPr="00F1442C">
        <w:t xml:space="preserve">in size </w:t>
      </w:r>
      <w:r w:rsidR="00BF133C">
        <w:t xml:space="preserve">and scope </w:t>
      </w:r>
      <w:r w:rsidR="00E11CC2" w:rsidRPr="00F1442C">
        <w:t xml:space="preserve">of the NDIS, </w:t>
      </w:r>
    </w:p>
    <w:p w14:paraId="2CF0F7B7" w14:textId="5298D134" w:rsidR="00F5237E" w:rsidRDefault="00E11CC2" w:rsidP="00F317CA">
      <w:pPr>
        <w:pStyle w:val="ListParagraph"/>
        <w:numPr>
          <w:ilvl w:val="0"/>
          <w:numId w:val="18"/>
        </w:numPr>
      </w:pPr>
      <w:r w:rsidRPr="00F1442C">
        <w:t xml:space="preserve">number of participants </w:t>
      </w:r>
      <w:r w:rsidR="00BF133C">
        <w:t>supported by the Scheme has grown</w:t>
      </w:r>
      <w:r w:rsidR="00F5237E">
        <w:t xml:space="preserve">, </w:t>
      </w:r>
    </w:p>
    <w:p w14:paraId="49694826" w14:textId="28B35272" w:rsidR="00D04D10" w:rsidRDefault="00F5237E" w:rsidP="00F317CA">
      <w:pPr>
        <w:pStyle w:val="ListParagraph"/>
        <w:numPr>
          <w:ilvl w:val="0"/>
          <w:numId w:val="18"/>
        </w:numPr>
      </w:pPr>
      <w:r>
        <w:t xml:space="preserve">increase in registered and unregistered </w:t>
      </w:r>
      <w:r w:rsidR="00E11CC2" w:rsidRPr="00F1442C">
        <w:t xml:space="preserve">providers </w:t>
      </w:r>
      <w:r>
        <w:t>offering supports and services in the market</w:t>
      </w:r>
      <w:r w:rsidR="00D04D10">
        <w:t>,</w:t>
      </w:r>
      <w:r w:rsidR="00E11CC2" w:rsidRPr="00F1442C">
        <w:t xml:space="preserve"> </w:t>
      </w:r>
    </w:p>
    <w:p w14:paraId="673A4CFB" w14:textId="7B779A81" w:rsidR="001F4357" w:rsidRDefault="00D04D10" w:rsidP="00F317CA">
      <w:pPr>
        <w:pStyle w:val="ListParagraph"/>
        <w:numPr>
          <w:ilvl w:val="0"/>
          <w:numId w:val="18"/>
        </w:numPr>
      </w:pPr>
      <w:r>
        <w:t xml:space="preserve">shifting </w:t>
      </w:r>
      <w:r w:rsidR="00E11CC2" w:rsidRPr="00F1442C">
        <w:t xml:space="preserve">support market dynamics </w:t>
      </w:r>
      <w:r>
        <w:t>facilitated by external events and changes to economic drivers</w:t>
      </w:r>
      <w:r w:rsidR="00E11CC2" w:rsidRPr="00F1442C">
        <w:t xml:space="preserve">. </w:t>
      </w:r>
    </w:p>
    <w:p w14:paraId="7ED696B7" w14:textId="748B93BF" w:rsidR="00E4736A" w:rsidRDefault="00E4736A" w:rsidP="00E4736A">
      <w:r>
        <w:t xml:space="preserve">Given the extent of the changes to the NDIS and the people it supports, a refresh of the 2019 </w:t>
      </w:r>
      <w:r w:rsidR="001B5759">
        <w:t>NDIS P</w:t>
      </w:r>
      <w:r>
        <w:t xml:space="preserve">ricing </w:t>
      </w:r>
      <w:r w:rsidR="001B5759">
        <w:t>S</w:t>
      </w:r>
      <w:r>
        <w:t>trategy is appropriate so that any future reviews can accommodate these factors and is better placed to consider what market interventions would be effective.</w:t>
      </w:r>
    </w:p>
    <w:p w14:paraId="0ABDA28D" w14:textId="5CFAC478" w:rsidR="00E439EC" w:rsidRDefault="00E11CC2" w:rsidP="00E11CC2">
      <w:r w:rsidRPr="00F1442C">
        <w:lastRenderedPageBreak/>
        <w:t>There is a spectrum of market intervention options available to the NDIA, such as market facilitation, market regulation or alternative commission</w:t>
      </w:r>
      <w:r w:rsidR="002D5DB9">
        <w:t>ing</w:t>
      </w:r>
      <w:r w:rsidRPr="00F1442C">
        <w:t xml:space="preserve">. Which intervention to use depends on the characteristics of the market and how it is functioning. A market that is considered well-functioning requires less intervention. </w:t>
      </w:r>
    </w:p>
    <w:p w14:paraId="04BC1CF0" w14:textId="3233DD4D" w:rsidR="00E11CC2" w:rsidRPr="00F1442C" w:rsidRDefault="00E11CC2" w:rsidP="00E11CC2">
      <w:r w:rsidRPr="00F1442C">
        <w:t>Therefore, the NDIA should examine what might be the most appropriate measures to apply across different markets delivering NDIS supports based on the current market maturity, economic conditions as well as Scheme trajectory.</w:t>
      </w:r>
    </w:p>
    <w:p w14:paraId="3FAECB6D" w14:textId="77777777" w:rsidR="00E11CC2" w:rsidRPr="00F1442C" w:rsidRDefault="00E11CC2" w:rsidP="00E11CC2">
      <w:pPr>
        <w:pStyle w:val="RecHeading"/>
      </w:pPr>
      <w:r w:rsidRPr="00F1442C">
        <w:t>Recommendation 1</w:t>
      </w:r>
      <w:r>
        <w:t>5</w:t>
      </w:r>
    </w:p>
    <w:p w14:paraId="2A7556AF" w14:textId="683EC530" w:rsidR="00604A6A" w:rsidRPr="00CA0161" w:rsidRDefault="00E11CC2" w:rsidP="00CA0161">
      <w:pPr>
        <w:pStyle w:val="DotPoint"/>
        <w:numPr>
          <w:ilvl w:val="0"/>
          <w:numId w:val="0"/>
        </w:numPr>
        <w:ind w:left="284"/>
        <w:rPr>
          <w:i/>
          <w:color w:val="6B2976" w:themeColor="accent1"/>
        </w:rPr>
      </w:pPr>
      <w:r w:rsidRPr="00F1442C">
        <w:rPr>
          <w:i/>
          <w:color w:val="6B2976" w:themeColor="accent1"/>
        </w:rPr>
        <w:t xml:space="preserve">The NDIA should refresh its NDIS Pricing Strategy to ensure its appropriateness </w:t>
      </w:r>
      <w:r w:rsidR="00B518F3">
        <w:rPr>
          <w:i/>
          <w:color w:val="6B2976" w:themeColor="accent1"/>
        </w:rPr>
        <w:t xml:space="preserve">given </w:t>
      </w:r>
      <w:r w:rsidRPr="00F1442C">
        <w:rPr>
          <w:i/>
          <w:color w:val="6B2976" w:themeColor="accent1"/>
        </w:rPr>
        <w:t xml:space="preserve">the current state of NDIS support markets, </w:t>
      </w:r>
      <w:proofErr w:type="gramStart"/>
      <w:r w:rsidR="00D612E3">
        <w:rPr>
          <w:i/>
          <w:color w:val="6B2976" w:themeColor="accent1"/>
        </w:rPr>
        <w:t xml:space="preserve">giving </w:t>
      </w:r>
      <w:r w:rsidRPr="00F1442C">
        <w:rPr>
          <w:i/>
          <w:color w:val="6B2976" w:themeColor="accent1"/>
        </w:rPr>
        <w:t>considerat</w:t>
      </w:r>
      <w:r w:rsidR="00D612E3">
        <w:rPr>
          <w:i/>
          <w:color w:val="6B2976" w:themeColor="accent1"/>
        </w:rPr>
        <w:t>ion</w:t>
      </w:r>
      <w:r w:rsidRPr="00F1442C">
        <w:rPr>
          <w:i/>
          <w:color w:val="6B2976" w:themeColor="accent1"/>
        </w:rPr>
        <w:t xml:space="preserve"> to</w:t>
      </w:r>
      <w:proofErr w:type="gramEnd"/>
      <w:r w:rsidRPr="00F1442C">
        <w:rPr>
          <w:i/>
          <w:color w:val="6B2976" w:themeColor="accent1"/>
        </w:rPr>
        <w:t xml:space="preserve"> the outcomes from the NDIS Review.</w:t>
      </w:r>
    </w:p>
    <w:p w14:paraId="64BCD358" w14:textId="0E64A50B" w:rsidR="006B5D70" w:rsidRPr="004671A0" w:rsidRDefault="006B5D70" w:rsidP="00D9646F">
      <w:pPr>
        <w:pStyle w:val="Heading3"/>
      </w:pPr>
      <w:r w:rsidRPr="004671A0">
        <w:t xml:space="preserve">Financial </w:t>
      </w:r>
      <w:r w:rsidR="00184F12">
        <w:t>r</w:t>
      </w:r>
      <w:r w:rsidRPr="004671A0">
        <w:t>eporting by NDIS providers</w:t>
      </w:r>
    </w:p>
    <w:p w14:paraId="43524992" w14:textId="77777777" w:rsidR="006B5D70" w:rsidRPr="00FB1417" w:rsidRDefault="006B5D70" w:rsidP="006B5D70">
      <w:r w:rsidRPr="00FB1417">
        <w:t>The NDIA believes it is imperative that as a market steward, it is important to monitor and track the financial performance of providers within the sector to ensure that they remain financially viable.</w:t>
      </w:r>
    </w:p>
    <w:p w14:paraId="574C99B9" w14:textId="3650156C" w:rsidR="004758E4" w:rsidRDefault="006B5D70" w:rsidP="006B5D70">
      <w:r>
        <w:t>P</w:t>
      </w:r>
      <w:r w:rsidRPr="00FB1417">
        <w:t>revious attempts to conduct surveys to gauge providers</w:t>
      </w:r>
      <w:r w:rsidR="006E5B6B">
        <w:t>’</w:t>
      </w:r>
      <w:r w:rsidRPr="00FB1417">
        <w:t xml:space="preserve"> financial bottom line</w:t>
      </w:r>
      <w:r w:rsidR="006E5B6B">
        <w:t>s</w:t>
      </w:r>
      <w:r w:rsidRPr="00FB1417">
        <w:t xml:space="preserve"> ha</w:t>
      </w:r>
      <w:r w:rsidR="006E5B6B">
        <w:t>ve</w:t>
      </w:r>
      <w:r w:rsidRPr="00FB1417">
        <w:t xml:space="preserve"> </w:t>
      </w:r>
      <w:r>
        <w:t xml:space="preserve">resulted in </w:t>
      </w:r>
      <w:r w:rsidRPr="00FB1417">
        <w:t>poor response rates and therefore the survey results</w:t>
      </w:r>
      <w:r w:rsidR="0065278B">
        <w:t xml:space="preserve"> are not considered to be </w:t>
      </w:r>
      <w:r w:rsidR="00390278">
        <w:t>representative of the entire provider sector</w:t>
      </w:r>
      <w:r w:rsidRPr="00FB1417">
        <w:t xml:space="preserve">. </w:t>
      </w:r>
    </w:p>
    <w:p w14:paraId="009C331C" w14:textId="77DD2733" w:rsidR="001F2258" w:rsidRPr="00F74823" w:rsidRDefault="001F2258" w:rsidP="00F74823">
      <w:r w:rsidRPr="00F74823">
        <w:t xml:space="preserve">While a financial benchmarking survey of the provider market is not part of the scope of </w:t>
      </w:r>
      <w:r>
        <w:t xml:space="preserve">the </w:t>
      </w:r>
      <w:r w:rsidRPr="00F74823">
        <w:t>2022-23 APR, it is important to note that the NDIA is beginning to work with the sector to introduce financial benchmarking activity to support providers to better understand their financial position when compared to their peers in the market.</w:t>
      </w:r>
    </w:p>
    <w:p w14:paraId="3B958A4B" w14:textId="12E6AFC2" w:rsidR="006B5D70" w:rsidRPr="002F7867" w:rsidRDefault="006B5D70" w:rsidP="006B5D70">
      <w:r w:rsidRPr="002F7867">
        <w:t>An effective price setting mechanism is critically underpinned by the Agency’s ability to track, monitor, and benchmark the financial performance of the sector, which helps with Government policy planning and development. This ensures there is representation across a range of organisations with different cost bases, sizes, and locations.</w:t>
      </w:r>
      <w:r w:rsidR="00604A6A" w:rsidRPr="002F7867">
        <w:t xml:space="preserve"> </w:t>
      </w:r>
      <w:r w:rsidR="004855A2">
        <w:t xml:space="preserve">Moving forward, a model </w:t>
      </w:r>
      <w:r w:rsidRPr="002F7867">
        <w:t xml:space="preserve">to consider is the </w:t>
      </w:r>
      <w:r w:rsidR="00624B19">
        <w:t xml:space="preserve">current </w:t>
      </w:r>
      <w:r w:rsidRPr="002F7867">
        <w:t xml:space="preserve">mandatory financial reporting requirements in the aged care sector. </w:t>
      </w:r>
    </w:p>
    <w:p w14:paraId="72E745AC" w14:textId="5D9CAAC3" w:rsidR="006B5D70" w:rsidRDefault="006B5D70" w:rsidP="006B5D70">
      <w:r>
        <w:rPr>
          <w:noProof/>
        </w:rPr>
        <w:t>The</w:t>
      </w:r>
      <w:r w:rsidRPr="00FB1417">
        <w:rPr>
          <w:noProof/>
        </w:rPr>
        <w:t xml:space="preserve"> NDIA should explore options with the NDIS Review on the possibility of creating mandatory financial </w:t>
      </w:r>
      <w:r>
        <w:rPr>
          <w:noProof/>
        </w:rPr>
        <w:t xml:space="preserve">requirements. </w:t>
      </w:r>
      <w:r w:rsidRPr="00FB1417">
        <w:rPr>
          <w:noProof/>
        </w:rPr>
        <w:t>This is to ensure the NDIA has sufficient information available on the financial position of providers to assist in its role as market steward and inform its pricing review process.</w:t>
      </w:r>
    </w:p>
    <w:p w14:paraId="2D68BCF0" w14:textId="77777777" w:rsidR="006B5D70" w:rsidRPr="00FB1417" w:rsidRDefault="006B5D70" w:rsidP="00507C4A">
      <w:pPr>
        <w:pStyle w:val="RecHeading"/>
        <w:ind w:left="0"/>
      </w:pPr>
      <w:r w:rsidRPr="00FB1417">
        <w:t xml:space="preserve">Recommendation </w:t>
      </w:r>
      <w:r>
        <w:t>16</w:t>
      </w:r>
    </w:p>
    <w:p w14:paraId="042EC76C" w14:textId="63C3C919" w:rsidR="00277F56" w:rsidRPr="00277F56" w:rsidRDefault="006B5D70" w:rsidP="00277F56">
      <w:pPr>
        <w:rPr>
          <w:lang w:eastAsia="en-AU"/>
        </w:rPr>
        <w:sectPr w:rsidR="00277F56" w:rsidRPr="00277F56" w:rsidSect="00E208B3">
          <w:headerReference w:type="first" r:id="rId16"/>
          <w:pgSz w:w="11907" w:h="16839" w:code="9"/>
          <w:pgMar w:top="1080" w:right="1440" w:bottom="1276" w:left="1440" w:header="709" w:footer="709" w:gutter="0"/>
          <w:cols w:space="708"/>
          <w:docGrid w:linePitch="360"/>
        </w:sectPr>
      </w:pPr>
      <w:r w:rsidRPr="00FB1417">
        <w:rPr>
          <w:i/>
          <w:color w:val="6B2976" w:themeColor="accent1"/>
        </w:rPr>
        <w:t xml:space="preserve">The NDIA should explore options with the NDIS Review on the potential for mandatory financial reporting from NDIS providers on certain financial metrics. </w:t>
      </w:r>
    </w:p>
    <w:p w14:paraId="706FED36" w14:textId="0DF41720" w:rsidR="00751640" w:rsidRPr="00F43965" w:rsidRDefault="00751640" w:rsidP="00430B55">
      <w:pPr>
        <w:pStyle w:val="Heading2"/>
      </w:pPr>
      <w:bookmarkStart w:id="19" w:name="_Toc135405220"/>
      <w:r w:rsidRPr="00F43965">
        <w:lastRenderedPageBreak/>
        <w:t>Introduction</w:t>
      </w:r>
      <w:bookmarkEnd w:id="19"/>
    </w:p>
    <w:p w14:paraId="64F01C4B" w14:textId="4302E6F3" w:rsidR="00AD0450" w:rsidRPr="00BC0A33" w:rsidRDefault="00AD0450" w:rsidP="00D9646F">
      <w:pPr>
        <w:pStyle w:val="Heading3"/>
      </w:pPr>
      <w:r w:rsidRPr="00BC0A33">
        <w:t>2.1</w:t>
      </w:r>
      <w:r w:rsidRPr="00BC0A33">
        <w:tab/>
        <w:t>General</w:t>
      </w:r>
    </w:p>
    <w:p w14:paraId="25CF165A" w14:textId="05822B7F" w:rsidR="0D467863" w:rsidRDefault="005E1975">
      <w:r>
        <w:rPr>
          <w:rFonts w:eastAsia="Arial" w:cs="Arial"/>
        </w:rPr>
        <w:t>T</w:t>
      </w:r>
      <w:r w:rsidR="0D467863" w:rsidRPr="1F29E8FC">
        <w:rPr>
          <w:rFonts w:eastAsia="Arial" w:cs="Arial"/>
        </w:rPr>
        <w:t xml:space="preserve">he National Disability Insurance Scheme (NDIS, Scheme) was established to support people with disability to pursue their goals, to help them to realise their full potential, to assist them to participate in and contribute to society, and to empower them to exercise choice and control over their lives and futures. The Scheme is administered by the National Disability Insurance Agency (NDIA, Agency). </w:t>
      </w:r>
    </w:p>
    <w:p w14:paraId="48380FE5" w14:textId="30F9D9DD" w:rsidR="00E94826" w:rsidRDefault="55A5C657">
      <w:r w:rsidRPr="1F29E8FC">
        <w:rPr>
          <w:rFonts w:eastAsia="Arial" w:cs="Arial"/>
        </w:rPr>
        <w:t xml:space="preserve">The Scheme has been in operation for 9 years, with the first three years being the trial period, followed by a transition phase until 1 July 2020, when the Scheme </w:t>
      </w:r>
      <w:r w:rsidR="00530551">
        <w:rPr>
          <w:rFonts w:eastAsia="Arial" w:cs="Arial"/>
        </w:rPr>
        <w:t xml:space="preserve">became </w:t>
      </w:r>
      <w:r w:rsidRPr="1F29E8FC">
        <w:rPr>
          <w:rFonts w:eastAsia="Arial" w:cs="Arial"/>
        </w:rPr>
        <w:t xml:space="preserve">operational in all areas of Australia. </w:t>
      </w:r>
      <w:r w:rsidR="466AE2BB" w:rsidRPr="1F29E8FC">
        <w:rPr>
          <w:rFonts w:eastAsia="Arial" w:cs="Arial"/>
        </w:rPr>
        <w:t xml:space="preserve">At </w:t>
      </w:r>
      <w:r w:rsidR="19991FF5" w:rsidRPr="1F29E8FC">
        <w:rPr>
          <w:rFonts w:eastAsia="Arial" w:cs="Arial"/>
        </w:rPr>
        <w:t xml:space="preserve">the end of the trial period, </w:t>
      </w:r>
      <w:r w:rsidR="466AE2BB" w:rsidRPr="1F29E8FC">
        <w:rPr>
          <w:rFonts w:eastAsia="Arial" w:cs="Arial"/>
        </w:rPr>
        <w:t>30 June</w:t>
      </w:r>
      <w:r w:rsidR="466AE2BB" w:rsidRPr="1F29E8FC">
        <w:rPr>
          <w:rFonts w:eastAsia="Arial" w:cs="Arial"/>
          <w:color w:val="000000"/>
        </w:rPr>
        <w:t xml:space="preserve"> 2016</w:t>
      </w:r>
      <w:r w:rsidRPr="1F29E8FC">
        <w:rPr>
          <w:rFonts w:eastAsia="Arial" w:cs="Arial"/>
          <w:color w:val="000000"/>
        </w:rPr>
        <w:t xml:space="preserve">, the Scheme included 29,719 participants. The Scheme has grown significantly since, with 573,342 participants as </w:t>
      </w:r>
      <w:r w:rsidR="00CA14DC">
        <w:rPr>
          <w:rFonts w:eastAsia="Arial" w:cs="Arial"/>
          <w:color w:val="000000"/>
        </w:rPr>
        <w:t>of</w:t>
      </w:r>
      <w:r w:rsidR="00CA14DC" w:rsidRPr="1F29E8FC">
        <w:rPr>
          <w:rFonts w:eastAsia="Arial" w:cs="Arial"/>
          <w:color w:val="000000"/>
        </w:rPr>
        <w:t xml:space="preserve"> </w:t>
      </w:r>
      <w:r w:rsidRPr="1F29E8FC">
        <w:rPr>
          <w:rFonts w:eastAsia="Arial" w:cs="Arial"/>
          <w:color w:val="000000"/>
        </w:rPr>
        <w:t>31 December 2022.</w:t>
      </w:r>
      <w:bookmarkStart w:id="20" w:name="_Ref132723759"/>
      <w:r w:rsidR="00D46534">
        <w:rPr>
          <w:rStyle w:val="FootnoteReference"/>
          <w:rFonts w:eastAsia="Arial" w:cs="Arial"/>
          <w:color w:val="000000"/>
        </w:rPr>
        <w:footnoteReference w:id="2"/>
      </w:r>
      <w:bookmarkEnd w:id="20"/>
    </w:p>
    <w:p w14:paraId="39468C2C" w14:textId="60D7F245" w:rsidR="00E94826" w:rsidRDefault="00E94826">
      <w:r w:rsidRPr="1F29E8FC">
        <w:rPr>
          <w:rFonts w:eastAsia="Arial" w:cs="Arial"/>
        </w:rPr>
        <w:t xml:space="preserve">Total payments have increased over the last three years, from $10.5 billion in the year to 30 June 2019 to $28.6 billion in the year to 30 June 2022. </w:t>
      </w:r>
      <w:r w:rsidR="002C3C18">
        <w:rPr>
          <w:rFonts w:eastAsia="Arial" w:cs="Arial"/>
        </w:rPr>
        <w:t>P</w:t>
      </w:r>
      <w:r w:rsidRPr="1F29E8FC">
        <w:rPr>
          <w:rFonts w:eastAsia="Arial" w:cs="Arial"/>
        </w:rPr>
        <w:t xml:space="preserve">ayments </w:t>
      </w:r>
      <w:r w:rsidR="001F45F3">
        <w:rPr>
          <w:rFonts w:eastAsia="Arial" w:cs="Arial"/>
        </w:rPr>
        <w:t>in the six months to</w:t>
      </w:r>
      <w:r w:rsidRPr="1F29E8FC">
        <w:rPr>
          <w:rFonts w:eastAsia="Arial" w:cs="Arial"/>
        </w:rPr>
        <w:t xml:space="preserve"> December 2022 were $16.8 billion.</w:t>
      </w:r>
    </w:p>
    <w:p w14:paraId="0B0FA2A9" w14:textId="37DAAEC2" w:rsidR="00E94826" w:rsidRDefault="00E94826">
      <w:r w:rsidRPr="1F29E8FC">
        <w:rPr>
          <w:rFonts w:eastAsia="Arial" w:cs="Arial"/>
        </w:rPr>
        <w:t xml:space="preserve">The average payments for </w:t>
      </w:r>
      <w:r w:rsidR="002659EE">
        <w:rPr>
          <w:rFonts w:eastAsia="Arial" w:cs="Arial"/>
        </w:rPr>
        <w:t xml:space="preserve">twelve months to </w:t>
      </w:r>
      <w:r w:rsidRPr="1F29E8FC">
        <w:rPr>
          <w:rFonts w:eastAsia="Arial" w:cs="Arial"/>
        </w:rPr>
        <w:t xml:space="preserve">December for all participants have increased from $47,800 in 2019 to $57,600 in 2022, a 6.4% increase per annum. Specifically, average payments are much higher for participants in Supported Independent Living (SIL) than those not in SIL ($357,300 versus $41,000 respectively, in the </w:t>
      </w:r>
      <w:r w:rsidR="00EE18AF">
        <w:rPr>
          <w:rFonts w:eastAsia="Arial" w:cs="Arial"/>
        </w:rPr>
        <w:t>twelve months to</w:t>
      </w:r>
      <w:r w:rsidRPr="1F29E8FC">
        <w:rPr>
          <w:rFonts w:eastAsia="Arial" w:cs="Arial"/>
        </w:rPr>
        <w:t xml:space="preserve"> December 2022). Average payments are also higher for adults compared with children ($64,400 for participants not in SIL aged 25 to 64 versus $18,900 for those aged 0 to 14 years, in the </w:t>
      </w:r>
      <w:r w:rsidR="008F4313">
        <w:rPr>
          <w:rFonts w:eastAsia="Arial" w:cs="Arial"/>
        </w:rPr>
        <w:t>twelve months to</w:t>
      </w:r>
      <w:r w:rsidRPr="1F29E8FC">
        <w:rPr>
          <w:rFonts w:eastAsia="Arial" w:cs="Arial"/>
        </w:rPr>
        <w:t xml:space="preserve"> December 2022).</w:t>
      </w:r>
    </w:p>
    <w:p w14:paraId="2FC31D5D" w14:textId="529562D0" w:rsidR="00E94826" w:rsidRDefault="00E94826">
      <w:r w:rsidRPr="1F29E8FC">
        <w:rPr>
          <w:rFonts w:eastAsia="Arial" w:cs="Arial"/>
        </w:rPr>
        <w:t xml:space="preserve">$31 billion in support has been provided in the </w:t>
      </w:r>
      <w:r w:rsidR="008F4313">
        <w:rPr>
          <w:rFonts w:eastAsia="Arial" w:cs="Arial"/>
        </w:rPr>
        <w:t>twelve</w:t>
      </w:r>
      <w:r w:rsidR="008F4313" w:rsidRPr="1F29E8FC">
        <w:rPr>
          <w:rFonts w:eastAsia="Arial" w:cs="Arial"/>
        </w:rPr>
        <w:t xml:space="preserve"> </w:t>
      </w:r>
      <w:r w:rsidRPr="1F29E8FC">
        <w:rPr>
          <w:rFonts w:eastAsia="Arial" w:cs="Arial"/>
        </w:rPr>
        <w:t>months to December 2022. The largest support categories by expenditure are:</w:t>
      </w:r>
    </w:p>
    <w:p w14:paraId="0860DD43" w14:textId="7173AF4B" w:rsidR="00E94826" w:rsidRDefault="00E94826" w:rsidP="00C727CC">
      <w:pPr>
        <w:pStyle w:val="ListParagraph"/>
        <w:numPr>
          <w:ilvl w:val="2"/>
          <w:numId w:val="3"/>
        </w:numPr>
        <w:spacing w:line="264" w:lineRule="auto"/>
        <w:rPr>
          <w:rFonts w:eastAsia="Arial" w:cs="Arial"/>
        </w:rPr>
      </w:pPr>
      <w:r w:rsidRPr="1F29E8FC">
        <w:rPr>
          <w:rFonts w:eastAsia="Arial" w:cs="Arial"/>
        </w:rPr>
        <w:t>54% ($16.7 billion) on core daily activities</w:t>
      </w:r>
    </w:p>
    <w:p w14:paraId="7C2D2B5E" w14:textId="140EC002" w:rsidR="00E94826" w:rsidRDefault="00E94826" w:rsidP="00C727CC">
      <w:pPr>
        <w:pStyle w:val="ListParagraph"/>
        <w:numPr>
          <w:ilvl w:val="2"/>
          <w:numId w:val="3"/>
        </w:numPr>
        <w:spacing w:line="264" w:lineRule="auto"/>
        <w:rPr>
          <w:rFonts w:eastAsia="Arial" w:cs="Arial"/>
        </w:rPr>
      </w:pPr>
      <w:r w:rsidRPr="1F29E8FC">
        <w:rPr>
          <w:rFonts w:eastAsia="Arial" w:cs="Arial"/>
        </w:rPr>
        <w:t xml:space="preserve">20% ($6.1 billion) on social and community participation </w:t>
      </w:r>
    </w:p>
    <w:p w14:paraId="47B4A8AE" w14:textId="66452554" w:rsidR="00E94826" w:rsidRPr="00B70566" w:rsidRDefault="00E94826" w:rsidP="00C727CC">
      <w:pPr>
        <w:pStyle w:val="ListParagraph"/>
        <w:numPr>
          <w:ilvl w:val="2"/>
          <w:numId w:val="3"/>
        </w:numPr>
        <w:spacing w:line="264" w:lineRule="auto"/>
        <w:rPr>
          <w:rFonts w:eastAsia="Arial" w:cs="Arial"/>
        </w:rPr>
      </w:pPr>
      <w:r w:rsidRPr="24D74AD8">
        <w:rPr>
          <w:rFonts w:eastAsia="Arial" w:cs="Arial"/>
        </w:rPr>
        <w:t>13% ($3.9 billion) on capacity building daily activities (therapy services)</w:t>
      </w:r>
      <w:r w:rsidR="00461D22">
        <w:rPr>
          <w:rFonts w:eastAsia="Arial" w:cs="Arial"/>
        </w:rPr>
        <w:t>.</w:t>
      </w:r>
      <w:r w:rsidRPr="24D74AD8">
        <w:rPr>
          <w:rFonts w:eastAsia="Arial" w:cs="Arial"/>
        </w:rPr>
        <w:t xml:space="preserve"> </w:t>
      </w:r>
    </w:p>
    <w:p w14:paraId="4D701718" w14:textId="41042214" w:rsidR="000A2C48" w:rsidRPr="000A2C48" w:rsidRDefault="000A2C48" w:rsidP="00D9646F">
      <w:pPr>
        <w:pStyle w:val="Heading3"/>
      </w:pPr>
      <w:r w:rsidRPr="000A2C48">
        <w:t>2.2</w:t>
      </w:r>
      <w:r w:rsidRPr="000A2C48">
        <w:tab/>
        <w:t>Terms of Reference of the Review</w:t>
      </w:r>
    </w:p>
    <w:p w14:paraId="0D999219" w14:textId="4F65D044" w:rsidR="00E94826" w:rsidRDefault="00E94826" w:rsidP="3525C60E">
      <w:pPr>
        <w:spacing w:line="264" w:lineRule="auto"/>
        <w:rPr>
          <w:rFonts w:eastAsia="Arial" w:cs="Arial"/>
        </w:rPr>
      </w:pPr>
      <w:r w:rsidRPr="01AA5AFD">
        <w:rPr>
          <w:rFonts w:eastAsia="Arial" w:cs="Arial"/>
        </w:rPr>
        <w:t xml:space="preserve">The Terms of Reference of the 2022-23 Annual Pricing Review </w:t>
      </w:r>
      <w:r>
        <w:rPr>
          <w:rFonts w:eastAsia="Arial" w:cs="Arial"/>
        </w:rPr>
        <w:t>(APR)</w:t>
      </w:r>
      <w:r w:rsidRPr="01AA5AFD">
        <w:rPr>
          <w:rFonts w:eastAsia="Arial" w:cs="Arial"/>
        </w:rPr>
        <w:t xml:space="preserve"> </w:t>
      </w:r>
      <w:r w:rsidRPr="55DA9532">
        <w:rPr>
          <w:rFonts w:eastAsia="Arial" w:cs="Arial"/>
        </w:rPr>
        <w:t>require</w:t>
      </w:r>
      <w:r w:rsidRPr="01AA5AFD">
        <w:rPr>
          <w:rFonts w:eastAsia="Arial" w:cs="Arial"/>
        </w:rPr>
        <w:t xml:space="preserve"> the NDIA to examine, through engagement with participants, providers and community and government stakeholders and targeted research, whether the NDIS’s existing price control framework (pricing arrangements and price limits) continues to be appropriate or should be modified. </w:t>
      </w:r>
    </w:p>
    <w:p w14:paraId="159109F1" w14:textId="355E84F1" w:rsidR="00E94826" w:rsidRDefault="00E94826" w:rsidP="3525C60E">
      <w:pPr>
        <w:spacing w:line="264" w:lineRule="auto"/>
      </w:pPr>
      <w:r>
        <w:t xml:space="preserve">In framing its recommendations, the APR will be cognisant of the objects and principles set out in the National Disability Insurance Scheme Act 2013, including that the NDIS should: </w:t>
      </w:r>
    </w:p>
    <w:p w14:paraId="5CDAAF13" w14:textId="3D51D887" w:rsidR="00E94826" w:rsidRDefault="00E94826" w:rsidP="00F317CA">
      <w:pPr>
        <w:pStyle w:val="ListParagraph"/>
        <w:numPr>
          <w:ilvl w:val="0"/>
          <w:numId w:val="6"/>
        </w:numPr>
        <w:spacing w:line="264" w:lineRule="auto"/>
      </w:pPr>
      <w:r>
        <w:t xml:space="preserve">Support the independence and social and economic participation of people with disability. </w:t>
      </w:r>
    </w:p>
    <w:p w14:paraId="737A660A" w14:textId="708FC3D8" w:rsidR="00E94826" w:rsidRDefault="00E94826" w:rsidP="00F317CA">
      <w:pPr>
        <w:pStyle w:val="ListParagraph"/>
        <w:numPr>
          <w:ilvl w:val="0"/>
          <w:numId w:val="6"/>
        </w:numPr>
        <w:spacing w:line="264" w:lineRule="auto"/>
      </w:pPr>
      <w:r>
        <w:lastRenderedPageBreak/>
        <w:t>Enable people with disability to exercise choice and control in the pursuit of their goals and the planning and delivery of their supports.</w:t>
      </w:r>
    </w:p>
    <w:p w14:paraId="39991225" w14:textId="0C6E37EF" w:rsidR="00E94826" w:rsidRDefault="00E94826" w:rsidP="00F317CA">
      <w:pPr>
        <w:pStyle w:val="ListParagraph"/>
        <w:numPr>
          <w:ilvl w:val="0"/>
          <w:numId w:val="6"/>
        </w:numPr>
        <w:spacing w:line="264" w:lineRule="auto"/>
      </w:pPr>
      <w:r>
        <w:t xml:space="preserve">Facilitate the development of a nationally consistent approach to the access to, and the planning and funding of, supports for people with disability.  </w:t>
      </w:r>
    </w:p>
    <w:p w14:paraId="52CDAAE4" w14:textId="6803E88E" w:rsidR="00E94826" w:rsidRDefault="00E94826" w:rsidP="00F317CA">
      <w:pPr>
        <w:pStyle w:val="ListParagraph"/>
        <w:numPr>
          <w:ilvl w:val="0"/>
          <w:numId w:val="6"/>
        </w:numPr>
        <w:spacing w:line="264" w:lineRule="auto"/>
      </w:pPr>
      <w:r>
        <w:t xml:space="preserve">Promote the provision of high quality and innovative supports that enable people with disability to maximise independent lifestyles and full inclusion in the community. </w:t>
      </w:r>
    </w:p>
    <w:p w14:paraId="27872C02" w14:textId="3C08A311" w:rsidR="00E94826" w:rsidRDefault="00E94826" w:rsidP="00F317CA">
      <w:pPr>
        <w:pStyle w:val="ListParagraph"/>
        <w:numPr>
          <w:ilvl w:val="0"/>
          <w:numId w:val="6"/>
        </w:numPr>
        <w:spacing w:line="264" w:lineRule="auto"/>
      </w:pPr>
      <w:r>
        <w:t>Adopt an insurance-based approach, informed by actuarial analysis, to the provision and funding of supports for people with disability.</w:t>
      </w:r>
    </w:p>
    <w:p w14:paraId="6FC0B247" w14:textId="4A36EEB8" w:rsidR="00E94826" w:rsidRDefault="00E94826" w:rsidP="00F317CA">
      <w:pPr>
        <w:pStyle w:val="ListParagraph"/>
        <w:numPr>
          <w:ilvl w:val="0"/>
          <w:numId w:val="6"/>
        </w:numPr>
        <w:spacing w:line="264" w:lineRule="auto"/>
        <w:rPr>
          <w:rFonts w:eastAsia="Arial" w:cs="Arial"/>
          <w:szCs w:val="22"/>
        </w:rPr>
      </w:pPr>
      <w:r>
        <w:t>Be financially sustainable.</w:t>
      </w:r>
    </w:p>
    <w:p w14:paraId="30407BDC" w14:textId="096BB7D2" w:rsidR="00E94826" w:rsidRDefault="00E94826" w:rsidP="3525C60E">
      <w:pPr>
        <w:spacing w:line="264" w:lineRule="auto"/>
      </w:pPr>
      <w:r w:rsidRPr="3525C60E">
        <w:rPr>
          <w:rFonts w:eastAsia="Arial" w:cs="Arial"/>
          <w:szCs w:val="22"/>
        </w:rPr>
        <w:t>Considering</w:t>
      </w:r>
      <w:r>
        <w:rPr>
          <w:rFonts w:eastAsia="Arial" w:cs="Arial"/>
          <w:szCs w:val="22"/>
        </w:rPr>
        <w:t xml:space="preserve"> this</w:t>
      </w:r>
      <w:r w:rsidRPr="3525C60E">
        <w:rPr>
          <w:rFonts w:eastAsia="Arial" w:cs="Arial"/>
          <w:szCs w:val="22"/>
        </w:rPr>
        <w:t xml:space="preserve">, the </w:t>
      </w:r>
      <w:r>
        <w:rPr>
          <w:rFonts w:eastAsia="Arial" w:cs="Arial"/>
          <w:szCs w:val="22"/>
        </w:rPr>
        <w:t>APR</w:t>
      </w:r>
      <w:r w:rsidRPr="3525C60E">
        <w:rPr>
          <w:rFonts w:eastAsia="Arial" w:cs="Arial"/>
          <w:szCs w:val="22"/>
        </w:rPr>
        <w:t xml:space="preserve"> will review the pricing arrangements and price limits:</w:t>
      </w:r>
    </w:p>
    <w:p w14:paraId="00B85BA8" w14:textId="30342CD8" w:rsidR="00E94826" w:rsidRDefault="00E94826" w:rsidP="00C727CC">
      <w:pPr>
        <w:pStyle w:val="ListParagraph"/>
        <w:numPr>
          <w:ilvl w:val="0"/>
          <w:numId w:val="2"/>
        </w:numPr>
        <w:rPr>
          <w:rFonts w:eastAsia="Arial" w:cs="Arial"/>
          <w:szCs w:val="22"/>
        </w:rPr>
      </w:pPr>
      <w:r w:rsidRPr="55041011">
        <w:rPr>
          <w:rFonts w:eastAsia="Arial" w:cs="Arial"/>
        </w:rPr>
        <w:t xml:space="preserve">that apply to supports delivered by disability support workers by updating the NDIS Cost Model for Disability Support Worker, with a particular emphasis on the Temporary Loading of 2.0% and the impact of the changes that were made to the </w:t>
      </w:r>
      <w:r w:rsidRPr="001F6147">
        <w:rPr>
          <w:rFonts w:eastAsia="Arial" w:cs="Arial"/>
          <w:i/>
        </w:rPr>
        <w:t xml:space="preserve">Social, Community, </w:t>
      </w:r>
      <w:r w:rsidRPr="001F6147">
        <w:rPr>
          <w:rFonts w:eastAsia="Arial" w:cs="Arial"/>
          <w:i/>
          <w:iCs/>
        </w:rPr>
        <w:t>Home</w:t>
      </w:r>
      <w:r>
        <w:rPr>
          <w:rFonts w:eastAsia="Arial" w:cs="Arial"/>
          <w:i/>
          <w:iCs/>
        </w:rPr>
        <w:t>c</w:t>
      </w:r>
      <w:r w:rsidRPr="001F6147">
        <w:rPr>
          <w:rFonts w:eastAsia="Arial" w:cs="Arial"/>
          <w:i/>
          <w:iCs/>
        </w:rPr>
        <w:t>are</w:t>
      </w:r>
      <w:r w:rsidRPr="001F6147">
        <w:rPr>
          <w:rFonts w:eastAsia="Arial" w:cs="Arial"/>
          <w:i/>
        </w:rPr>
        <w:t xml:space="preserve"> and Disability Services </w:t>
      </w:r>
      <w:r>
        <w:rPr>
          <w:rFonts w:eastAsia="Arial" w:cs="Arial"/>
          <w:i/>
          <w:iCs/>
        </w:rPr>
        <w:t xml:space="preserve">Industry </w:t>
      </w:r>
      <w:r w:rsidRPr="001F6147">
        <w:rPr>
          <w:rFonts w:eastAsia="Arial" w:cs="Arial"/>
          <w:i/>
        </w:rPr>
        <w:t>Award 2010</w:t>
      </w:r>
      <w:r w:rsidRPr="55041011">
        <w:rPr>
          <w:rFonts w:eastAsia="Arial" w:cs="Arial"/>
        </w:rPr>
        <w:t xml:space="preserve"> </w:t>
      </w:r>
      <w:r w:rsidRPr="7F319225">
        <w:rPr>
          <w:rFonts w:eastAsia="Arial" w:cs="Arial"/>
        </w:rPr>
        <w:t>(SCHADS Award)</w:t>
      </w:r>
      <w:r>
        <w:rPr>
          <w:rFonts w:eastAsia="Arial" w:cs="Arial"/>
        </w:rPr>
        <w:t xml:space="preserve"> </w:t>
      </w:r>
      <w:r w:rsidRPr="55041011">
        <w:rPr>
          <w:rFonts w:eastAsia="Arial" w:cs="Arial"/>
        </w:rPr>
        <w:t xml:space="preserve">in 2022 (AM2018/26). </w:t>
      </w:r>
    </w:p>
    <w:p w14:paraId="0670CE54" w14:textId="5E4EA085" w:rsidR="00E94826" w:rsidRDefault="00E94826" w:rsidP="00C727CC">
      <w:pPr>
        <w:pStyle w:val="ListParagraph"/>
        <w:numPr>
          <w:ilvl w:val="0"/>
          <w:numId w:val="2"/>
        </w:numPr>
        <w:rPr>
          <w:rFonts w:eastAsia="Arial" w:cs="Arial"/>
        </w:rPr>
      </w:pPr>
      <w:r w:rsidRPr="55041011">
        <w:rPr>
          <w:rFonts w:eastAsia="Arial" w:cs="Arial"/>
        </w:rPr>
        <w:t>for therapy supports to ensure participants receive value for money, while providers strive to improve quality of service and increase efficiency.</w:t>
      </w:r>
    </w:p>
    <w:p w14:paraId="196F39FA" w14:textId="0C1C6B9F" w:rsidR="00E94826" w:rsidRDefault="00E94826" w:rsidP="00C727CC">
      <w:pPr>
        <w:pStyle w:val="ListParagraph"/>
        <w:numPr>
          <w:ilvl w:val="0"/>
          <w:numId w:val="2"/>
        </w:numPr>
        <w:rPr>
          <w:rFonts w:eastAsia="Arial" w:cs="Arial"/>
        </w:rPr>
      </w:pPr>
      <w:r w:rsidRPr="5A7E9283">
        <w:rPr>
          <w:rFonts w:eastAsia="Arial" w:cs="Arial"/>
        </w:rPr>
        <w:t>for support coordination to encourage innovation, improve quality of service and ensure value for money.</w:t>
      </w:r>
    </w:p>
    <w:p w14:paraId="14FFCAE0" w14:textId="56AB8700" w:rsidR="00E94826" w:rsidRDefault="00E94826" w:rsidP="00C727CC">
      <w:pPr>
        <w:pStyle w:val="ListParagraph"/>
        <w:numPr>
          <w:ilvl w:val="0"/>
          <w:numId w:val="2"/>
        </w:numPr>
        <w:rPr>
          <w:rFonts w:eastAsia="Arial" w:cs="Arial"/>
        </w:rPr>
      </w:pPr>
      <w:r w:rsidRPr="55041011">
        <w:rPr>
          <w:rFonts w:eastAsia="Arial" w:cs="Arial"/>
        </w:rPr>
        <w:t>for plan management to encourage innovation, improve quality of service and ensure value for money.</w:t>
      </w:r>
    </w:p>
    <w:p w14:paraId="6D5FD343" w14:textId="25A03850" w:rsidR="00E94826" w:rsidRPr="001E51E1" w:rsidRDefault="00E94826">
      <w:pPr>
        <w:rPr>
          <w:rFonts w:eastAsia="Arial" w:cs="Arial"/>
        </w:rPr>
      </w:pPr>
      <w:r w:rsidRPr="7CC3891F">
        <w:rPr>
          <w:rFonts w:eastAsia="Arial" w:cs="Arial"/>
        </w:rPr>
        <w:t>Moreover, th</w:t>
      </w:r>
      <w:r w:rsidR="00461D22">
        <w:rPr>
          <w:rFonts w:eastAsia="Arial" w:cs="Arial"/>
        </w:rPr>
        <w:t>e</w:t>
      </w:r>
      <w:r w:rsidRPr="7CC3891F">
        <w:rPr>
          <w:rFonts w:eastAsia="Arial" w:cs="Arial"/>
        </w:rPr>
        <w:t xml:space="preserve"> </w:t>
      </w:r>
      <w:r w:rsidR="00461D22">
        <w:rPr>
          <w:rFonts w:eastAsia="Arial" w:cs="Arial"/>
        </w:rPr>
        <w:t>2022-23</w:t>
      </w:r>
      <w:r w:rsidRPr="7CC3891F">
        <w:rPr>
          <w:rFonts w:eastAsia="Arial" w:cs="Arial"/>
        </w:rPr>
        <w:t xml:space="preserve"> </w:t>
      </w:r>
      <w:r>
        <w:rPr>
          <w:rFonts w:eastAsia="Arial" w:cs="Arial"/>
        </w:rPr>
        <w:t>APR</w:t>
      </w:r>
      <w:r w:rsidRPr="7CC3891F">
        <w:rPr>
          <w:rFonts w:eastAsia="Arial" w:cs="Arial"/>
        </w:rPr>
        <w:t xml:space="preserve"> encompasses a comprehensive examination of contextual factors that have emerged from the NDIS </w:t>
      </w:r>
      <w:r w:rsidRPr="422933A9">
        <w:rPr>
          <w:rFonts w:eastAsia="Arial" w:cs="Arial"/>
        </w:rPr>
        <w:t>Review</w:t>
      </w:r>
      <w:r w:rsidRPr="7CC3891F">
        <w:rPr>
          <w:rFonts w:eastAsia="Arial" w:cs="Arial"/>
        </w:rPr>
        <w:t>, the 2021-22</w:t>
      </w:r>
      <w:r>
        <w:rPr>
          <w:rFonts w:eastAsia="Arial" w:cs="Arial"/>
        </w:rPr>
        <w:t xml:space="preserve"> APR</w:t>
      </w:r>
      <w:r w:rsidRPr="7CC3891F">
        <w:rPr>
          <w:rFonts w:eastAsia="Arial" w:cs="Arial"/>
        </w:rPr>
        <w:t>, the projections outlined in the most recent Annual Financial Sustainability Report (AF</w:t>
      </w:r>
      <w:r>
        <w:rPr>
          <w:rFonts w:eastAsia="Arial" w:cs="Arial"/>
        </w:rPr>
        <w:t>S</w:t>
      </w:r>
      <w:r w:rsidRPr="7CC3891F">
        <w:rPr>
          <w:rFonts w:eastAsia="Arial" w:cs="Arial"/>
        </w:rPr>
        <w:t>R), and the aged care minimum wage review.</w:t>
      </w:r>
    </w:p>
    <w:p w14:paraId="062CDB6E" w14:textId="6989FA9A" w:rsidR="00E94826" w:rsidRPr="00CE1BD3" w:rsidRDefault="00E94826" w:rsidP="00CE1BD3">
      <w:pPr>
        <w:pStyle w:val="Heading41"/>
      </w:pPr>
      <w:r w:rsidRPr="00CE1BD3">
        <w:t xml:space="preserve">The NDIS Review </w:t>
      </w:r>
    </w:p>
    <w:p w14:paraId="3E078740" w14:textId="149FA60C" w:rsidR="00E94826" w:rsidRDefault="00E94826">
      <w:r w:rsidRPr="1A54D9AA">
        <w:rPr>
          <w:rFonts w:eastAsia="Arial" w:cs="Arial"/>
          <w:szCs w:val="22"/>
        </w:rPr>
        <w:t xml:space="preserve">The Minister for the NDIS, the Hon Bill Shorten MP, announced the NDIS Review (Review) in October 2022. There will be two parts to the Review. </w:t>
      </w:r>
    </w:p>
    <w:p w14:paraId="07665A5F" w14:textId="5893C469" w:rsidR="00E94826" w:rsidRDefault="2DE606FE" w:rsidP="00C727CC">
      <w:pPr>
        <w:pStyle w:val="ListParagraph"/>
        <w:numPr>
          <w:ilvl w:val="0"/>
          <w:numId w:val="1"/>
        </w:numPr>
        <w:rPr>
          <w:rFonts w:eastAsia="Arial" w:cs="Arial"/>
        </w:rPr>
      </w:pPr>
      <w:r w:rsidRPr="24862EB2">
        <w:rPr>
          <w:rFonts w:eastAsia="Arial" w:cs="Arial"/>
        </w:rPr>
        <w:t xml:space="preserve">Part 1 will examine the design, operations and sustainability of the NDIS covering issues outlined in the full-Scheme bilateral agreements between the Commonwealth and </w:t>
      </w:r>
      <w:bookmarkStart w:id="21" w:name="_Int_GyZFWOqp"/>
      <w:r w:rsidRPr="24862EB2">
        <w:rPr>
          <w:rFonts w:eastAsia="Arial" w:cs="Arial"/>
        </w:rPr>
        <w:t>jurisdictions</w:t>
      </w:r>
      <w:bookmarkEnd w:id="21"/>
      <w:r w:rsidRPr="24862EB2">
        <w:rPr>
          <w:rFonts w:eastAsia="Arial" w:cs="Arial"/>
        </w:rPr>
        <w:t xml:space="preserve">. </w:t>
      </w:r>
    </w:p>
    <w:p w14:paraId="223230C9" w14:textId="21343F17" w:rsidR="00E94826" w:rsidRDefault="00E94826" w:rsidP="00C727CC">
      <w:pPr>
        <w:pStyle w:val="ListParagraph"/>
        <w:numPr>
          <w:ilvl w:val="0"/>
          <w:numId w:val="1"/>
        </w:numPr>
        <w:rPr>
          <w:rFonts w:eastAsia="Arial" w:cs="Arial"/>
          <w:color w:val="000000"/>
          <w:szCs w:val="22"/>
        </w:rPr>
      </w:pPr>
      <w:r w:rsidRPr="78750FF1">
        <w:rPr>
          <w:rFonts w:eastAsia="Arial" w:cs="Arial"/>
        </w:rPr>
        <w:t>Part 2 will examine ways to build a more responsive, supportive</w:t>
      </w:r>
      <w:r w:rsidR="00366C75" w:rsidRPr="78750FF1">
        <w:rPr>
          <w:rFonts w:eastAsia="Arial" w:cs="Arial"/>
        </w:rPr>
        <w:t>,</w:t>
      </w:r>
      <w:r w:rsidRPr="78750FF1">
        <w:rPr>
          <w:rFonts w:eastAsia="Arial" w:cs="Arial"/>
        </w:rPr>
        <w:t xml:space="preserve"> and sustainable market and workforce. </w:t>
      </w:r>
    </w:p>
    <w:p w14:paraId="6D32FF2B" w14:textId="28BE4376" w:rsidR="00E94826" w:rsidRDefault="00E94826" w:rsidP="16E4723D">
      <w:pPr>
        <w:rPr>
          <w:rFonts w:eastAsia="SimHei" w:cs="Cordia New"/>
          <w:color w:val="000000"/>
          <w:szCs w:val="22"/>
        </w:rPr>
      </w:pPr>
      <w:r w:rsidRPr="78750FF1">
        <w:rPr>
          <w:rFonts w:eastAsia="Arial" w:cs="Arial"/>
          <w:color w:val="000000"/>
          <w:szCs w:val="22"/>
        </w:rPr>
        <w:t>Each of these parts, as well as other matters likely to be considered by the Review, have the potential to have significant strategic implications for pricing arrangements in the future, noting the Review is expected to report in October 2023.</w:t>
      </w:r>
    </w:p>
    <w:p w14:paraId="04CB0A78" w14:textId="5BA7DC2A" w:rsidR="00E94826" w:rsidRDefault="00E94826" w:rsidP="78750FF1">
      <w:pPr>
        <w:rPr>
          <w:rFonts w:eastAsia="Arial" w:cs="Arial"/>
          <w:color w:val="000000"/>
          <w:szCs w:val="22"/>
        </w:rPr>
      </w:pPr>
      <w:r w:rsidRPr="78750FF1">
        <w:rPr>
          <w:rFonts w:eastAsia="Arial" w:cs="Arial"/>
          <w:color w:val="000000"/>
          <w:szCs w:val="22"/>
        </w:rPr>
        <w:t>As the Review is running concurrently with the 2022-23 APR, the scope of the APR has been carefully defined to limit any potential overlap with the Review or the prejudging of the Review’s recommendations.</w:t>
      </w:r>
    </w:p>
    <w:p w14:paraId="4F92FD74" w14:textId="20C36ABE" w:rsidR="00E94826" w:rsidRDefault="00E94826" w:rsidP="00CE1BD3">
      <w:pPr>
        <w:pStyle w:val="Heading41"/>
      </w:pPr>
      <w:r w:rsidRPr="1A54D9AA">
        <w:lastRenderedPageBreak/>
        <w:t xml:space="preserve">The </w:t>
      </w:r>
      <w:r w:rsidRPr="1EE19ADE">
        <w:t xml:space="preserve">extensive </w:t>
      </w:r>
      <w:r w:rsidRPr="1A54D9AA">
        <w:t>2021-22</w:t>
      </w:r>
      <w:r w:rsidR="0080318F">
        <w:t xml:space="preserve"> </w:t>
      </w:r>
      <w:r w:rsidRPr="1A54D9AA">
        <w:t xml:space="preserve">APR </w:t>
      </w:r>
    </w:p>
    <w:p w14:paraId="5C69421F" w14:textId="27D22A6C" w:rsidR="00E94826" w:rsidRDefault="2DE606FE" w:rsidP="5770833B">
      <w:pPr>
        <w:rPr>
          <w:rFonts w:eastAsia="Arial" w:cs="Arial"/>
        </w:rPr>
      </w:pPr>
      <w:r w:rsidRPr="24862EB2">
        <w:rPr>
          <w:rFonts w:eastAsia="Arial" w:cs="Arial"/>
        </w:rPr>
        <w:t xml:space="preserve">The </w:t>
      </w:r>
      <w:r w:rsidR="00461D22">
        <w:rPr>
          <w:rFonts w:eastAsia="Arial" w:cs="Arial"/>
        </w:rPr>
        <w:t xml:space="preserve">previous </w:t>
      </w:r>
      <w:r w:rsidRPr="24862EB2">
        <w:rPr>
          <w:rFonts w:eastAsia="Arial" w:cs="Arial"/>
        </w:rPr>
        <w:t xml:space="preserve">APR took place over the 2021-22 </w:t>
      </w:r>
      <w:bookmarkStart w:id="22" w:name="_Int_x0Sx2CxM"/>
      <w:r w:rsidRPr="24862EB2">
        <w:rPr>
          <w:rFonts w:eastAsia="Arial" w:cs="Arial"/>
        </w:rPr>
        <w:t>financial year</w:t>
      </w:r>
      <w:bookmarkEnd w:id="22"/>
      <w:r w:rsidRPr="24862EB2">
        <w:rPr>
          <w:rFonts w:eastAsia="Arial" w:cs="Arial"/>
        </w:rPr>
        <w:t xml:space="preserve"> and was implemented </w:t>
      </w:r>
      <w:r w:rsidR="00461D22">
        <w:rPr>
          <w:rFonts w:eastAsia="Arial" w:cs="Arial"/>
        </w:rPr>
        <w:t>from</w:t>
      </w:r>
      <w:r w:rsidR="00E145AB">
        <w:rPr>
          <w:rFonts w:eastAsia="Arial" w:cs="Arial"/>
        </w:rPr>
        <w:t xml:space="preserve"> 1</w:t>
      </w:r>
      <w:r w:rsidRPr="24862EB2">
        <w:rPr>
          <w:rFonts w:eastAsia="Arial" w:cs="Arial"/>
        </w:rPr>
        <w:t xml:space="preserve"> July 2022. It incorporated extensive consultations through public consultation, regular industry engagement and numerous workshops. </w:t>
      </w:r>
    </w:p>
    <w:p w14:paraId="1CD81F20" w14:textId="2C9765F5" w:rsidR="00366C75" w:rsidRDefault="00E94826">
      <w:pPr>
        <w:rPr>
          <w:rFonts w:eastAsia="Arial" w:cs="Arial"/>
        </w:rPr>
      </w:pPr>
      <w:r w:rsidRPr="7905E5CF">
        <w:rPr>
          <w:rFonts w:eastAsia="Arial" w:cs="Arial"/>
        </w:rPr>
        <w:t>The recommendations</w:t>
      </w:r>
      <w:r w:rsidRPr="58232EF3">
        <w:rPr>
          <w:rFonts w:eastAsia="Arial" w:cs="Arial"/>
        </w:rPr>
        <w:t xml:space="preserve"> included tailored pricing changes to disability supports totalling 9</w:t>
      </w:r>
      <w:r w:rsidRPr="4166C551">
        <w:rPr>
          <w:rFonts w:eastAsia="Arial" w:cs="Arial"/>
        </w:rPr>
        <w:t xml:space="preserve">%, </w:t>
      </w:r>
      <w:r w:rsidRPr="721EEE5E">
        <w:rPr>
          <w:rFonts w:eastAsia="Arial" w:cs="Arial"/>
        </w:rPr>
        <w:t xml:space="preserve">comprising </w:t>
      </w:r>
      <w:r w:rsidRPr="7F319225">
        <w:rPr>
          <w:rFonts w:eastAsia="Arial" w:cs="Arial"/>
        </w:rPr>
        <w:t xml:space="preserve">wage increases </w:t>
      </w:r>
      <w:r w:rsidRPr="4D93B9CE">
        <w:rPr>
          <w:rFonts w:eastAsia="Arial" w:cs="Arial"/>
        </w:rPr>
        <w:t>under</w:t>
      </w:r>
      <w:r w:rsidRPr="7F319225">
        <w:rPr>
          <w:rFonts w:eastAsia="Arial" w:cs="Arial"/>
        </w:rPr>
        <w:t xml:space="preserve"> the SCHADS Award, plus allowance for increases in compulsory superannuation, a 2% temporary loading and a 1.7% increase to base price limits. </w:t>
      </w:r>
      <w:r w:rsidRPr="24D74AD8">
        <w:rPr>
          <w:rFonts w:eastAsia="Arial" w:cs="Arial"/>
        </w:rPr>
        <w:t xml:space="preserve">The </w:t>
      </w:r>
      <w:r>
        <w:rPr>
          <w:rFonts w:eastAsia="Arial" w:cs="Arial"/>
        </w:rPr>
        <w:t xml:space="preserve">disability support worker </w:t>
      </w:r>
      <w:r w:rsidR="009B79CD">
        <w:rPr>
          <w:rFonts w:eastAsia="Arial" w:cs="Arial"/>
        </w:rPr>
        <w:t xml:space="preserve">support </w:t>
      </w:r>
      <w:r w:rsidRPr="24D74AD8">
        <w:rPr>
          <w:rFonts w:eastAsia="Arial" w:cs="Arial"/>
        </w:rPr>
        <w:t>cohort receiving the 9% price limit increase include</w:t>
      </w:r>
      <w:r w:rsidR="00E145AB">
        <w:rPr>
          <w:rFonts w:eastAsia="Arial" w:cs="Arial"/>
        </w:rPr>
        <w:t>d</w:t>
      </w:r>
      <w:r w:rsidRPr="24D74AD8">
        <w:rPr>
          <w:rFonts w:eastAsia="Arial" w:cs="Arial"/>
        </w:rPr>
        <w:t xml:space="preserve"> SIL</w:t>
      </w:r>
      <w:r w:rsidRPr="4CCE561E">
        <w:rPr>
          <w:rFonts w:eastAsia="Arial" w:cs="Arial"/>
        </w:rPr>
        <w:t>.</w:t>
      </w:r>
      <w:r w:rsidRPr="24D74AD8">
        <w:rPr>
          <w:rFonts w:eastAsia="Arial" w:cs="Arial"/>
        </w:rPr>
        <w:t xml:space="preserve"> </w:t>
      </w:r>
      <w:r w:rsidR="00366C75">
        <w:rPr>
          <w:rFonts w:eastAsia="Arial" w:cs="Arial"/>
        </w:rPr>
        <w:t>The Temporary Transformation Payment was also reduced for eligible supports from 4.5% to 3% for FY2022-23.</w:t>
      </w:r>
    </w:p>
    <w:p w14:paraId="51B602F4" w14:textId="572687BD" w:rsidR="00E94826" w:rsidRDefault="00E94826">
      <w:pPr>
        <w:rPr>
          <w:rFonts w:eastAsia="Arial" w:cs="Arial"/>
        </w:rPr>
      </w:pPr>
      <w:r w:rsidRPr="24D74AD8">
        <w:rPr>
          <w:rFonts w:eastAsia="Arial" w:cs="Arial"/>
        </w:rPr>
        <w:t xml:space="preserve">No changes in price limits were made for therapy supports, support coordination or plan management. Prices for capital items were increased by </w:t>
      </w:r>
      <w:r>
        <w:rPr>
          <w:rFonts w:eastAsia="Arial" w:cs="Arial"/>
        </w:rPr>
        <w:t>Consumer Price Index (</w:t>
      </w:r>
      <w:r w:rsidRPr="24D74AD8">
        <w:rPr>
          <w:rFonts w:eastAsia="Arial" w:cs="Arial"/>
        </w:rPr>
        <w:t>CPI</w:t>
      </w:r>
      <w:r>
        <w:rPr>
          <w:rFonts w:eastAsia="Arial" w:cs="Arial"/>
        </w:rPr>
        <w:t>)</w:t>
      </w:r>
      <w:r w:rsidRPr="24D74AD8">
        <w:rPr>
          <w:rFonts w:eastAsia="Arial" w:cs="Arial"/>
        </w:rPr>
        <w:t>.</w:t>
      </w:r>
      <w:r w:rsidR="00473BFC">
        <w:rPr>
          <w:rFonts w:eastAsia="Arial" w:cs="Arial"/>
        </w:rPr>
        <w:t xml:space="preserve"> </w:t>
      </w:r>
    </w:p>
    <w:p w14:paraId="51C900A8" w14:textId="5893C469" w:rsidR="00E94826" w:rsidRDefault="00E94826" w:rsidP="00CE1BD3">
      <w:pPr>
        <w:pStyle w:val="Heading41"/>
        <w:rPr>
          <w:bCs/>
        </w:rPr>
      </w:pPr>
      <w:r>
        <w:rPr>
          <w:bCs/>
        </w:rPr>
        <w:t xml:space="preserve">2021-22 Annual Financial </w:t>
      </w:r>
      <w:r w:rsidRPr="1EE19ADE">
        <w:t>Sustainability Report (AFSR)</w:t>
      </w:r>
    </w:p>
    <w:p w14:paraId="3AA4CD20" w14:textId="41BB6EB0" w:rsidR="00E94826" w:rsidRDefault="00E94826">
      <w:r>
        <w:t xml:space="preserve">The AFSR is an annual report that provides an assessment of the financial sustainability of the National Disability Insurance Scheme using data as of 30 June each year. </w:t>
      </w:r>
    </w:p>
    <w:p w14:paraId="73901094" w14:textId="693F47CF" w:rsidR="00E94826" w:rsidRPr="00F82297" w:rsidRDefault="00E145AB">
      <w:r>
        <w:t xml:space="preserve">Using </w:t>
      </w:r>
      <w:r w:rsidR="00E94826">
        <w:t xml:space="preserve">data as </w:t>
      </w:r>
      <w:r w:rsidR="00794587">
        <w:t>of</w:t>
      </w:r>
      <w:r w:rsidR="00E94826">
        <w:t xml:space="preserve"> 30 June 2022, the AFSR projected that the total Scheme expense on an accrual basis is $34.0 billion in 2022-23 increasing to $89.4 billion in 2031-32. This represents 1.48% of Gross Domestic Product (GDP) in 2022-23 before increasing to 2.55% of GDP in 2031-32 in the baseline forecasts. </w:t>
      </w:r>
      <w:r>
        <w:t>Additionally,</w:t>
      </w:r>
      <w:r w:rsidR="00E94826">
        <w:t xml:space="preserve"> t</w:t>
      </w:r>
      <w:r w:rsidR="00E94826" w:rsidRPr="00B0044A">
        <w:t>he number of scheme participants is projected to almost double to 1,017,522 at the end of June 2032</w:t>
      </w:r>
      <w:r w:rsidR="00E94826">
        <w:t xml:space="preserve">. The upward growth in Scheme expenses means any further price </w:t>
      </w:r>
      <w:r w:rsidR="00E94826">
        <w:t>increase</w:t>
      </w:r>
      <w:r w:rsidR="00E94826">
        <w:t xml:space="preserve"> for 2022-23 APR will further impact sustainability.</w:t>
      </w:r>
    </w:p>
    <w:p w14:paraId="1D868EE3" w14:textId="43FFA53A" w:rsidR="00E94826" w:rsidRDefault="00E94826" w:rsidP="00CE1BD3">
      <w:pPr>
        <w:pStyle w:val="Heading41"/>
      </w:pPr>
      <w:r w:rsidRPr="1A54D9AA">
        <w:t>Aged care</w:t>
      </w:r>
      <w:r w:rsidR="00145F2E">
        <w:t xml:space="preserve"> worker</w:t>
      </w:r>
      <w:r w:rsidRPr="1A54D9AA">
        <w:t xml:space="preserve"> minimum wage review </w:t>
      </w:r>
    </w:p>
    <w:p w14:paraId="6FD17661" w14:textId="42370BB7" w:rsidR="00E94826" w:rsidRDefault="00E94826" w:rsidP="5E1336CF">
      <w:pPr>
        <w:rPr>
          <w:rFonts w:eastAsia="Arial" w:cs="Arial"/>
        </w:rPr>
      </w:pPr>
      <w:r w:rsidRPr="5E1336CF">
        <w:rPr>
          <w:rFonts w:eastAsia="Arial" w:cs="Arial"/>
        </w:rPr>
        <w:t xml:space="preserve">On 4 November 2022, the Fair Work Commission (FWC) announced a 15% increase to the minimum wages of the direct care classifications in the </w:t>
      </w:r>
      <w:r w:rsidRPr="00307768">
        <w:rPr>
          <w:rFonts w:eastAsia="Arial" w:cs="Arial"/>
          <w:i/>
        </w:rPr>
        <w:t>Aged Care Award</w:t>
      </w:r>
      <w:r w:rsidRPr="5E1336CF">
        <w:rPr>
          <w:rFonts w:eastAsia="Arial" w:cs="Arial"/>
        </w:rPr>
        <w:t>, SCHADS Award and fo</w:t>
      </w:r>
      <w:r w:rsidRPr="00EB8217">
        <w:t xml:space="preserve">r nurses working in aged care covered by the </w:t>
      </w:r>
      <w:r w:rsidRPr="00145F2E">
        <w:rPr>
          <w:i/>
          <w:iCs/>
        </w:rPr>
        <w:t>Nurses Award</w:t>
      </w:r>
      <w:r w:rsidRPr="00EB8217">
        <w:t>. It has since been decided by the FWC to provide this 15% increase to workers in the Aged Care sector from July 2023 onwards.</w:t>
      </w:r>
    </w:p>
    <w:p w14:paraId="5A1B828C" w14:textId="00E12B95" w:rsidR="00E94826" w:rsidRPr="002622ED" w:rsidRDefault="00E94826" w:rsidP="6D9B8DF4">
      <w:pPr>
        <w:rPr>
          <w:rFonts w:eastAsia="Arial" w:cs="Arial"/>
        </w:rPr>
      </w:pPr>
      <w:r>
        <w:rPr>
          <w:rFonts w:eastAsia="Arial" w:cs="Arial"/>
        </w:rPr>
        <w:t>There are other non-wage related reforms being undertaken in the Aged Care sector which also need to be considered for aged care worker conditions.</w:t>
      </w:r>
      <w:r w:rsidRPr="3EFC74CA">
        <w:rPr>
          <w:rFonts w:eastAsia="Arial" w:cs="Arial"/>
        </w:rPr>
        <w:t xml:space="preserve"> </w:t>
      </w:r>
      <w:r w:rsidRPr="76B61F66">
        <w:rPr>
          <w:rFonts w:eastAsia="Arial" w:cs="Arial"/>
        </w:rPr>
        <w:t xml:space="preserve">More details are discussed in </w:t>
      </w:r>
      <w:r w:rsidR="00F66F9C">
        <w:rPr>
          <w:rFonts w:eastAsia="Arial" w:cs="Arial"/>
        </w:rPr>
        <w:t>disability support worker-related supports</w:t>
      </w:r>
      <w:r w:rsidRPr="10AF00EB">
        <w:rPr>
          <w:rFonts w:eastAsia="Arial" w:cs="Arial"/>
        </w:rPr>
        <w:t xml:space="preserve"> </w:t>
      </w:r>
      <w:r w:rsidRPr="611603C0">
        <w:rPr>
          <w:rFonts w:eastAsia="Arial" w:cs="Arial"/>
        </w:rPr>
        <w:t xml:space="preserve">section of the </w:t>
      </w:r>
      <w:r w:rsidRPr="514CC370">
        <w:rPr>
          <w:rFonts w:eastAsia="Arial" w:cs="Arial"/>
        </w:rPr>
        <w:t>report.</w:t>
      </w:r>
    </w:p>
    <w:p w14:paraId="0D0B94A6" w14:textId="04A2F8C7" w:rsidR="007761F3" w:rsidRPr="00B221EC" w:rsidRDefault="007761F3" w:rsidP="00D9646F">
      <w:pPr>
        <w:pStyle w:val="Heading3"/>
      </w:pPr>
      <w:r w:rsidRPr="00B221EC">
        <w:t>2.3</w:t>
      </w:r>
      <w:r w:rsidRPr="00B221EC">
        <w:tab/>
        <w:t>Consultations</w:t>
      </w:r>
    </w:p>
    <w:p w14:paraId="486FFCE4" w14:textId="3FDDFA7C" w:rsidR="00E94826" w:rsidRDefault="00E94826" w:rsidP="003C4252">
      <w:r>
        <w:t xml:space="preserve">Consultations </w:t>
      </w:r>
      <w:r w:rsidR="006565BF">
        <w:rPr>
          <w:rFonts w:eastAsia="Arial" w:cs="Arial"/>
          <w:color w:val="000000"/>
          <w:szCs w:val="22"/>
        </w:rPr>
        <w:t xml:space="preserve">involved </w:t>
      </w:r>
      <w:r w:rsidRPr="6AED7058">
        <w:rPr>
          <w:rFonts w:eastAsia="Arial" w:cs="Arial"/>
          <w:color w:val="000000"/>
          <w:szCs w:val="22"/>
        </w:rPr>
        <w:t>advocacy groups, carers, employees, government, participants/</w:t>
      </w:r>
      <w:r w:rsidR="00195B7F">
        <w:rPr>
          <w:rFonts w:eastAsia="Arial" w:cs="Arial"/>
          <w:color w:val="000000"/>
          <w:szCs w:val="22"/>
        </w:rPr>
        <w:t>representatives</w:t>
      </w:r>
      <w:r w:rsidRPr="6AED7058">
        <w:rPr>
          <w:rFonts w:eastAsia="Arial" w:cs="Arial"/>
          <w:color w:val="000000"/>
          <w:szCs w:val="22"/>
        </w:rPr>
        <w:t>, plan managers, professional bodies, providers, provider peak bodies, researchers as well as workers’ unions,</w:t>
      </w:r>
      <w:r>
        <w:t xml:space="preserve"> through:</w:t>
      </w:r>
    </w:p>
    <w:p w14:paraId="5B39B959" w14:textId="639A3795" w:rsidR="00E94826" w:rsidRPr="00EB0308" w:rsidRDefault="00E94826" w:rsidP="003C4252">
      <w:pPr>
        <w:pStyle w:val="DotPoint"/>
      </w:pPr>
      <w:r>
        <w:t>The publication of a Consultation Paper and the careful analysis of submissions received.</w:t>
      </w:r>
    </w:p>
    <w:p w14:paraId="5088689E" w14:textId="22FB8E7C" w:rsidR="00E94826" w:rsidRDefault="00E94826" w:rsidP="003C4252">
      <w:pPr>
        <w:pStyle w:val="DotPoint"/>
      </w:pPr>
      <w:r>
        <w:t>Consultations with other government insurance and funding scheme</w:t>
      </w:r>
      <w:r w:rsidR="001A0F56">
        <w:t>s</w:t>
      </w:r>
      <w:r>
        <w:t>.</w:t>
      </w:r>
    </w:p>
    <w:p w14:paraId="74E11185" w14:textId="4C9CD2CE" w:rsidR="00E94826" w:rsidRPr="00AA1B7F" w:rsidRDefault="00E94826">
      <w:pPr>
        <w:pStyle w:val="DotPoint"/>
        <w:rPr>
          <w:b/>
          <w:bCs/>
        </w:rPr>
      </w:pPr>
      <w:r>
        <w:t xml:space="preserve">Consultations with the Pricing Arrangements Reference Group. </w:t>
      </w:r>
    </w:p>
    <w:p w14:paraId="0E6ABEDB" w14:textId="1A47EA32" w:rsidR="00E94826" w:rsidRPr="00504B0D" w:rsidRDefault="00E94826" w:rsidP="00AB42D8">
      <w:pPr>
        <w:pStyle w:val="DotPoint"/>
      </w:pPr>
      <w:r>
        <w:t>Consultations with the Pricing Interdepartmental Committee.</w:t>
      </w:r>
    </w:p>
    <w:p w14:paraId="771FFE48" w14:textId="77621C01" w:rsidR="00E94826" w:rsidRDefault="00E94826" w:rsidP="6AED7058">
      <w:pPr>
        <w:pStyle w:val="DotPoint"/>
        <w:rPr>
          <w:rFonts w:eastAsia="SimHei"/>
        </w:rPr>
      </w:pPr>
      <w:r w:rsidRPr="6AED7058">
        <w:rPr>
          <w:rFonts w:eastAsia="SimHei"/>
        </w:rPr>
        <w:lastRenderedPageBreak/>
        <w:t>Consultations with the Department of Veterans</w:t>
      </w:r>
      <w:r w:rsidR="00316400">
        <w:rPr>
          <w:rFonts w:eastAsia="SimHei"/>
        </w:rPr>
        <w:t>’</w:t>
      </w:r>
      <w:r w:rsidRPr="6AED7058">
        <w:rPr>
          <w:rFonts w:eastAsia="SimHei"/>
        </w:rPr>
        <w:t xml:space="preserve"> Affairs and the Chief Allied Health Officer.</w:t>
      </w:r>
    </w:p>
    <w:p w14:paraId="6CEE1CED" w14:textId="077525C8" w:rsidR="00E94826" w:rsidRDefault="6F8B6618" w:rsidP="00CE1BD3">
      <w:pPr>
        <w:pStyle w:val="Heading41"/>
      </w:pPr>
      <w:r w:rsidRPr="183E06F2">
        <w:t xml:space="preserve">Consultation Paper and </w:t>
      </w:r>
      <w:r w:rsidR="00184F12">
        <w:t>s</w:t>
      </w:r>
      <w:r w:rsidRPr="183E06F2">
        <w:t>ubmissions</w:t>
      </w:r>
    </w:p>
    <w:p w14:paraId="6FC513AA" w14:textId="41EC8CF2" w:rsidR="00E94826" w:rsidRDefault="57791B0E">
      <w:r>
        <w:t xml:space="preserve">A </w:t>
      </w:r>
      <w:r w:rsidR="00135171">
        <w:t>C</w:t>
      </w:r>
      <w:r>
        <w:t xml:space="preserve">onsultation </w:t>
      </w:r>
      <w:r w:rsidR="00135171">
        <w:t>P</w:t>
      </w:r>
      <w:r>
        <w:t xml:space="preserve">aper was released on 17 March 2023 to assist stakeholders </w:t>
      </w:r>
      <w:r w:rsidR="00B36223">
        <w:t xml:space="preserve">in </w:t>
      </w:r>
      <w:r>
        <w:t>prepar</w:t>
      </w:r>
      <w:r w:rsidR="00B36223">
        <w:t>ing</w:t>
      </w:r>
      <w:r>
        <w:t xml:space="preserve"> submission to the APR. Submissions were required to be lodged by </w:t>
      </w:r>
      <w:bookmarkStart w:id="23" w:name="_Int_wF1Lm3k7"/>
      <w:r>
        <w:t>AEST</w:t>
      </w:r>
      <w:bookmarkEnd w:id="23"/>
      <w:r>
        <w:t xml:space="preserve"> 11:59pm Thursday 13 April 2023. In total, </w:t>
      </w:r>
      <w:r w:rsidR="0008DE59">
        <w:t>304</w:t>
      </w:r>
      <w:r>
        <w:t xml:space="preserve"> submissions were received</w:t>
      </w:r>
      <w:r w:rsidR="229CAD0E">
        <w:t xml:space="preserve"> including those submitted after the deadline</w:t>
      </w:r>
      <w:r>
        <w:t xml:space="preserve">. </w:t>
      </w:r>
    </w:p>
    <w:p w14:paraId="25BC7847" w14:textId="47713394" w:rsidR="00457499" w:rsidRDefault="5611DD8F" w:rsidP="004236E7">
      <w:r>
        <w:t>Most submissions were from provider organisations (</w:t>
      </w:r>
      <w:r w:rsidR="28F12D55">
        <w:t>1</w:t>
      </w:r>
      <w:r w:rsidR="482CA3D2">
        <w:t>65</w:t>
      </w:r>
      <w:r>
        <w:t>) and employees</w:t>
      </w:r>
      <w:r w:rsidR="09CC1888">
        <w:t>/workers</w:t>
      </w:r>
      <w:r>
        <w:t xml:space="preserve"> </w:t>
      </w:r>
      <w:r w:rsidR="7EE4F47B">
        <w:t>(</w:t>
      </w:r>
      <w:r w:rsidR="7E833EC2">
        <w:t>96</w:t>
      </w:r>
      <w:r w:rsidR="7EE4F47B">
        <w:t>).</w:t>
      </w:r>
      <w:r>
        <w:t xml:space="preserve"> A small number of submissions (</w:t>
      </w:r>
      <w:r w:rsidR="3FA3AFD4">
        <w:t>1</w:t>
      </w:r>
      <w:r w:rsidR="119E8E5D">
        <w:t>5</w:t>
      </w:r>
      <w:r>
        <w:t>) were received from participants</w:t>
      </w:r>
      <w:r w:rsidR="00D32A9A">
        <w:t xml:space="preserve"> and </w:t>
      </w:r>
      <w:r>
        <w:t>their representatives</w:t>
      </w:r>
      <w:r w:rsidR="52488E05">
        <w:t>.</w:t>
      </w:r>
      <w:r>
        <w:t xml:space="preserve"> Submissions were also received from </w:t>
      </w:r>
      <w:r w:rsidR="7EE4F47B">
        <w:t>professional</w:t>
      </w:r>
      <w:r>
        <w:t xml:space="preserve"> bodies (</w:t>
      </w:r>
      <w:r w:rsidR="0C7FB2EC">
        <w:t>15</w:t>
      </w:r>
      <w:r>
        <w:t xml:space="preserve">), </w:t>
      </w:r>
      <w:r w:rsidR="52488E05">
        <w:t>provider peak bodies (</w:t>
      </w:r>
      <w:r w:rsidR="00D32A9A">
        <w:t>9</w:t>
      </w:r>
      <w:r w:rsidR="52488E05">
        <w:t xml:space="preserve">), </w:t>
      </w:r>
      <w:r>
        <w:t>state and territory governments (</w:t>
      </w:r>
      <w:r w:rsidR="5FEE529F">
        <w:t>3</w:t>
      </w:r>
      <w:r>
        <w:t xml:space="preserve">), </w:t>
      </w:r>
      <w:r w:rsidR="00D32A9A">
        <w:t xml:space="preserve">advocacy groups (3) </w:t>
      </w:r>
      <w:r>
        <w:t xml:space="preserve">and </w:t>
      </w:r>
      <w:r w:rsidR="00D415F8">
        <w:t xml:space="preserve">worker </w:t>
      </w:r>
      <w:r>
        <w:t>unions (</w:t>
      </w:r>
      <w:r w:rsidR="017E041E">
        <w:t>1</w:t>
      </w:r>
      <w:r>
        <w:t xml:space="preserve">). The number of responses </w:t>
      </w:r>
      <w:r w:rsidR="004C3168">
        <w:t xml:space="preserve">providing feedback </w:t>
      </w:r>
      <w:r>
        <w:t xml:space="preserve">on each topic </w:t>
      </w:r>
      <w:r w:rsidR="00890CC7">
        <w:t>is</w:t>
      </w:r>
      <w:r>
        <w:t xml:space="preserve"> shown in</w:t>
      </w:r>
      <w:r w:rsidR="007C5FC3">
        <w:t xml:space="preserve"> </w:t>
      </w:r>
      <w:r w:rsidR="007C5FC3">
        <w:fldChar w:fldCharType="begin"/>
      </w:r>
      <w:r w:rsidR="007C5FC3">
        <w:instrText xml:space="preserve"> REF _Ref134093875 \h </w:instrText>
      </w:r>
      <w:r w:rsidR="00457499">
        <w:instrText xml:space="preserve"> \* MERGEFORMAT </w:instrText>
      </w:r>
      <w:r w:rsidR="007C5FC3">
        <w:fldChar w:fldCharType="separate"/>
      </w:r>
      <w:r w:rsidR="00D64E4C">
        <w:t>Figure 1</w:t>
      </w:r>
      <w:r w:rsidR="007C5FC3">
        <w:fldChar w:fldCharType="end"/>
      </w:r>
      <w:r>
        <w:t xml:space="preserve">. </w:t>
      </w:r>
      <w:r w:rsidR="001227B9">
        <w:t xml:space="preserve">Appendix </w:t>
      </w:r>
      <w:r w:rsidR="5BF2AEA1">
        <w:t>A</w:t>
      </w:r>
      <w:r w:rsidR="001227B9">
        <w:t xml:space="preserve"> includes a </w:t>
      </w:r>
      <w:r w:rsidR="00522F00">
        <w:t>summary of the public su</w:t>
      </w:r>
      <w:r w:rsidR="00A92B3E">
        <w:t>b</w:t>
      </w:r>
      <w:r w:rsidR="00522F00">
        <w:t>missions.</w:t>
      </w:r>
      <w:r w:rsidR="00457499">
        <w:t xml:space="preserve"> </w:t>
      </w:r>
    </w:p>
    <w:p w14:paraId="697FB52C" w14:textId="317C596F" w:rsidR="007C5FC3" w:rsidRDefault="007C5FC3" w:rsidP="007C5FC3">
      <w:pPr>
        <w:pStyle w:val="Caption"/>
      </w:pPr>
      <w:bookmarkStart w:id="24" w:name="_Ref134093875"/>
      <w:r>
        <w:t xml:space="preserve">Figure </w:t>
      </w:r>
      <w:r>
        <w:fldChar w:fldCharType="begin"/>
      </w:r>
      <w:r>
        <w:instrText>SEQ Figure \* ARABIC</w:instrText>
      </w:r>
      <w:r>
        <w:fldChar w:fldCharType="separate"/>
      </w:r>
      <w:r w:rsidR="00D64E4C">
        <w:rPr>
          <w:noProof/>
        </w:rPr>
        <w:t>1</w:t>
      </w:r>
      <w:r>
        <w:fldChar w:fldCharType="end"/>
      </w:r>
      <w:bookmarkEnd w:id="24"/>
      <w:r>
        <w:t xml:space="preserve">: </w:t>
      </w:r>
      <w:r w:rsidRPr="0008519E">
        <w:t>N</w:t>
      </w:r>
      <w:r>
        <w:t xml:space="preserve">umber </w:t>
      </w:r>
      <w:r w:rsidR="00457499">
        <w:t>of Submissions Received to the Public Consultation and Topics Covered</w:t>
      </w:r>
    </w:p>
    <w:p w14:paraId="29E0CACD" w14:textId="47D73322" w:rsidR="7EEACE4A" w:rsidRDefault="00533694" w:rsidP="183E06F2">
      <w:pPr>
        <w:jc w:val="center"/>
      </w:pPr>
      <w:r w:rsidRPr="00533694">
        <w:rPr>
          <w:noProof/>
        </w:rPr>
        <w:drawing>
          <wp:inline distT="0" distB="0" distL="0" distR="0" wp14:anchorId="2CA99D93" wp14:editId="00C90654">
            <wp:extent cx="5256017" cy="2520000"/>
            <wp:effectExtent l="0" t="0" r="1905" b="0"/>
            <wp:docPr id="26" name="Picture 26" descr="Figure 1: Number of Submissions Received to the Public Consultation and Topics Covered&#10;&#10;Most submissions received were for therapy supports (174), followed by Support Coordination supports (99) and Plan Management supports (81). Labour Market (77), Registration costs (67) and DSW related supports (59) were the least responded to topics. There were 45 submissions that provided comments on out of scope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 Number of Submissions Received to the Public Consultation and Topics Covered&#10;&#10;Most submissions received were for therapy supports (174), followed by Support Coordination supports (99) and Plan Management supports (81). Labour Market (77), Registration costs (67) and DSW related supports (59) were the least responded to topics. There were 45 submissions that provided comments on out of scope topic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56017" cy="2520000"/>
                    </a:xfrm>
                    <a:prstGeom prst="rect">
                      <a:avLst/>
                    </a:prstGeom>
                    <a:noFill/>
                    <a:ln>
                      <a:noFill/>
                    </a:ln>
                  </pic:spPr>
                </pic:pic>
              </a:graphicData>
            </a:graphic>
          </wp:inline>
        </w:drawing>
      </w:r>
    </w:p>
    <w:p w14:paraId="3CB49697" w14:textId="5413D1BB" w:rsidR="183E06F2" w:rsidRPr="009C0AF6" w:rsidRDefault="04479AE7" w:rsidP="00635F9C">
      <w:pPr>
        <w:spacing w:before="60" w:after="60" w:line="240" w:lineRule="atLeast"/>
        <w:rPr>
          <w:b/>
          <w:i/>
          <w:sz w:val="16"/>
          <w:szCs w:val="16"/>
        </w:rPr>
      </w:pPr>
      <w:r w:rsidRPr="009C0AF6">
        <w:rPr>
          <w:b/>
          <w:i/>
          <w:sz w:val="16"/>
          <w:szCs w:val="16"/>
        </w:rPr>
        <w:t xml:space="preserve">Source: </w:t>
      </w:r>
      <w:r w:rsidR="00997B30" w:rsidRPr="009C0AF6">
        <w:rPr>
          <w:b/>
          <w:i/>
          <w:sz w:val="16"/>
          <w:szCs w:val="16"/>
        </w:rPr>
        <w:t xml:space="preserve">Submissions to the APR received by the NDIA, </w:t>
      </w:r>
      <w:r w:rsidRPr="009C0AF6">
        <w:rPr>
          <w:b/>
          <w:i/>
          <w:sz w:val="16"/>
          <w:szCs w:val="16"/>
        </w:rPr>
        <w:t>NDIS internal data, April 2023</w:t>
      </w:r>
    </w:p>
    <w:p w14:paraId="778D5305" w14:textId="41AA3180" w:rsidR="00E94826" w:rsidRDefault="00E94826" w:rsidP="00CE1BD3">
      <w:pPr>
        <w:pStyle w:val="Heading41"/>
      </w:pPr>
      <w:r w:rsidRPr="6D9B8DF4">
        <w:t xml:space="preserve">Consultations with other </w:t>
      </w:r>
      <w:r w:rsidR="00D55E76">
        <w:t xml:space="preserve">government </w:t>
      </w:r>
      <w:r w:rsidRPr="6D9B8DF4">
        <w:t>insur</w:t>
      </w:r>
      <w:r w:rsidR="00D55E76">
        <w:t>ance</w:t>
      </w:r>
      <w:r w:rsidRPr="6D9B8DF4">
        <w:t xml:space="preserve"> and funding schemes</w:t>
      </w:r>
    </w:p>
    <w:p w14:paraId="5E0BB2DE" w14:textId="56624B0E" w:rsidR="00E94826" w:rsidRDefault="00E94826" w:rsidP="00F8476B">
      <w:r>
        <w:t xml:space="preserve">The NDIA has reached out and worked with </w:t>
      </w:r>
      <w:r w:rsidRPr="00117BB0">
        <w:t>sixteen</w:t>
      </w:r>
      <w:r w:rsidR="0057423E">
        <w:t xml:space="preserve"> other government</w:t>
      </w:r>
      <w:r w:rsidRPr="00117BB0">
        <w:t xml:space="preserve"> </w:t>
      </w:r>
      <w:r w:rsidR="0057423E">
        <w:t>insurance and funding s</w:t>
      </w:r>
      <w:r w:rsidRPr="00117BB0">
        <w:t>chemes</w:t>
      </w:r>
      <w:r w:rsidRPr="00F8476B">
        <w:t xml:space="preserve"> </w:t>
      </w:r>
      <w:r>
        <w:t xml:space="preserve">to update the analysis done in the 2021-22 APR. </w:t>
      </w:r>
    </w:p>
    <w:p w14:paraId="765AFA1F" w14:textId="74E7C78B" w:rsidR="00E94826" w:rsidRPr="00F8476B" w:rsidRDefault="00E94826" w:rsidP="00F8476B">
      <w:r>
        <w:t xml:space="preserve">Schemes that assisted with information were: </w:t>
      </w:r>
    </w:p>
    <w:p w14:paraId="2D992048" w14:textId="1D5396A1" w:rsidR="00E94826" w:rsidRPr="00F8476B" w:rsidRDefault="00E94826" w:rsidP="00F317CA">
      <w:pPr>
        <w:pStyle w:val="ListParagraph"/>
        <w:numPr>
          <w:ilvl w:val="0"/>
          <w:numId w:val="9"/>
        </w:numPr>
        <w:rPr>
          <w:rFonts w:eastAsia="SimHei" w:cs="Cordia New"/>
        </w:rPr>
      </w:pPr>
      <w:r w:rsidRPr="00F8476B">
        <w:t>Catastrophic Injuries Support (CIS) Scheme</w:t>
      </w:r>
      <w:r>
        <w:t xml:space="preserve">, </w:t>
      </w:r>
    </w:p>
    <w:p w14:paraId="60F26AC6" w14:textId="6548D670" w:rsidR="00E94826" w:rsidRPr="00F8476B" w:rsidRDefault="00E94826" w:rsidP="00F317CA">
      <w:pPr>
        <w:pStyle w:val="ListParagraph"/>
        <w:numPr>
          <w:ilvl w:val="0"/>
          <w:numId w:val="9"/>
        </w:numPr>
        <w:rPr>
          <w:rFonts w:eastAsia="SimHei" w:cs="Cordia New"/>
        </w:rPr>
      </w:pPr>
      <w:r w:rsidRPr="00F8476B">
        <w:t>ComCare</w:t>
      </w:r>
      <w:r>
        <w:t xml:space="preserve">, </w:t>
      </w:r>
    </w:p>
    <w:p w14:paraId="0D0AD114" w14:textId="4A9FA6CA" w:rsidR="00E94826" w:rsidRPr="00F8476B" w:rsidRDefault="00E94826" w:rsidP="00F317CA">
      <w:pPr>
        <w:pStyle w:val="ListParagraph"/>
        <w:numPr>
          <w:ilvl w:val="0"/>
          <w:numId w:val="9"/>
        </w:numPr>
        <w:rPr>
          <w:rFonts w:eastAsia="SimHei" w:cs="Cordia New"/>
        </w:rPr>
      </w:pPr>
      <w:r w:rsidRPr="00F8476B">
        <w:t>Department of Veterans’ Affairs (DVA)</w:t>
      </w:r>
      <w:r>
        <w:t xml:space="preserve">, </w:t>
      </w:r>
    </w:p>
    <w:p w14:paraId="2C023BA9" w14:textId="2A2575FD" w:rsidR="00E94826" w:rsidRPr="00F8476B" w:rsidRDefault="00E94826" w:rsidP="00F317CA">
      <w:pPr>
        <w:pStyle w:val="ListParagraph"/>
        <w:numPr>
          <w:ilvl w:val="0"/>
          <w:numId w:val="9"/>
        </w:numPr>
        <w:rPr>
          <w:rFonts w:eastAsia="SimHei" w:cs="Cordia New"/>
        </w:rPr>
      </w:pPr>
      <w:r w:rsidRPr="00F8476B">
        <w:t>Home and Community Care Program for Younger People (HACC-PYP)</w:t>
      </w:r>
      <w:r>
        <w:t xml:space="preserve">, </w:t>
      </w:r>
    </w:p>
    <w:p w14:paraId="29F13609" w14:textId="03F8F635" w:rsidR="00E94826" w:rsidRPr="00F8476B" w:rsidRDefault="00E94826" w:rsidP="00F317CA">
      <w:pPr>
        <w:pStyle w:val="ListParagraph"/>
        <w:numPr>
          <w:ilvl w:val="0"/>
          <w:numId w:val="9"/>
        </w:numPr>
        <w:rPr>
          <w:rFonts w:eastAsia="SimHei" w:cs="Cordia New"/>
        </w:rPr>
      </w:pPr>
      <w:r w:rsidRPr="00F8476B">
        <w:t>Lifetime Support Scheme (LSS)</w:t>
      </w:r>
      <w:r>
        <w:t xml:space="preserve">, </w:t>
      </w:r>
    </w:p>
    <w:p w14:paraId="5BECDD08" w14:textId="249A1636" w:rsidR="00E94826" w:rsidRPr="00F8476B" w:rsidRDefault="00E94826" w:rsidP="00F317CA">
      <w:pPr>
        <w:pStyle w:val="ListParagraph"/>
        <w:numPr>
          <w:ilvl w:val="0"/>
          <w:numId w:val="9"/>
        </w:numPr>
        <w:rPr>
          <w:rFonts w:eastAsia="SimHei" w:cs="Cordia New"/>
        </w:rPr>
      </w:pPr>
      <w:r>
        <w:t>L</w:t>
      </w:r>
      <w:r w:rsidRPr="00F8476B">
        <w:t>ifetime Care and Support Scheme (LTCSS)</w:t>
      </w:r>
      <w:r>
        <w:t xml:space="preserve">, </w:t>
      </w:r>
    </w:p>
    <w:p w14:paraId="6CE17114" w14:textId="7977E1FB" w:rsidR="00E94826" w:rsidRPr="00F8476B" w:rsidRDefault="00E94826" w:rsidP="00F317CA">
      <w:pPr>
        <w:pStyle w:val="ListParagraph"/>
        <w:numPr>
          <w:ilvl w:val="0"/>
          <w:numId w:val="9"/>
        </w:numPr>
        <w:rPr>
          <w:rFonts w:eastAsia="SimHei" w:cs="Cordia New"/>
        </w:rPr>
      </w:pPr>
      <w:r w:rsidRPr="00F8476B">
        <w:t>Motor Accidents Insurance Board (MAIB)</w:t>
      </w:r>
      <w:r>
        <w:t xml:space="preserve">, </w:t>
      </w:r>
    </w:p>
    <w:p w14:paraId="399C5E53" w14:textId="411E5B0B" w:rsidR="00E94826" w:rsidRPr="00F8476B" w:rsidRDefault="00E94826" w:rsidP="00F317CA">
      <w:pPr>
        <w:pStyle w:val="ListParagraph"/>
        <w:numPr>
          <w:ilvl w:val="0"/>
          <w:numId w:val="9"/>
        </w:numPr>
        <w:rPr>
          <w:rFonts w:eastAsia="SimHei" w:cs="Cordia New"/>
        </w:rPr>
      </w:pPr>
      <w:r w:rsidRPr="00F8476B">
        <w:t>Medicare Benefit Scheme (MBS)</w:t>
      </w:r>
      <w:r>
        <w:t xml:space="preserve">, </w:t>
      </w:r>
    </w:p>
    <w:p w14:paraId="674D9F70" w14:textId="4A3B34BC" w:rsidR="00E94826" w:rsidRPr="00F8476B" w:rsidRDefault="00E94826" w:rsidP="00F317CA">
      <w:pPr>
        <w:pStyle w:val="ListParagraph"/>
        <w:numPr>
          <w:ilvl w:val="0"/>
          <w:numId w:val="9"/>
        </w:numPr>
        <w:rPr>
          <w:rFonts w:eastAsia="SimHei" w:cs="Cordia New"/>
        </w:rPr>
      </w:pPr>
      <w:r w:rsidRPr="00F8476B">
        <w:lastRenderedPageBreak/>
        <w:t>National Injury Insurance Scheme Queensland (NIISQ)</w:t>
      </w:r>
      <w:r>
        <w:t xml:space="preserve">, </w:t>
      </w:r>
    </w:p>
    <w:p w14:paraId="4789C85A" w14:textId="7A2CF9E7" w:rsidR="00E94826" w:rsidRPr="00F8476B" w:rsidRDefault="00E94826" w:rsidP="00F317CA">
      <w:pPr>
        <w:pStyle w:val="ListParagraph"/>
        <w:numPr>
          <w:ilvl w:val="0"/>
          <w:numId w:val="9"/>
        </w:numPr>
        <w:rPr>
          <w:rFonts w:eastAsia="SimHei" w:cs="Cordia New"/>
        </w:rPr>
      </w:pPr>
      <w:r w:rsidRPr="00F8476B">
        <w:t>Return To Work SA (RTWSA)</w:t>
      </w:r>
      <w:r>
        <w:t xml:space="preserve">, </w:t>
      </w:r>
    </w:p>
    <w:p w14:paraId="39C59621" w14:textId="166CBCCA" w:rsidR="00E94826" w:rsidRPr="00F8476B" w:rsidRDefault="00E94826" w:rsidP="00F317CA">
      <w:pPr>
        <w:pStyle w:val="ListParagraph"/>
        <w:numPr>
          <w:ilvl w:val="0"/>
          <w:numId w:val="9"/>
        </w:numPr>
        <w:rPr>
          <w:rFonts w:eastAsia="SimHei" w:cs="Cordia New"/>
        </w:rPr>
      </w:pPr>
      <w:r w:rsidRPr="00F8476B">
        <w:t>State Insurance Regulatory Authority (SIRA)</w:t>
      </w:r>
      <w:r>
        <w:t xml:space="preserve">, </w:t>
      </w:r>
    </w:p>
    <w:p w14:paraId="3D40D7E1" w14:textId="1BC700FF" w:rsidR="00E94826" w:rsidRPr="00F8476B" w:rsidRDefault="00E94826" w:rsidP="00F317CA">
      <w:pPr>
        <w:pStyle w:val="ListParagraph"/>
        <w:numPr>
          <w:ilvl w:val="0"/>
          <w:numId w:val="9"/>
        </w:numPr>
        <w:rPr>
          <w:rFonts w:eastAsia="SimHei" w:cs="Cordia New"/>
        </w:rPr>
      </w:pPr>
      <w:r w:rsidRPr="00F8476B">
        <w:t>Victorian Transport Accident Commission (TAC)</w:t>
      </w:r>
      <w:r>
        <w:t xml:space="preserve">, </w:t>
      </w:r>
    </w:p>
    <w:p w14:paraId="47C507BC" w14:textId="659D2AD1" w:rsidR="00E94826" w:rsidRPr="00F8476B" w:rsidRDefault="00E94826" w:rsidP="00F317CA">
      <w:pPr>
        <w:pStyle w:val="ListParagraph"/>
        <w:numPr>
          <w:ilvl w:val="0"/>
          <w:numId w:val="9"/>
        </w:numPr>
        <w:rPr>
          <w:rFonts w:eastAsia="SimHei" w:cs="Cordia New"/>
        </w:rPr>
      </w:pPr>
      <w:r w:rsidRPr="00F8476B">
        <w:t>Victims of Crime Assistance Tribunal (VOCAT)</w:t>
      </w:r>
      <w:r>
        <w:t xml:space="preserve">, </w:t>
      </w:r>
    </w:p>
    <w:p w14:paraId="6511AF9B" w14:textId="63265B22" w:rsidR="00E94826" w:rsidRPr="00F8476B" w:rsidRDefault="00E94826" w:rsidP="00F317CA">
      <w:pPr>
        <w:pStyle w:val="ListParagraph"/>
        <w:numPr>
          <w:ilvl w:val="0"/>
          <w:numId w:val="9"/>
        </w:numPr>
        <w:rPr>
          <w:rFonts w:eastAsia="SimHei" w:cs="Cordia New"/>
        </w:rPr>
      </w:pPr>
      <w:r w:rsidRPr="00F8476B">
        <w:t>WorkCover QLD</w:t>
      </w:r>
      <w:r>
        <w:t xml:space="preserve">, </w:t>
      </w:r>
    </w:p>
    <w:p w14:paraId="51DCBD53" w14:textId="3B19E86A" w:rsidR="00E94826" w:rsidRPr="00F8476B" w:rsidRDefault="00E94826" w:rsidP="00F317CA">
      <w:pPr>
        <w:pStyle w:val="ListParagraph"/>
        <w:numPr>
          <w:ilvl w:val="0"/>
          <w:numId w:val="9"/>
        </w:numPr>
        <w:rPr>
          <w:rFonts w:eastAsia="SimHei" w:cs="Cordia New"/>
        </w:rPr>
      </w:pPr>
      <w:r w:rsidRPr="00F8476B">
        <w:t>WorkSafe VIC</w:t>
      </w:r>
      <w:r>
        <w:t xml:space="preserve">, and </w:t>
      </w:r>
    </w:p>
    <w:p w14:paraId="41457D07" w14:textId="57665715" w:rsidR="00E94826" w:rsidRPr="00F8476B" w:rsidRDefault="0D101FAB" w:rsidP="00F317CA">
      <w:pPr>
        <w:pStyle w:val="ListParagraph"/>
        <w:numPr>
          <w:ilvl w:val="0"/>
          <w:numId w:val="9"/>
        </w:numPr>
        <w:rPr>
          <w:rFonts w:eastAsia="SimHei" w:cs="Cordia New"/>
        </w:rPr>
      </w:pPr>
      <w:r>
        <w:t xml:space="preserve">WorkCover </w:t>
      </w:r>
      <w:bookmarkStart w:id="25" w:name="_Int_f82OdIvi"/>
      <w:r>
        <w:t>WA</w:t>
      </w:r>
      <w:bookmarkEnd w:id="25"/>
      <w:r>
        <w:t>.</w:t>
      </w:r>
    </w:p>
    <w:p w14:paraId="758E48BC" w14:textId="4D8ACAF4" w:rsidR="00E94826" w:rsidRDefault="00E94826" w:rsidP="00CE1BD3">
      <w:pPr>
        <w:pStyle w:val="Heading41"/>
      </w:pPr>
      <w:r w:rsidRPr="00352EE0">
        <w:rPr>
          <w:rFonts w:eastAsia="Arial" w:cs="Arial"/>
        </w:rPr>
        <w:t>P</w:t>
      </w:r>
      <w:r>
        <w:t xml:space="preserve">ricing </w:t>
      </w:r>
      <w:r w:rsidRPr="6D9B8DF4">
        <w:t>A</w:t>
      </w:r>
      <w:r>
        <w:t xml:space="preserve">rrangement </w:t>
      </w:r>
      <w:r w:rsidRPr="6D9B8DF4">
        <w:t>R</w:t>
      </w:r>
      <w:r>
        <w:t xml:space="preserve">eference </w:t>
      </w:r>
      <w:r w:rsidRPr="6D9B8DF4">
        <w:t>G</w:t>
      </w:r>
      <w:r>
        <w:t>roup</w:t>
      </w:r>
    </w:p>
    <w:p w14:paraId="30B8F89B" w14:textId="16AD0CE6" w:rsidR="00E94826" w:rsidRDefault="00E94826" w:rsidP="00D36172">
      <w:r>
        <w:t>The work of the APR was overseen by the NDIA’s Pricing Arrangement Reference Group, which provides advice, through the Chief Executive Officer of the NDIA, to the NDIA Board on price control arrangements for the NDIS. This is to ensure price regulation activities and decisions are coordinated to support the best possible outcomes for NDIS participants during the transition to a competitive marketplace</w:t>
      </w:r>
      <w:r w:rsidR="00D46534">
        <w:rPr>
          <w:rStyle w:val="FootnoteReference"/>
        </w:rPr>
        <w:footnoteReference w:id="3"/>
      </w:r>
      <w:r w:rsidR="00493FEE">
        <w:t>.</w:t>
      </w:r>
      <w:r>
        <w:t xml:space="preserve"> The current members of the Pricing Arrangement Reference Group are:</w:t>
      </w:r>
    </w:p>
    <w:p w14:paraId="43261033" w14:textId="77777777" w:rsidR="00E94826" w:rsidRDefault="00E94826" w:rsidP="00D36172">
      <w:pPr>
        <w:pStyle w:val="DotPoint"/>
      </w:pPr>
      <w:r>
        <w:t>Ms Deborah Cope, who has a background in economics, price regulation, regulatory processes, and rural and remote service delivery.</w:t>
      </w:r>
    </w:p>
    <w:p w14:paraId="26484FB8" w14:textId="77777777" w:rsidR="00E94826" w:rsidRDefault="00E94826" w:rsidP="00D36172">
      <w:pPr>
        <w:pStyle w:val="DotPoint"/>
      </w:pPr>
      <w:r>
        <w:t>Mr James Cox PSM, who is Deputy Chair of the Australian Energy Regulator and has extensive experience in price regulation, economics, and social policy issues.</w:t>
      </w:r>
    </w:p>
    <w:p w14:paraId="3F26FB7E" w14:textId="2D99E603" w:rsidR="00E94826" w:rsidRDefault="00E94826" w:rsidP="00D36172">
      <w:pPr>
        <w:pStyle w:val="DotPoint"/>
      </w:pPr>
      <w:r>
        <w:t>Ms Julie Hulcombe PSM, who has experience in allied health reform and has made significant contributions to improving high quality care access in Queensland</w:t>
      </w:r>
      <w:r w:rsidR="007A1283">
        <w:t>, and</w:t>
      </w:r>
    </w:p>
    <w:p w14:paraId="4CA7EF82" w14:textId="3C118123" w:rsidR="00E94826" w:rsidRPr="00AB42D8" w:rsidRDefault="00E94826" w:rsidP="6D9B8DF4">
      <w:pPr>
        <w:pStyle w:val="DotPoint"/>
      </w:pPr>
      <w:r>
        <w:t>Dr Lynne Pezzullo, who brings experience in market development, health economics, price regulation and the disability sector.</w:t>
      </w:r>
    </w:p>
    <w:p w14:paraId="3BAF3D86" w14:textId="6605CD94" w:rsidR="00E94826" w:rsidRDefault="00E94826" w:rsidP="00CE1BD3">
      <w:pPr>
        <w:pStyle w:val="Heading41"/>
      </w:pPr>
      <w:r>
        <w:t xml:space="preserve">Pricing </w:t>
      </w:r>
      <w:r w:rsidRPr="6D9B8DF4">
        <w:t>I</w:t>
      </w:r>
      <w:r>
        <w:t xml:space="preserve">nterdepartmental </w:t>
      </w:r>
      <w:r w:rsidR="00DA2DF6">
        <w:t>Committee</w:t>
      </w:r>
    </w:p>
    <w:p w14:paraId="1D26426B" w14:textId="0E804ACC" w:rsidR="00E94826" w:rsidRDefault="00E94826" w:rsidP="6D9B8DF4">
      <w:r w:rsidRPr="00FB51B3">
        <w:t>The Pricing</w:t>
      </w:r>
      <w:r w:rsidR="00013C83">
        <w:t xml:space="preserve"> Interdepartmental </w:t>
      </w:r>
      <w:r w:rsidR="00DA2DF6">
        <w:t xml:space="preserve">Committee </w:t>
      </w:r>
      <w:r w:rsidR="00B33C3E">
        <w:t>was</w:t>
      </w:r>
      <w:r>
        <w:t xml:space="preserve"> established in November 2022 </w:t>
      </w:r>
      <w:r w:rsidRPr="00FB51B3">
        <w:t xml:space="preserve">to discuss strategic matters related to pricing in the NDIS and its wider implications within the current economic environment. This forum </w:t>
      </w:r>
      <w:r>
        <w:t xml:space="preserve">allows the NDIA </w:t>
      </w:r>
      <w:r w:rsidRPr="00FB51B3">
        <w:t xml:space="preserve">to proactively </w:t>
      </w:r>
      <w:r>
        <w:t>work</w:t>
      </w:r>
      <w:r w:rsidRPr="00FB51B3">
        <w:t xml:space="preserve"> with key Australian Public Service </w:t>
      </w:r>
      <w:r>
        <w:t>stakeholders with broader Government considerations to NDIS pricing-related matters</w:t>
      </w:r>
      <w:r w:rsidRPr="00FB51B3">
        <w:t xml:space="preserve">. </w:t>
      </w:r>
    </w:p>
    <w:p w14:paraId="2A0137EC" w14:textId="243A15B2" w:rsidR="008B6D94" w:rsidRDefault="00E94826" w:rsidP="008B6D94">
      <w:r w:rsidRPr="00FB51B3">
        <w:t xml:space="preserve">The </w:t>
      </w:r>
      <w:r w:rsidR="00B33C3E">
        <w:t>committe</w:t>
      </w:r>
      <w:r w:rsidRPr="00FB51B3">
        <w:t>e consists of representatives from Department of Social Services, Department of Finance, NDIS Quality and Safeguards Commission</w:t>
      </w:r>
      <w:r w:rsidR="002D5DB9">
        <w:t xml:space="preserve"> (NDIS Commission)</w:t>
      </w:r>
      <w:r w:rsidRPr="00FB51B3">
        <w:t xml:space="preserve"> and </w:t>
      </w:r>
      <w:r w:rsidR="00543664">
        <w:t xml:space="preserve">the </w:t>
      </w:r>
      <w:r w:rsidR="00AF6C29">
        <w:t xml:space="preserve">Commonwealth </w:t>
      </w:r>
      <w:r w:rsidRPr="00FB51B3">
        <w:t>Treasury.</w:t>
      </w:r>
      <w:r w:rsidR="00371CAD" w:rsidDel="00371CAD">
        <w:t xml:space="preserve"> </w:t>
      </w:r>
    </w:p>
    <w:p w14:paraId="29B303C2" w14:textId="76719BBA" w:rsidR="00D96A1A" w:rsidRPr="00F317CA" w:rsidRDefault="00D96A1A" w:rsidP="00D9646F">
      <w:pPr>
        <w:pStyle w:val="Heading3"/>
      </w:pPr>
      <w:r w:rsidRPr="00F317CA">
        <w:t>2.4</w:t>
      </w:r>
      <w:r w:rsidRPr="00F317CA">
        <w:tab/>
        <w:t xml:space="preserve">Annual Pricing Review (APR) decision making </w:t>
      </w:r>
      <w:proofErr w:type="gramStart"/>
      <w:r w:rsidRPr="00F317CA">
        <w:t>framework</w:t>
      </w:r>
      <w:proofErr w:type="gramEnd"/>
    </w:p>
    <w:p w14:paraId="71C4ED56" w14:textId="6DB10733" w:rsidR="006C40F4" w:rsidRDefault="009725F2">
      <w:pPr>
        <w:rPr>
          <w:highlight w:val="yellow"/>
        </w:rPr>
      </w:pPr>
      <w:r w:rsidRPr="00F02168">
        <w:t>The NDIA monitors and reviews its price control framework and other market settings to determine whether they are still appropriate. The APR is an important part of that process</w:t>
      </w:r>
      <w:r w:rsidR="00B33C3E">
        <w:t>.</w:t>
      </w:r>
      <w:r w:rsidRPr="00F02168">
        <w:t xml:space="preserve"> </w:t>
      </w:r>
      <w:r w:rsidR="00F14599" w:rsidRPr="00F02168">
        <w:fldChar w:fldCharType="begin"/>
      </w:r>
      <w:r w:rsidR="00F14599" w:rsidRPr="00F02168">
        <w:instrText xml:space="preserve"> REF _Ref134720123 \h </w:instrText>
      </w:r>
      <w:r w:rsidR="009F4697" w:rsidRPr="00F02168">
        <w:instrText xml:space="preserve"> \* MERGEFORMAT </w:instrText>
      </w:r>
      <w:r w:rsidR="00F14599" w:rsidRPr="00F02168">
        <w:fldChar w:fldCharType="separate"/>
      </w:r>
      <w:r w:rsidR="00D64E4C" w:rsidRPr="00376248">
        <w:t xml:space="preserve">Figure </w:t>
      </w:r>
      <w:r w:rsidR="00D64E4C">
        <w:rPr>
          <w:noProof/>
        </w:rPr>
        <w:t>2</w:t>
      </w:r>
      <w:r w:rsidR="00F14599" w:rsidRPr="00F02168">
        <w:fldChar w:fldCharType="end"/>
      </w:r>
      <w:r w:rsidRPr="00F02168">
        <w:t xml:space="preserve"> outlin</w:t>
      </w:r>
      <w:r w:rsidR="00B33C3E">
        <w:t>es</w:t>
      </w:r>
      <w:r w:rsidRPr="00F02168">
        <w:t xml:space="preserve"> the APR conceptual framework </w:t>
      </w:r>
      <w:r w:rsidR="006C40F4" w:rsidRPr="00F02168">
        <w:t xml:space="preserve">that </w:t>
      </w:r>
      <w:r w:rsidRPr="00F02168">
        <w:t>leads to the final recommendations.</w:t>
      </w:r>
      <w:r w:rsidR="006C40F4">
        <w:rPr>
          <w:highlight w:val="yellow"/>
        </w:rPr>
        <w:br w:type="page"/>
      </w:r>
    </w:p>
    <w:p w14:paraId="756A7AD6" w14:textId="442501F1" w:rsidR="009725F2" w:rsidRPr="00376248" w:rsidRDefault="009725F2" w:rsidP="009725F2">
      <w:pPr>
        <w:pStyle w:val="Caption"/>
      </w:pPr>
      <w:bookmarkStart w:id="26" w:name="_Ref134720123"/>
      <w:r w:rsidRPr="00376248">
        <w:lastRenderedPageBreak/>
        <w:t xml:space="preserve">Figure </w:t>
      </w:r>
      <w:fldSimple w:instr=" SEQ Figure \* ARABIC ">
        <w:r w:rsidR="00D64E4C">
          <w:rPr>
            <w:noProof/>
          </w:rPr>
          <w:t>2</w:t>
        </w:r>
      </w:fldSimple>
      <w:bookmarkEnd w:id="26"/>
      <w:r w:rsidRPr="00376248">
        <w:t>: APR Conceptual framework</w:t>
      </w:r>
    </w:p>
    <w:p w14:paraId="4A14C56F" w14:textId="77777777" w:rsidR="006836F8" w:rsidRPr="009E777C" w:rsidRDefault="006836F8" w:rsidP="006836F8">
      <w:pPr>
        <w:jc w:val="center"/>
      </w:pPr>
      <w:r w:rsidRPr="009E777C">
        <w:rPr>
          <w:noProof/>
        </w:rPr>
        <w:drawing>
          <wp:inline distT="0" distB="0" distL="0" distR="0" wp14:anchorId="6D8288B8" wp14:editId="1D32AFF4">
            <wp:extent cx="4777200" cy="4334400"/>
            <wp:effectExtent l="0" t="0" r="4445" b="9525"/>
            <wp:docPr id="3" name="Picture 3" descr="FIGURE 2: APR CONCEPTUAL FRAMEWORK&#10;&#10;The annual pricing reviews conceptual framework contains six key areas. &#10;&#10;1.  Extensive consultation with internal and external stakeholders&#10;2.  Consideration and analysis of current economic conditions&#10;3.  Research into scheme statistics&#10;4.  Research into business dynamism&#10;5.  Research into comparable sectors or benchmarking where relevant&#10;6.  Peer review through engagement with PARG and Pricing IDC&#10;&#10;all conributing towards the outcomes stated in the APR repor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APR CONCEPTUAL FRAMEWORK&#10;&#10;The annual pricing reviews conceptual framework contains six key areas. &#10;&#10;1.  Extensive consultation with internal and external stakeholders&#10;2.  Consideration and analysis of current economic conditions&#10;3.  Research into scheme statistics&#10;4.  Research into business dynamism&#10;5.  Research into comparable sectors or benchmarking where relevant&#10;6.  Peer review through engagement with PARG and Pricing IDC&#10;&#10;all conributing towards the outcomes stated in the APR report&#10;"/>
                    <pic:cNvPicPr/>
                  </pic:nvPicPr>
                  <pic:blipFill>
                    <a:blip r:embed="rId18"/>
                    <a:stretch>
                      <a:fillRect/>
                    </a:stretch>
                  </pic:blipFill>
                  <pic:spPr>
                    <a:xfrm>
                      <a:off x="0" y="0"/>
                      <a:ext cx="4777200" cy="4334400"/>
                    </a:xfrm>
                    <a:prstGeom prst="rect">
                      <a:avLst/>
                    </a:prstGeom>
                  </pic:spPr>
                </pic:pic>
              </a:graphicData>
            </a:graphic>
          </wp:inline>
        </w:drawing>
      </w:r>
    </w:p>
    <w:p w14:paraId="19E70873" w14:textId="016DB027" w:rsidR="006836F8" w:rsidRPr="009E777C" w:rsidRDefault="00B33C3E" w:rsidP="006836F8">
      <w:r>
        <w:t>R</w:t>
      </w:r>
      <w:r w:rsidR="006836F8" w:rsidRPr="009E777C">
        <w:t xml:space="preserve">esearch into the following areas </w:t>
      </w:r>
      <w:r w:rsidR="0025205C">
        <w:t xml:space="preserve">provided </w:t>
      </w:r>
      <w:r w:rsidR="006836F8" w:rsidRPr="009E777C">
        <w:t xml:space="preserve">the quantitative </w:t>
      </w:r>
      <w:r w:rsidR="00D6004F" w:rsidRPr="009E777C">
        <w:t xml:space="preserve">and qualitative </w:t>
      </w:r>
      <w:r w:rsidR="006836F8" w:rsidRPr="009E777C">
        <w:t>aspect</w:t>
      </w:r>
      <w:r w:rsidR="00D6004F" w:rsidRPr="009E777C">
        <w:t>s</w:t>
      </w:r>
      <w:r w:rsidR="006836F8" w:rsidRPr="009E777C">
        <w:t xml:space="preserve"> of evidence to inform the APR decisions:</w:t>
      </w:r>
    </w:p>
    <w:p w14:paraId="4F3BD514" w14:textId="53B55205" w:rsidR="006836F8" w:rsidRPr="009E777C" w:rsidRDefault="00822802" w:rsidP="00F317CA">
      <w:pPr>
        <w:pStyle w:val="DotPoint"/>
        <w:numPr>
          <w:ilvl w:val="0"/>
          <w:numId w:val="16"/>
        </w:numPr>
      </w:pPr>
      <w:r w:rsidRPr="009E777C">
        <w:t>The c</w:t>
      </w:r>
      <w:r w:rsidR="006836F8" w:rsidRPr="009E777C">
        <w:t>urrent Australian economic climate including the healthcare and disability sectors. Detailed labour force and wage data for NDIS occupations and industries, and for comparable occupations and industries.</w:t>
      </w:r>
    </w:p>
    <w:p w14:paraId="1A408D15" w14:textId="4CC3972F" w:rsidR="006836F8" w:rsidRPr="009E777C" w:rsidRDefault="006836F8" w:rsidP="00F317CA">
      <w:pPr>
        <w:pStyle w:val="ListParagraph"/>
        <w:numPr>
          <w:ilvl w:val="0"/>
          <w:numId w:val="16"/>
        </w:numPr>
      </w:pPr>
      <w:r w:rsidRPr="009E777C">
        <w:t>Extensive consultations with a range of internal and external stakeholders through the Public Consultation, Pricing Arrangement Reference Group, Pricing Interdepartmental Committee as well as other government engagements.</w:t>
      </w:r>
    </w:p>
    <w:p w14:paraId="397121FD" w14:textId="464F2958" w:rsidR="006836F8" w:rsidRPr="009E777C" w:rsidRDefault="006836F8" w:rsidP="00F317CA">
      <w:pPr>
        <w:pStyle w:val="DotPoint"/>
        <w:numPr>
          <w:ilvl w:val="0"/>
          <w:numId w:val="16"/>
        </w:numPr>
      </w:pPr>
      <w:r w:rsidRPr="009E777C">
        <w:t xml:space="preserve">Impact from the </w:t>
      </w:r>
      <w:r w:rsidR="002F7625">
        <w:t xml:space="preserve">global </w:t>
      </w:r>
      <w:r w:rsidRPr="009E777C">
        <w:t xml:space="preserve">pandemic, impact of the SCHADS Award changes, the </w:t>
      </w:r>
      <w:r w:rsidRPr="009E777C">
        <w:rPr>
          <w:i/>
        </w:rPr>
        <w:t xml:space="preserve">Aged Care Award </w:t>
      </w:r>
      <w:r w:rsidRPr="009E777C">
        <w:t>reforms</w:t>
      </w:r>
      <w:r w:rsidRPr="009E777C">
        <w:rPr>
          <w:i/>
        </w:rPr>
        <w:t xml:space="preserve"> </w:t>
      </w:r>
      <w:r w:rsidR="00B33C3E">
        <w:t>and</w:t>
      </w:r>
      <w:r w:rsidRPr="009E777C">
        <w:t xml:space="preserve"> the newly introduced family and domestic violence leave. </w:t>
      </w:r>
      <w:r w:rsidR="006E32FE" w:rsidRPr="009E777C">
        <w:t>All</w:t>
      </w:r>
      <w:r w:rsidRPr="009E777C">
        <w:t xml:space="preserve"> these form part of the DSW</w:t>
      </w:r>
      <w:r w:rsidR="006E32FE" w:rsidRPr="009E777C">
        <w:t>-</w:t>
      </w:r>
      <w:r w:rsidRPr="009E777C">
        <w:t>related supports research.</w:t>
      </w:r>
    </w:p>
    <w:p w14:paraId="4431CC10" w14:textId="3E9F86D3" w:rsidR="006836F8" w:rsidRPr="009E777C" w:rsidRDefault="006836F8" w:rsidP="00F317CA">
      <w:pPr>
        <w:pStyle w:val="DotPoint"/>
        <w:numPr>
          <w:ilvl w:val="0"/>
          <w:numId w:val="16"/>
        </w:numPr>
      </w:pPr>
      <w:r w:rsidRPr="009E777C">
        <w:t>Scheme statistics for each of the topic in scope (DSW</w:t>
      </w:r>
      <w:r w:rsidR="006E32FE" w:rsidRPr="009E777C">
        <w:t>-</w:t>
      </w:r>
      <w:r w:rsidRPr="009E777C">
        <w:t>related supports, therapy, plan management and support coordination). The statistics include the movements in terms of participant numbers and payments</w:t>
      </w:r>
      <w:r w:rsidR="00E261D5" w:rsidRPr="009E777C">
        <w:t xml:space="preserve"> made</w:t>
      </w:r>
      <w:r w:rsidRPr="009E777C">
        <w:t>.</w:t>
      </w:r>
    </w:p>
    <w:p w14:paraId="36FB191D" w14:textId="7C387A21" w:rsidR="006836F8" w:rsidRPr="009E777C" w:rsidRDefault="006836F8" w:rsidP="00F317CA">
      <w:pPr>
        <w:pStyle w:val="DotPoint"/>
        <w:numPr>
          <w:ilvl w:val="0"/>
          <w:numId w:val="16"/>
        </w:numPr>
      </w:pPr>
      <w:r w:rsidRPr="009E777C">
        <w:t>Analysing business dynamism of topic</w:t>
      </w:r>
      <w:r w:rsidR="000E0E7B" w:rsidRPr="009E777C">
        <w:t>s</w:t>
      </w:r>
      <w:r w:rsidRPr="009E777C">
        <w:t xml:space="preserve"> in scope, examining the number of provider entrants and exits as well as the general market dynamics. </w:t>
      </w:r>
    </w:p>
    <w:p w14:paraId="325EF42B" w14:textId="7060B646" w:rsidR="006836F8" w:rsidRPr="009E777C" w:rsidRDefault="006836F8" w:rsidP="00F317CA">
      <w:pPr>
        <w:pStyle w:val="DotPoint"/>
        <w:numPr>
          <w:ilvl w:val="0"/>
          <w:numId w:val="16"/>
        </w:numPr>
      </w:pPr>
      <w:r w:rsidRPr="009E777C">
        <w:t>Additional benchmarking analysis for therapy in terms of comparison to other government</w:t>
      </w:r>
      <w:r w:rsidR="00D55E76">
        <w:t xml:space="preserve"> insurance</w:t>
      </w:r>
      <w:r w:rsidRPr="009E777C">
        <w:t xml:space="preserve"> </w:t>
      </w:r>
      <w:r w:rsidR="009F4697" w:rsidRPr="009E777C">
        <w:t xml:space="preserve">and funding </w:t>
      </w:r>
      <w:r w:rsidRPr="009E777C">
        <w:t xml:space="preserve">schemes and private market </w:t>
      </w:r>
      <w:r w:rsidR="009F4697" w:rsidRPr="009E777C">
        <w:t xml:space="preserve">billing </w:t>
      </w:r>
      <w:r w:rsidRPr="009E777C">
        <w:t xml:space="preserve">rates. </w:t>
      </w:r>
    </w:p>
    <w:p w14:paraId="32BF3C8C" w14:textId="031CD17A" w:rsidR="006836F8" w:rsidRPr="009E777C" w:rsidRDefault="134E64E9" w:rsidP="006836F8">
      <w:pPr>
        <w:rPr>
          <w:rFonts w:eastAsia="SimHei" w:cs="Cordia New"/>
        </w:rPr>
      </w:pPr>
      <w:r w:rsidRPr="24862EB2">
        <w:rPr>
          <w:rFonts w:eastAsia="SimHei" w:cs="Cordia New"/>
        </w:rPr>
        <w:t xml:space="preserve">All these factors </w:t>
      </w:r>
      <w:r w:rsidR="000665A0">
        <w:rPr>
          <w:rFonts w:eastAsia="SimHei" w:cs="Cordia New"/>
        </w:rPr>
        <w:t>were considered in developing</w:t>
      </w:r>
      <w:r w:rsidRPr="24862EB2">
        <w:rPr>
          <w:rFonts w:eastAsia="SimHei" w:cs="Cordia New"/>
        </w:rPr>
        <w:t xml:space="preserve"> the </w:t>
      </w:r>
      <w:r w:rsidR="00BD72DD">
        <w:rPr>
          <w:rFonts w:eastAsia="SimHei" w:cs="Cordia New"/>
        </w:rPr>
        <w:t xml:space="preserve">2022-23 </w:t>
      </w:r>
      <w:r w:rsidRPr="24862EB2">
        <w:rPr>
          <w:rFonts w:eastAsia="SimHei" w:cs="Cordia New"/>
        </w:rPr>
        <w:t>APR recommendations to ensure the decisions are robust and evidence based.</w:t>
      </w:r>
    </w:p>
    <w:p w14:paraId="7BEB6548" w14:textId="77777777" w:rsidR="00383774" w:rsidRDefault="00383774" w:rsidP="00786D2A"/>
    <w:p w14:paraId="649B25A6" w14:textId="5A6FDB0F" w:rsidR="00E94826" w:rsidRPr="00F317CA" w:rsidRDefault="00E94826" w:rsidP="00F317CA">
      <w:pPr>
        <w:pStyle w:val="Heading2"/>
      </w:pPr>
      <w:bookmarkStart w:id="27" w:name="_Toc135405221"/>
      <w:r w:rsidRPr="00F317CA">
        <w:lastRenderedPageBreak/>
        <w:t xml:space="preserve">Domestic economic conditions </w:t>
      </w:r>
      <w:r w:rsidR="00874434" w:rsidRPr="00F317CA">
        <w:t>and</w:t>
      </w:r>
      <w:r w:rsidRPr="00F317CA">
        <w:t xml:space="preserve"> the care economy</w:t>
      </w:r>
      <w:bookmarkEnd w:id="27"/>
    </w:p>
    <w:p w14:paraId="53E8DCF0" w14:textId="264063D6" w:rsidR="00265995" w:rsidRPr="005B423C" w:rsidRDefault="00265995" w:rsidP="00D9646F">
      <w:pPr>
        <w:pStyle w:val="Heading3"/>
      </w:pPr>
      <w:r w:rsidRPr="005B423C">
        <w:t>3.1</w:t>
      </w:r>
      <w:r w:rsidRPr="005B423C">
        <w:tab/>
        <w:t>Outlook</w:t>
      </w:r>
    </w:p>
    <w:p w14:paraId="596EE5B5" w14:textId="2433A0EF" w:rsidR="007E336D" w:rsidRPr="005F0E25" w:rsidRDefault="2A8A299D" w:rsidP="0012316C">
      <w:r w:rsidRPr="005F0E25">
        <w:t xml:space="preserve">While Australia has </w:t>
      </w:r>
      <w:r w:rsidR="006400F5" w:rsidRPr="005F0E25">
        <w:t>withstood</w:t>
      </w:r>
      <w:r w:rsidRPr="005F0E25">
        <w:t xml:space="preserve"> the </w:t>
      </w:r>
      <w:r w:rsidR="006400F5">
        <w:t xml:space="preserve">impacts of the global </w:t>
      </w:r>
      <w:r w:rsidRPr="005F0E25">
        <w:t xml:space="preserve">pandemic, it is not immune to the intensifying global challenges. While the </w:t>
      </w:r>
      <w:r w:rsidR="006400F5">
        <w:t xml:space="preserve">national </w:t>
      </w:r>
      <w:r w:rsidRPr="005F0E25">
        <w:t>economy is forecast to grow by 3.25% in 2022–23, the weaker global outlook, high inflation, cost-of-living pressures, and higher interest rates are expected to slow growth to 1.5% in 2023–24</w:t>
      </w:r>
      <w:r w:rsidR="05B65F42" w:rsidRPr="005F0E25">
        <w:t>.</w:t>
      </w:r>
      <w:r w:rsidR="00E034D8">
        <w:rPr>
          <w:rStyle w:val="FootnoteReference"/>
        </w:rPr>
        <w:footnoteReference w:id="4"/>
      </w:r>
    </w:p>
    <w:p w14:paraId="604641B3" w14:textId="17752430" w:rsidR="00493FEE" w:rsidRPr="00B0044A" w:rsidRDefault="10A01C0F" w:rsidP="00AE71F2">
      <w:r w:rsidRPr="6879FC30">
        <w:t>The</w:t>
      </w:r>
      <w:r w:rsidR="2279F5C6" w:rsidRPr="6879FC30">
        <w:t xml:space="preserve"> National Disability Insurance Scheme (</w:t>
      </w:r>
      <w:r w:rsidRPr="6879FC30">
        <w:t>NDIS</w:t>
      </w:r>
      <w:r w:rsidR="2279F5C6">
        <w:rPr>
          <w:szCs w:val="22"/>
        </w:rPr>
        <w:t>)</w:t>
      </w:r>
      <w:r w:rsidRPr="6879FC30">
        <w:t xml:space="preserve"> exists within the broader care economy</w:t>
      </w:r>
      <w:r w:rsidR="2FFBCB52" w:rsidRPr="6879FC30">
        <w:t>, which</w:t>
      </w:r>
      <w:r w:rsidRPr="6879FC30">
        <w:t xml:space="preserve"> includes services that provide support to people with disabilities across various ages</w:t>
      </w:r>
      <w:r w:rsidR="60BD57A6" w:rsidRPr="6879FC30">
        <w:t xml:space="preserve">, as well as </w:t>
      </w:r>
      <w:r w:rsidR="47254DC2" w:rsidRPr="6879FC30">
        <w:t xml:space="preserve">early </w:t>
      </w:r>
      <w:r w:rsidR="60BD57A6" w:rsidRPr="6879FC30">
        <w:t>child</w:t>
      </w:r>
      <w:r w:rsidR="47254DC2" w:rsidRPr="6879FC30">
        <w:t>hood</w:t>
      </w:r>
      <w:r w:rsidR="60BD57A6" w:rsidRPr="6879FC30">
        <w:t xml:space="preserve"> and aged care</w:t>
      </w:r>
      <w:r w:rsidRPr="00B0044A">
        <w:rPr>
          <w:szCs w:val="22"/>
        </w:rPr>
        <w:t xml:space="preserve">. </w:t>
      </w:r>
      <w:r w:rsidR="47254DC2" w:rsidRPr="6879FC30">
        <w:t>C</w:t>
      </w:r>
      <w:r w:rsidRPr="6879FC30">
        <w:t>are economy</w:t>
      </w:r>
      <w:r w:rsidR="47254DC2" w:rsidRPr="6879FC30">
        <w:t xml:space="preserve"> services are</w:t>
      </w:r>
      <w:r w:rsidRPr="6879FC30">
        <w:t xml:space="preserve"> delivered by a complex network of businesses, </w:t>
      </w:r>
      <w:r w:rsidR="0B6C993D" w:rsidRPr="6879FC30">
        <w:t xml:space="preserve">Government </w:t>
      </w:r>
      <w:r w:rsidR="29C35F70" w:rsidRPr="6879FC30">
        <w:t>and</w:t>
      </w:r>
      <w:r w:rsidRPr="6879FC30">
        <w:t xml:space="preserve"> Non-Government Organisations (NGOs), and individual workers. Care economy workers are employed across a diverse set of occupations at different skill levels. Often different segments of the care economy compete for workers.</w:t>
      </w:r>
      <w:r w:rsidR="00E034D8">
        <w:rPr>
          <w:rStyle w:val="FootnoteReference"/>
        </w:rPr>
        <w:footnoteReference w:id="5"/>
      </w:r>
      <w:r w:rsidRPr="00B0044A">
        <w:rPr>
          <w:szCs w:val="22"/>
        </w:rPr>
        <w:t xml:space="preserve"> </w:t>
      </w:r>
    </w:p>
    <w:p w14:paraId="02536538" w14:textId="049B112E" w:rsidR="00493FEE" w:rsidRDefault="6C2DFDB1" w:rsidP="00AE71F2">
      <w:r w:rsidRPr="6879FC30">
        <w:t>Expenditure on the NDIS has grown rapidly since 2016. As of 202</w:t>
      </w:r>
      <w:r w:rsidR="33D80592" w:rsidRPr="6879FC30">
        <w:t>1</w:t>
      </w:r>
      <w:r w:rsidRPr="6879FC30">
        <w:t>-2</w:t>
      </w:r>
      <w:r w:rsidR="33D80592" w:rsidRPr="6879FC30">
        <w:t>2</w:t>
      </w:r>
      <w:r w:rsidRPr="6879FC30">
        <w:t>, the NDIS had outstripped expenditure on Medicare</w:t>
      </w:r>
      <w:r w:rsidR="15F9F8C8" w:rsidRPr="6879FC30">
        <w:t xml:space="preserve"> and Aged Care</w:t>
      </w:r>
      <w:r w:rsidR="33D80592" w:rsidRPr="6879FC30">
        <w:t>. In 2022</w:t>
      </w:r>
      <w:r w:rsidR="15F9F8C8">
        <w:rPr>
          <w:szCs w:val="22"/>
        </w:rPr>
        <w:t>-</w:t>
      </w:r>
      <w:r w:rsidR="33D80592" w:rsidRPr="6879FC30">
        <w:t>23</w:t>
      </w:r>
      <w:r w:rsidRPr="00B0044A">
        <w:rPr>
          <w:szCs w:val="22"/>
        </w:rPr>
        <w:t xml:space="preserve"> </w:t>
      </w:r>
      <w:r w:rsidR="33D80592" w:rsidRPr="6879FC30">
        <w:t>the NDIS spend was</w:t>
      </w:r>
      <w:r w:rsidRPr="6879FC30">
        <w:t xml:space="preserve"> $3</w:t>
      </w:r>
      <w:r w:rsidR="33D80592" w:rsidRPr="6879FC30">
        <w:t>6</w:t>
      </w:r>
      <w:r w:rsidRPr="00B0044A">
        <w:rPr>
          <w:szCs w:val="22"/>
        </w:rPr>
        <w:t>.</w:t>
      </w:r>
      <w:r w:rsidR="33D80592" w:rsidRPr="6879FC30">
        <w:t>6</w:t>
      </w:r>
      <w:r w:rsidRPr="6879FC30">
        <w:t xml:space="preserve"> billion (or 1.4</w:t>
      </w:r>
      <w:r w:rsidR="69EB07A6" w:rsidRPr="6879FC30">
        <w:t>4</w:t>
      </w:r>
      <w:r w:rsidRPr="6879FC30">
        <w:t xml:space="preserve">% of </w:t>
      </w:r>
      <w:r w:rsidR="642829AE" w:rsidRPr="6879FC30">
        <w:t>Gross Domestic Product (</w:t>
      </w:r>
      <w:r w:rsidRPr="6879FC30">
        <w:t>GDP</w:t>
      </w:r>
      <w:r w:rsidR="7B1B04B2" w:rsidRPr="00FF350F" w:rsidDel="6C2DFDB1">
        <w:rPr>
          <w:szCs w:val="22"/>
        </w:rPr>
        <w:t>)</w:t>
      </w:r>
      <w:r w:rsidR="15F9F8C8" w:rsidRPr="00FF350F">
        <w:rPr>
          <w:szCs w:val="22"/>
        </w:rPr>
        <w:t xml:space="preserve">. </w:t>
      </w:r>
      <w:r w:rsidRPr="6879FC30">
        <w:t>The 202</w:t>
      </w:r>
      <w:r w:rsidR="15F9F8C8" w:rsidRPr="6879FC30">
        <w:t>3</w:t>
      </w:r>
      <w:r w:rsidRPr="6879FC30">
        <w:t>-2</w:t>
      </w:r>
      <w:r w:rsidR="15F9F8C8" w:rsidRPr="6879FC30">
        <w:t>4</w:t>
      </w:r>
      <w:r w:rsidRPr="6879FC30">
        <w:t xml:space="preserve"> Federal budget projects expenditure on the NDIS will reach $5</w:t>
      </w:r>
      <w:r w:rsidR="15F9F8C8" w:rsidRPr="6879FC30">
        <w:t>5</w:t>
      </w:r>
      <w:r w:rsidRPr="00FF350F">
        <w:rPr>
          <w:szCs w:val="22"/>
        </w:rPr>
        <w:t>.</w:t>
      </w:r>
      <w:r w:rsidR="15F9F8C8" w:rsidRPr="6879FC30">
        <w:t>9</w:t>
      </w:r>
      <w:r w:rsidRPr="6879FC30">
        <w:t xml:space="preserve"> billion in 202</w:t>
      </w:r>
      <w:r w:rsidR="15F9F8C8" w:rsidRPr="6879FC30">
        <w:t>6</w:t>
      </w:r>
      <w:r w:rsidRPr="6879FC30">
        <w:t>-2</w:t>
      </w:r>
      <w:r w:rsidR="15F9F8C8" w:rsidRPr="6879FC30">
        <w:t>7</w:t>
      </w:r>
      <w:r w:rsidRPr="6879FC30">
        <w:t xml:space="preserve"> (or 1.9</w:t>
      </w:r>
      <w:r w:rsidR="69EB07A6" w:rsidRPr="6879FC30">
        <w:t>1</w:t>
      </w:r>
      <w:r w:rsidRPr="6879FC30">
        <w:t xml:space="preserve">% of </w:t>
      </w:r>
      <w:r w:rsidR="08ADD277" w:rsidRPr="6879FC30">
        <w:t>GDP)</w:t>
      </w:r>
      <w:r w:rsidRPr="00FF350F">
        <w:rPr>
          <w:szCs w:val="22"/>
        </w:rPr>
        <w:t>.</w:t>
      </w:r>
      <w:r w:rsidR="00D90165" w:rsidRPr="42182310">
        <w:rPr>
          <w:rStyle w:val="EndnoteReference"/>
        </w:rPr>
        <w:t xml:space="preserve"> </w:t>
      </w:r>
      <w:r w:rsidR="00E034D8">
        <w:rPr>
          <w:rStyle w:val="FootnoteReference"/>
        </w:rPr>
        <w:footnoteReference w:id="6"/>
      </w:r>
      <w:r w:rsidR="3FBC5FD5" w:rsidRPr="6879FC30">
        <w:t>T</w:t>
      </w:r>
      <w:r w:rsidR="54657C66" w:rsidRPr="6879FC30">
        <w:t>otal</w:t>
      </w:r>
      <w:r w:rsidR="3FBC5FD5" w:rsidRPr="6879FC30">
        <w:t xml:space="preserve"> NDIS </w:t>
      </w:r>
      <w:r w:rsidR="54657C66" w:rsidRPr="6879FC30">
        <w:t xml:space="preserve">expenditure </w:t>
      </w:r>
      <w:r w:rsidR="055E493E" w:rsidRPr="6879FC30">
        <w:t>is</w:t>
      </w:r>
      <w:r w:rsidR="3FBC5FD5" w:rsidRPr="006823F3">
        <w:rPr>
          <w:szCs w:val="22"/>
        </w:rPr>
        <w:t xml:space="preserve"> </w:t>
      </w:r>
      <w:r w:rsidR="54657C66" w:rsidRPr="6879FC30">
        <w:t>expected</w:t>
      </w:r>
      <w:r w:rsidR="3FBC5FD5" w:rsidRPr="6879FC30">
        <w:t xml:space="preserve"> to grow </w:t>
      </w:r>
      <w:r w:rsidR="54657C66" w:rsidRPr="6879FC30">
        <w:t xml:space="preserve">at a faster rate than </w:t>
      </w:r>
      <w:r w:rsidR="0552B8C5" w:rsidRPr="6879FC30">
        <w:t>Government</w:t>
      </w:r>
      <w:r w:rsidR="3FBC5FD5" w:rsidRPr="006823F3">
        <w:rPr>
          <w:szCs w:val="22"/>
        </w:rPr>
        <w:t xml:space="preserve"> </w:t>
      </w:r>
      <w:r w:rsidR="055E493E" w:rsidRPr="6879FC30">
        <w:t>spe</w:t>
      </w:r>
      <w:r w:rsidR="0552B8C5" w:rsidRPr="6879FC30">
        <w:t>nding on the</w:t>
      </w:r>
      <w:r w:rsidR="3FBC5FD5" w:rsidRPr="006823F3">
        <w:rPr>
          <w:szCs w:val="22"/>
        </w:rPr>
        <w:t xml:space="preserve"> </w:t>
      </w:r>
      <w:r w:rsidR="0552B8C5" w:rsidRPr="6879FC30">
        <w:t>P</w:t>
      </w:r>
      <w:r w:rsidR="3FBC5FD5" w:rsidRPr="6879FC30">
        <w:t xml:space="preserve">ension, Medicare, </w:t>
      </w:r>
      <w:r w:rsidR="0552B8C5" w:rsidRPr="6879FC30">
        <w:t>A</w:t>
      </w:r>
      <w:r w:rsidR="3FBC5FD5" w:rsidRPr="6879FC30">
        <w:t xml:space="preserve">ged </w:t>
      </w:r>
      <w:r w:rsidR="0552B8C5" w:rsidRPr="6879FC30">
        <w:t>C</w:t>
      </w:r>
      <w:r w:rsidR="3FBC5FD5" w:rsidRPr="6879FC30">
        <w:t>are</w:t>
      </w:r>
      <w:r w:rsidR="642829AE">
        <w:rPr>
          <w:szCs w:val="22"/>
        </w:rPr>
        <w:t>,</w:t>
      </w:r>
      <w:r w:rsidR="3FBC5FD5" w:rsidRPr="6879FC30">
        <w:t xml:space="preserve"> and the </w:t>
      </w:r>
      <w:r w:rsidR="0552B8C5" w:rsidRPr="6879FC30">
        <w:t>P</w:t>
      </w:r>
      <w:r w:rsidR="3FBC5FD5" w:rsidRPr="6879FC30">
        <w:t xml:space="preserve">harmaceutical </w:t>
      </w:r>
      <w:r w:rsidR="0552B8C5" w:rsidRPr="6879FC30">
        <w:t>B</w:t>
      </w:r>
      <w:r w:rsidR="3FBC5FD5" w:rsidRPr="6879FC30">
        <w:t xml:space="preserve">enefits </w:t>
      </w:r>
      <w:r w:rsidR="0552B8C5" w:rsidRPr="6879FC30">
        <w:t>S</w:t>
      </w:r>
      <w:r w:rsidR="3FBC5FD5" w:rsidRPr="6879FC30">
        <w:t>cheme (PBS)</w:t>
      </w:r>
      <w:r w:rsidR="3FBC5FD5">
        <w:rPr>
          <w:szCs w:val="22"/>
        </w:rPr>
        <w:t xml:space="preserve"> (</w:t>
      </w:r>
      <w:r w:rsidR="00460C7C">
        <w:rPr>
          <w:szCs w:val="22"/>
        </w:rPr>
        <w:fldChar w:fldCharType="begin"/>
      </w:r>
      <w:r w:rsidR="00460C7C">
        <w:rPr>
          <w:szCs w:val="22"/>
        </w:rPr>
        <w:instrText xml:space="preserve"> REF _Ref132889952 \h </w:instrText>
      </w:r>
      <w:r w:rsidR="00460C7C">
        <w:rPr>
          <w:szCs w:val="22"/>
        </w:rPr>
      </w:r>
      <w:r w:rsidR="00460C7C">
        <w:rPr>
          <w:szCs w:val="22"/>
        </w:rPr>
        <w:fldChar w:fldCharType="separate"/>
      </w:r>
      <w:r w:rsidR="00D64E4C">
        <w:t xml:space="preserve">Figure </w:t>
      </w:r>
      <w:r w:rsidR="00D64E4C">
        <w:rPr>
          <w:noProof/>
        </w:rPr>
        <w:t>3</w:t>
      </w:r>
      <w:r w:rsidR="00460C7C">
        <w:rPr>
          <w:szCs w:val="22"/>
        </w:rPr>
        <w:fldChar w:fldCharType="end"/>
      </w:r>
      <w:r w:rsidR="3FBC5FD5">
        <w:rPr>
          <w:szCs w:val="22"/>
        </w:rPr>
        <w:t>)</w:t>
      </w:r>
      <w:r w:rsidR="3FBC5FD5" w:rsidRPr="006823F3">
        <w:rPr>
          <w:szCs w:val="22"/>
        </w:rPr>
        <w:t>.</w:t>
      </w:r>
    </w:p>
    <w:p w14:paraId="0663095D" w14:textId="472BB7A9" w:rsidR="00D03EAD" w:rsidRPr="00B0044A" w:rsidRDefault="00E94826" w:rsidP="00DC3CE4">
      <w:pPr>
        <w:pStyle w:val="Caption"/>
      </w:pPr>
      <w:bookmarkStart w:id="28" w:name="_Ref132889952"/>
      <w:bookmarkStart w:id="29" w:name="_Ref132889938"/>
      <w:r>
        <w:t xml:space="preserve">Figure </w:t>
      </w:r>
      <w:r>
        <w:rPr>
          <w:b w:val="0"/>
          <w:caps w:val="0"/>
        </w:rPr>
        <w:fldChar w:fldCharType="begin"/>
      </w:r>
      <w:r>
        <w:instrText>SEQ Figure \* ARABIC</w:instrText>
      </w:r>
      <w:r>
        <w:rPr>
          <w:b w:val="0"/>
          <w:caps w:val="0"/>
        </w:rPr>
        <w:fldChar w:fldCharType="separate"/>
      </w:r>
      <w:r w:rsidR="00D64E4C">
        <w:rPr>
          <w:noProof/>
        </w:rPr>
        <w:t>3</w:t>
      </w:r>
      <w:r>
        <w:rPr>
          <w:b w:val="0"/>
          <w:caps w:val="0"/>
        </w:rPr>
        <w:fldChar w:fldCharType="end"/>
      </w:r>
      <w:bookmarkEnd w:id="28"/>
      <w:r w:rsidR="00CD2350">
        <w:t>:</w:t>
      </w:r>
      <w:r>
        <w:t xml:space="preserve"> </w:t>
      </w:r>
      <w:r w:rsidRPr="006A3819">
        <w:t xml:space="preserve">Federal Government Expenditure on Healthcare and Social Service industries from 2016-17 to projected </w:t>
      </w:r>
      <w:bookmarkEnd w:id="29"/>
      <w:r w:rsidRPr="006A3819">
        <w:t>202</w:t>
      </w:r>
      <w:r w:rsidR="00F31F80">
        <w:t>6</w:t>
      </w:r>
      <w:r w:rsidRPr="006A3819">
        <w:t>-2</w:t>
      </w:r>
      <w:r w:rsidR="00F31F80">
        <w:t>7</w:t>
      </w:r>
      <w:r w:rsidRPr="006A3819">
        <w:t>.</w:t>
      </w:r>
    </w:p>
    <w:p w14:paraId="4E1B0403" w14:textId="36F94960" w:rsidR="00F31F80" w:rsidRPr="00B0044A" w:rsidRDefault="353E3E8A" w:rsidP="00B44E64">
      <w:pPr>
        <w:jc w:val="center"/>
      </w:pPr>
      <w:r>
        <w:rPr>
          <w:noProof/>
        </w:rPr>
        <w:drawing>
          <wp:inline distT="0" distB="0" distL="0" distR="0" wp14:anchorId="63E1A857" wp14:editId="39CB8738">
            <wp:extent cx="5740400" cy="3023235"/>
            <wp:effectExtent l="0" t="0" r="0" b="5715"/>
            <wp:docPr id="42" name="Picture 42" descr="FIGURE 3: FEDERAL GOVERNMENT EXPENDITURE ON HEALTHCARE AND SOCIAL SERVICE INDUSTRIES FROM 2016-17 TO PROJECTED 2026-27.&#10;&#10;Since commencing in 2016 total expenditure on the NDIS has risen quickly. By 2020 NDIS expenditure had overtaken expenditure on the Prescription Benefits Scheme and Aged Care. By the start of 2023 NDIS expenditure had overtaken expenditure on Medicare. Expenditure in the latest financial year of 2022/23 is expected to be around $36.7 billion and is projected to continue to rise at a fast pace, reaching more than $55 billion by 2026/27. However, this is still below expenditure on the pen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3: FEDERAL GOVERNMENT EXPENDITURE ON HEALTHCARE AND SOCIAL SERVICE INDUSTRIES FROM 2016-17 TO PROJECTED 2026-27.&#10;&#10;Since commencing in 2016 total expenditure on the NDIS has risen quickly. By 2020 NDIS expenditure had overtaken expenditure on the Prescription Benefits Scheme and Aged Care. By the start of 2023 NDIS expenditure had overtaken expenditure on Medicare. Expenditure in the latest financial year of 2022/23 is expected to be around $36.7 billion and is projected to continue to rise at a fast pace, reaching more than $55 billion by 2026/27. However, this is still below expenditure on the pension.   "/>
                    <pic:cNvPicPr/>
                  </pic:nvPicPr>
                  <pic:blipFill rotWithShape="1">
                    <a:blip r:embed="rId19" cstate="print">
                      <a:extLst>
                        <a:ext uri="{28A0092B-C50C-407E-A947-70E740481C1C}">
                          <a14:useLocalDpi xmlns:a14="http://schemas.microsoft.com/office/drawing/2010/main" val="0"/>
                        </a:ext>
                      </a:extLst>
                    </a:blip>
                    <a:srcRect b="2267"/>
                    <a:stretch/>
                  </pic:blipFill>
                  <pic:spPr bwMode="auto">
                    <a:xfrm>
                      <a:off x="0" y="0"/>
                      <a:ext cx="5748810" cy="3027664"/>
                    </a:xfrm>
                    <a:prstGeom prst="rect">
                      <a:avLst/>
                    </a:prstGeom>
                    <a:ln>
                      <a:noFill/>
                    </a:ln>
                    <a:extLst>
                      <a:ext uri="{53640926-AAD7-44D8-BBD7-CCE9431645EC}">
                        <a14:shadowObscured xmlns:a14="http://schemas.microsoft.com/office/drawing/2010/main"/>
                      </a:ext>
                    </a:extLst>
                  </pic:spPr>
                </pic:pic>
              </a:graphicData>
            </a:graphic>
          </wp:inline>
        </w:drawing>
      </w:r>
    </w:p>
    <w:p w14:paraId="366742E4" w14:textId="5C0034B5" w:rsidR="00E94826" w:rsidRPr="002A32F2" w:rsidRDefault="1CF1DB00" w:rsidP="24862EB2">
      <w:pPr>
        <w:rPr>
          <w:color w:val="FF0000"/>
        </w:rPr>
      </w:pPr>
      <w:r w:rsidRPr="6879FC30">
        <w:lastRenderedPageBreak/>
        <w:t xml:space="preserve">Internationally, Australian public spending on disability, as captured by the </w:t>
      </w:r>
      <w:r w:rsidRPr="24862EB2">
        <w:rPr>
          <w:rFonts w:asciiTheme="minorHAnsi" w:hAnsiTheme="minorHAnsi"/>
        </w:rPr>
        <w:t>Organization for Economic Cooperation and Development (OECD)</w:t>
      </w:r>
      <w:r w:rsidRPr="6879FC30">
        <w:t>, sits at 2.9</w:t>
      </w:r>
      <w:r>
        <w:rPr>
          <w:szCs w:val="22"/>
        </w:rPr>
        <w:t>%</w:t>
      </w:r>
      <w:r w:rsidRPr="6879FC30">
        <w:t xml:space="preserve"> of GDP</w:t>
      </w:r>
      <w:r w:rsidR="00E034D8">
        <w:rPr>
          <w:rStyle w:val="FootnoteReference"/>
        </w:rPr>
        <w:footnoteReference w:id="7"/>
      </w:r>
      <w:r w:rsidRPr="6879FC30">
        <w:t>, the 8</w:t>
      </w:r>
      <w:r w:rsidRPr="00651F9F">
        <w:rPr>
          <w:vertAlign w:val="superscript"/>
        </w:rPr>
        <w:t>th</w:t>
      </w:r>
      <w:r w:rsidRPr="6879FC30">
        <w:t xml:space="preserve"> highest of 38 OECD countries. The OECD captures this information under “spending on incapacity</w:t>
      </w:r>
      <w:bookmarkStart w:id="30" w:name="_Int_vhIQ3bv0"/>
      <w:r w:rsidRPr="6879FC30">
        <w:t>”,</w:t>
      </w:r>
      <w:bookmarkEnd w:id="30"/>
      <w:r w:rsidRPr="6879FC30">
        <w:t xml:space="preserve"> which refers to public spending due to sickness, disability, and occupational injury. The highest public spending in this category </w:t>
      </w:r>
      <w:r w:rsidR="75C2E1AA" w:rsidRPr="6879FC30">
        <w:t>is</w:t>
      </w:r>
      <w:r w:rsidRPr="6879FC30">
        <w:t xml:space="preserve"> in Denmark and Norway, which each spend 4.5% of GDP. </w:t>
      </w:r>
      <w:r w:rsidR="4606A2ED" w:rsidRPr="6879FC30">
        <w:t>T</w:t>
      </w:r>
      <w:r w:rsidR="0D16BFA3" w:rsidRPr="6879FC30">
        <w:t>his</w:t>
      </w:r>
      <w:r w:rsidRPr="6879FC30">
        <w:t xml:space="preserve"> is above Australia’s ranking of 11</w:t>
      </w:r>
      <w:r w:rsidRPr="00651F9F">
        <w:rPr>
          <w:vertAlign w:val="superscript"/>
        </w:rPr>
        <w:t>th</w:t>
      </w:r>
      <w:r w:rsidRPr="6879FC30">
        <w:t xml:space="preserve"> on health expenditure out of 28 OECD countries.</w:t>
      </w:r>
      <w:r>
        <w:rPr>
          <w:color w:val="FF0000"/>
        </w:rPr>
        <w:t xml:space="preserve"> </w:t>
      </w:r>
    </w:p>
    <w:p w14:paraId="249D2EF2" w14:textId="2D342306" w:rsidR="00E94826" w:rsidRPr="00B0044A" w:rsidRDefault="58F98FBF" w:rsidP="24862EB2">
      <w:r>
        <w:t xml:space="preserve">Gross Value Add (GVA) measures the economic output of an industry or sector, where the </w:t>
      </w:r>
      <w:r w:rsidR="57A2274C">
        <w:t>Healthcare and Social Assistance (</w:t>
      </w:r>
      <w:r>
        <w:t>HCSA</w:t>
      </w:r>
      <w:r w:rsidR="57A2274C">
        <w:t>)</w:t>
      </w:r>
      <w:r>
        <w:t xml:space="preserve"> sector consistently outperforms the rest of the economy </w:t>
      </w:r>
      <w:r w:rsidR="300A7D3E">
        <w:t xml:space="preserve">over </w:t>
      </w:r>
      <w:r>
        <w:t>recent years</w:t>
      </w:r>
      <w:r w:rsidR="00E50A28">
        <w:t xml:space="preserve"> in term of annual </w:t>
      </w:r>
      <w:r w:rsidR="300A7D3E">
        <w:t xml:space="preserve">average </w:t>
      </w:r>
      <w:r w:rsidR="00E50A28">
        <w:t>growth (</w:t>
      </w:r>
      <w:fldSimple w:instr=" REF _Ref132890028 ">
        <w:r w:rsidR="00D64E4C">
          <w:t xml:space="preserve">Figure </w:t>
        </w:r>
        <w:r w:rsidR="00D64E4C">
          <w:rPr>
            <w:noProof/>
          </w:rPr>
          <w:t>4</w:t>
        </w:r>
      </w:fldSimple>
      <w:r w:rsidR="300A7D3E">
        <w:t xml:space="preserve">). </w:t>
      </w:r>
      <w:r w:rsidR="483D268F">
        <w:t xml:space="preserve">Due to their ‘non-discretionary’ nature, the demand for health care and social assistance is </w:t>
      </w:r>
      <w:bookmarkStart w:id="31" w:name="_Int_TMgkxMDd"/>
      <w:r w:rsidR="483D268F">
        <w:t xml:space="preserve">relatively </w:t>
      </w:r>
      <w:r w:rsidR="6DA183F0">
        <w:t>in</w:t>
      </w:r>
      <w:r w:rsidR="483D268F">
        <w:t>elastic</w:t>
      </w:r>
      <w:bookmarkEnd w:id="31"/>
      <w:r w:rsidR="483D268F">
        <w:t xml:space="preserve">, meaning the HCSA industry is less likely to be as heavily impacted by economic shocks. </w:t>
      </w:r>
      <w:r w:rsidR="4782CC97">
        <w:t>Whilst o</w:t>
      </w:r>
      <w:r>
        <w:t>utput and employment growth did not turn negative during the pandemic for the HCSA sector</w:t>
      </w:r>
      <w:r w:rsidR="4782CC97">
        <w:t xml:space="preserve">, they are not fully immune to the general economic downturn. </w:t>
      </w:r>
    </w:p>
    <w:p w14:paraId="5E2DB8A5" w14:textId="636AE61A" w:rsidR="00E94826" w:rsidRPr="00B0044A" w:rsidRDefault="00CD2350" w:rsidP="00CD2350">
      <w:pPr>
        <w:pStyle w:val="Caption"/>
        <w:rPr>
          <w:szCs w:val="22"/>
        </w:rPr>
      </w:pPr>
      <w:bookmarkStart w:id="32" w:name="_Ref132890028"/>
      <w:r>
        <w:t xml:space="preserve">Figure </w:t>
      </w:r>
      <w:r>
        <w:fldChar w:fldCharType="begin"/>
      </w:r>
      <w:r>
        <w:instrText>SEQ Figure \* ARABIC</w:instrText>
      </w:r>
      <w:r>
        <w:fldChar w:fldCharType="separate"/>
      </w:r>
      <w:r w:rsidR="00D64E4C">
        <w:rPr>
          <w:noProof/>
        </w:rPr>
        <w:t>4</w:t>
      </w:r>
      <w:r>
        <w:fldChar w:fldCharType="end"/>
      </w:r>
      <w:bookmarkEnd w:id="32"/>
      <w:r>
        <w:t xml:space="preserve">: </w:t>
      </w:r>
      <w:r w:rsidR="006D4812">
        <w:t xml:space="preserve">Moving Annual Average Growth of gross value add for healthcare and social assistance sector compared to </w:t>
      </w:r>
      <w:r w:rsidR="0096492D">
        <w:t xml:space="preserve">Average of </w:t>
      </w:r>
      <w:r w:rsidR="006D4812">
        <w:t>all industries</w:t>
      </w:r>
      <w:r w:rsidR="009C69B7">
        <w:rPr>
          <w:szCs w:val="22"/>
        </w:rPr>
        <w:t xml:space="preserve"> </w:t>
      </w:r>
    </w:p>
    <w:p w14:paraId="31F02CB9" w14:textId="673255D5" w:rsidR="00E94826" w:rsidRPr="00B0044A" w:rsidDel="00CE531F" w:rsidRDefault="001552B0" w:rsidP="00884F18">
      <w:pPr>
        <w:jc w:val="center"/>
        <w:rPr>
          <w:szCs w:val="22"/>
        </w:rPr>
      </w:pPr>
      <w:r>
        <w:rPr>
          <w:noProof/>
          <w:szCs w:val="22"/>
        </w:rPr>
        <w:drawing>
          <wp:inline distT="0" distB="0" distL="0" distR="0" wp14:anchorId="783D84D2" wp14:editId="67FC5F24">
            <wp:extent cx="5419725" cy="2524125"/>
            <wp:effectExtent l="0" t="0" r="0" b="0"/>
            <wp:docPr id="28" name="Picture 28" descr="FIGURE 4: MOVING ANNUAL AVERAGE GROWTH OF GROSS VALUE ADD FOR HEALTHCARE AND SOCIAL ASSISTANCE SECTOR COMPARED TO AVERAGE OF ALL INDUSTRIES &#10;&#10;&#10;Since 2007 Gross Value Added (a measure of output) in the Healthcare and Social Assistance industry has grown at a faster pace than Gross Value Added for all industries combined. During the pandemic GVA annual growth in Healthcare and Social Assistance decline from over 7 percent to below 2 per cent. However unlike total GVA growth, it did not turn negat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4: MOVING ANNUAL AVERAGE GROWTH OF GROSS VALUE ADD FOR HEALTHCARE AND SOCIAL ASSISTANCE SECTOR COMPARED TO AVERAGE OF ALL INDUSTRIES &#10;&#10;&#10;Since 2007 Gross Value Added (a measure of output) in the Healthcare and Social Assistance industry has grown at a faster pace than Gross Value Added for all industries combined. During the pandemic GVA annual growth in Healthcare and Social Assistance decline from over 7 percent to below 2 per cent. However unlike total GVA growth, it did not turn negativ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9725" cy="2524125"/>
                    </a:xfrm>
                    <a:prstGeom prst="rect">
                      <a:avLst/>
                    </a:prstGeom>
                    <a:noFill/>
                  </pic:spPr>
                </pic:pic>
              </a:graphicData>
            </a:graphic>
          </wp:inline>
        </w:drawing>
      </w:r>
    </w:p>
    <w:p w14:paraId="6B971BC7" w14:textId="0B320BB5" w:rsidR="00F948FC" w:rsidRPr="00C24372" w:rsidRDefault="00F948FC" w:rsidP="00D9646F">
      <w:pPr>
        <w:pStyle w:val="Heading3"/>
      </w:pPr>
      <w:r w:rsidRPr="00C24372">
        <w:t>3.2</w:t>
      </w:r>
      <w:r w:rsidRPr="00C24372">
        <w:tab/>
        <w:t>Inflationary pressures</w:t>
      </w:r>
    </w:p>
    <w:p w14:paraId="55C07319" w14:textId="24B5C018" w:rsidR="000E3D7E" w:rsidRPr="00B0044A" w:rsidRDefault="6B09CFE1" w:rsidP="003F1D74">
      <w:r>
        <w:t>One of the key challenges facing the economy is</w:t>
      </w:r>
      <w:r w:rsidR="6EA4339A">
        <w:t xml:space="preserve"> inflationary pressures </w:t>
      </w:r>
      <w:r w:rsidR="181D7E02">
        <w:t xml:space="preserve">where the Australian economy has experienced a sharp rise in the cost of living, with inflation rising to </w:t>
      </w:r>
      <w:r w:rsidR="006400F5">
        <w:t xml:space="preserve">a </w:t>
      </w:r>
      <w:r w:rsidR="181D7E02">
        <w:t xml:space="preserve">multi-decade high post pandemic. </w:t>
      </w:r>
      <w:r w:rsidR="16E3E8D4">
        <w:t>T</w:t>
      </w:r>
      <w:r w:rsidR="181D7E02">
        <w:t>his can lead to increasing cost pressures on providers delivering supports to NDIS participants, such as energy, supply chain</w:t>
      </w:r>
      <w:r w:rsidR="36143443">
        <w:t>,</w:t>
      </w:r>
      <w:r w:rsidR="181D7E02">
        <w:t xml:space="preserve"> </w:t>
      </w:r>
      <w:bookmarkStart w:id="33" w:name="_Int_Gmbihhxy"/>
      <w:r w:rsidR="181D7E02">
        <w:t>logistics</w:t>
      </w:r>
      <w:bookmarkEnd w:id="33"/>
      <w:r w:rsidR="31427FF4">
        <w:t xml:space="preserve">, increased interest </w:t>
      </w:r>
      <w:r w:rsidR="5308B2D4">
        <w:t>rate</w:t>
      </w:r>
      <w:r w:rsidR="62F1C181">
        <w:t>s</w:t>
      </w:r>
      <w:r w:rsidR="181D7E02">
        <w:t xml:space="preserve"> and property costs. This </w:t>
      </w:r>
      <w:r w:rsidR="20B82AD3">
        <w:t xml:space="preserve">could </w:t>
      </w:r>
      <w:r w:rsidR="181D7E02">
        <w:t>negatively impact the availability and quality of goods and services provided</w:t>
      </w:r>
      <w:r w:rsidR="1F6AA1DF">
        <w:t xml:space="preserve"> as the cost of </w:t>
      </w:r>
      <w:r w:rsidR="7450B26D">
        <w:t>providing goods and services increases</w:t>
      </w:r>
      <w:r w:rsidR="181D7E02">
        <w:t xml:space="preserve">. </w:t>
      </w:r>
    </w:p>
    <w:p w14:paraId="3FA01C02" w14:textId="051E9A62" w:rsidR="0082527B" w:rsidRPr="00B0044A" w:rsidRDefault="6B09CFE1" w:rsidP="24862EB2">
      <w:r w:rsidRPr="24862EB2">
        <w:t xml:space="preserve">The health component of </w:t>
      </w:r>
      <w:r w:rsidR="1A4EF7C6" w:rsidRPr="24862EB2">
        <w:t>Consumer Price Index (</w:t>
      </w:r>
      <w:r w:rsidRPr="24862EB2">
        <w:t>CPI</w:t>
      </w:r>
      <w:r w:rsidR="1A4EF7C6">
        <w:rPr>
          <w:szCs w:val="22"/>
        </w:rPr>
        <w:t>)</w:t>
      </w:r>
      <w:r w:rsidRPr="24862EB2">
        <w:t xml:space="preserve"> in Australia has </w:t>
      </w:r>
      <w:bookmarkStart w:id="34" w:name="_Int_u1VGf2tY"/>
      <w:r w:rsidRPr="24862EB2">
        <w:t>generally run</w:t>
      </w:r>
      <w:bookmarkEnd w:id="34"/>
      <w:r w:rsidRPr="24862EB2">
        <w:t xml:space="preserve"> above the </w:t>
      </w:r>
      <w:r w:rsidR="17F92E92" w:rsidRPr="24862EB2">
        <w:t>economy wide</w:t>
      </w:r>
      <w:r w:rsidRPr="24862EB2">
        <w:t xml:space="preserve"> CPI rate over the past seven years (</w:t>
      </w:r>
      <w:r w:rsidR="0060538C">
        <w:rPr>
          <w:szCs w:val="22"/>
        </w:rPr>
        <w:fldChar w:fldCharType="begin"/>
      </w:r>
      <w:r w:rsidR="0060538C">
        <w:rPr>
          <w:szCs w:val="22"/>
        </w:rPr>
        <w:instrText xml:space="preserve"> REF _Ref134093743 \h </w:instrText>
      </w:r>
      <w:r w:rsidR="0060538C">
        <w:rPr>
          <w:szCs w:val="22"/>
        </w:rPr>
      </w:r>
      <w:r w:rsidR="0060538C">
        <w:rPr>
          <w:szCs w:val="22"/>
        </w:rPr>
        <w:fldChar w:fldCharType="separate"/>
      </w:r>
      <w:r w:rsidR="00D64E4C">
        <w:t xml:space="preserve">Figure </w:t>
      </w:r>
      <w:r w:rsidR="00D64E4C">
        <w:rPr>
          <w:noProof/>
        </w:rPr>
        <w:t>5</w:t>
      </w:r>
      <w:r w:rsidR="0060538C">
        <w:rPr>
          <w:szCs w:val="22"/>
        </w:rPr>
        <w:fldChar w:fldCharType="end"/>
      </w:r>
      <w:r w:rsidRPr="00B0044A">
        <w:rPr>
          <w:szCs w:val="22"/>
        </w:rPr>
        <w:t xml:space="preserve">). </w:t>
      </w:r>
      <w:r w:rsidR="2F91FC59" w:rsidRPr="24862EB2">
        <w:t>T</w:t>
      </w:r>
      <w:r w:rsidR="2C59DCFA" w:rsidRPr="24862EB2">
        <w:t xml:space="preserve">his trend ended </w:t>
      </w:r>
      <w:proofErr w:type="gramStart"/>
      <w:r w:rsidR="2C59DCFA" w:rsidRPr="24862EB2">
        <w:t xml:space="preserve">in </w:t>
      </w:r>
      <w:r w:rsidRPr="00B0044A">
        <w:rPr>
          <w:szCs w:val="22"/>
        </w:rPr>
        <w:t xml:space="preserve"> </w:t>
      </w:r>
      <w:r w:rsidR="1B106374" w:rsidRPr="24862EB2">
        <w:t>2022</w:t>
      </w:r>
      <w:proofErr w:type="gramEnd"/>
      <w:r w:rsidR="1B106374" w:rsidRPr="24862EB2">
        <w:t>, with total CPI outstripping the health component</w:t>
      </w:r>
      <w:r w:rsidR="394E21CF" w:rsidRPr="24862EB2">
        <w:t xml:space="preserve"> of CPI.</w:t>
      </w:r>
      <w:r w:rsidR="1B106374">
        <w:rPr>
          <w:szCs w:val="22"/>
        </w:rPr>
        <w:t xml:space="preserve"> </w:t>
      </w:r>
      <w:r w:rsidR="2F91FC59" w:rsidRPr="24862EB2">
        <w:t>However a</w:t>
      </w:r>
      <w:r w:rsidRPr="24862EB2">
        <w:t xml:space="preserve">s of the </w:t>
      </w:r>
      <w:r w:rsidR="1B106374" w:rsidRPr="24862EB2">
        <w:t>March</w:t>
      </w:r>
      <w:r w:rsidRPr="24862EB2">
        <w:t xml:space="preserve"> quarter</w:t>
      </w:r>
      <w:r w:rsidR="1B106374" w:rsidRPr="24862EB2">
        <w:t xml:space="preserve"> 2023</w:t>
      </w:r>
      <w:r w:rsidRPr="24862EB2">
        <w:t xml:space="preserve">, the health component has risen </w:t>
      </w:r>
      <w:r w:rsidR="77138325" w:rsidRPr="24862EB2">
        <w:t>5.</w:t>
      </w:r>
      <w:r w:rsidRPr="24862EB2">
        <w:t>3</w:t>
      </w:r>
      <w:r>
        <w:rPr>
          <w:szCs w:val="22"/>
        </w:rPr>
        <w:t>%</w:t>
      </w:r>
      <w:r w:rsidRPr="24862EB2">
        <w:t xml:space="preserve"> through the year</w:t>
      </w:r>
      <w:r w:rsidR="487A0D7F" w:rsidRPr="24862EB2">
        <w:t xml:space="preserve">, and the gap between all industries and health CPI appears to be closing. </w:t>
      </w:r>
    </w:p>
    <w:p w14:paraId="7C5F546F" w14:textId="46C7E014" w:rsidR="0082527B" w:rsidRPr="00B0044A" w:rsidRDefault="0082527B" w:rsidP="0082527B">
      <w:pPr>
        <w:pStyle w:val="Caption"/>
        <w:jc w:val="left"/>
        <w:rPr>
          <w:szCs w:val="22"/>
        </w:rPr>
      </w:pPr>
      <w:bookmarkStart w:id="35" w:name="_Ref134093743"/>
      <w:bookmarkStart w:id="36" w:name="_Ref134016975"/>
      <w:r>
        <w:lastRenderedPageBreak/>
        <w:t xml:space="preserve">Figure </w:t>
      </w:r>
      <w:r>
        <w:fldChar w:fldCharType="begin"/>
      </w:r>
      <w:r>
        <w:instrText>SEQ Figure \* ARABIC</w:instrText>
      </w:r>
      <w:r>
        <w:fldChar w:fldCharType="separate"/>
      </w:r>
      <w:r w:rsidR="00D64E4C">
        <w:rPr>
          <w:noProof/>
        </w:rPr>
        <w:t>5</w:t>
      </w:r>
      <w:r>
        <w:fldChar w:fldCharType="end"/>
      </w:r>
      <w:bookmarkEnd w:id="35"/>
      <w:r>
        <w:t>: Overall and health specific cpi</w:t>
      </w:r>
      <w:bookmarkEnd w:id="36"/>
    </w:p>
    <w:p w14:paraId="7037331D" w14:textId="316C1CEE" w:rsidR="0082527B" w:rsidRPr="00B0044A" w:rsidRDefault="002838AE" w:rsidP="0082527B">
      <w:pPr>
        <w:jc w:val="center"/>
        <w:rPr>
          <w:szCs w:val="22"/>
        </w:rPr>
      </w:pPr>
      <w:r w:rsidRPr="002838AE">
        <w:rPr>
          <w:noProof/>
        </w:rPr>
        <w:drawing>
          <wp:inline distT="0" distB="0" distL="0" distR="0" wp14:anchorId="0A8AEAEC" wp14:editId="206138D8">
            <wp:extent cx="5381625" cy="2438400"/>
            <wp:effectExtent l="0" t="0" r="0" b="0"/>
            <wp:docPr id="6" name="Picture 6" descr="FIGURE 5: OVERALL AND HEALTH SPECIFIC CPI&#10;&#10;The health component of Consumer Price Index (CPI) in Australia has generally run above the economy wide CPI rate over the past seven years. This trend ended in in 2022, with total CPI outstripping the health component of CPI. However as of the March quarter 2023, the health component had risen 5.3% through the year reducing the gap between all industries and health CP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OVERALL AND HEALTH SPECIFIC CPI&#10;&#10;The health component of Consumer Price Index (CPI) in Australia has generally run above the economy wide CPI rate over the past seven years. This trend ended in in 2022, with total CPI outstripping the health component of CPI. However as of the March quarter 2023, the health component had risen 5.3% through the year reducing the gap between all industries and health CPI.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81625" cy="2438400"/>
                    </a:xfrm>
                    <a:prstGeom prst="rect">
                      <a:avLst/>
                    </a:prstGeom>
                    <a:noFill/>
                    <a:ln>
                      <a:noFill/>
                    </a:ln>
                  </pic:spPr>
                </pic:pic>
              </a:graphicData>
            </a:graphic>
          </wp:inline>
        </w:drawing>
      </w:r>
    </w:p>
    <w:p w14:paraId="2F43F782" w14:textId="4918B465" w:rsidR="00CE3F14" w:rsidRPr="00867BD7" w:rsidRDefault="00CE3F14" w:rsidP="00D9646F">
      <w:pPr>
        <w:pStyle w:val="Heading3"/>
      </w:pPr>
      <w:r w:rsidRPr="00867BD7">
        <w:t>3.3</w:t>
      </w:r>
      <w:r w:rsidRPr="00867BD7">
        <w:tab/>
        <w:t>Labour market conditions</w:t>
      </w:r>
    </w:p>
    <w:p w14:paraId="55E3B11A" w14:textId="5EE883A7" w:rsidR="00E94826" w:rsidRDefault="434D12E3" w:rsidP="00AE71F2">
      <w:r w:rsidRPr="6879FC30">
        <w:t xml:space="preserve">Australia’s labour market has been resilient with a record low unemployment rate </w:t>
      </w:r>
      <w:r w:rsidR="737D1F68" w:rsidRPr="6879FC30">
        <w:t xml:space="preserve">of 3.5% </w:t>
      </w:r>
      <w:r w:rsidR="2A8A8E32" w:rsidRPr="6879FC30">
        <w:t>recorded</w:t>
      </w:r>
      <w:r w:rsidRPr="6879FC30">
        <w:t xml:space="preserve"> in February 2023. </w:t>
      </w:r>
      <w:r w:rsidR="6C2DFDB1" w:rsidRPr="1700C667">
        <w:t xml:space="preserve">The HCSA industry is the largest employing industry in the economy, </w:t>
      </w:r>
      <w:r w:rsidR="6C2DFDB1" w:rsidRPr="00EC7423">
        <w:t>employing 2.13 million persons</w:t>
      </w:r>
      <w:r w:rsidR="6C2DFDB1" w:rsidRPr="1700C667">
        <w:t xml:space="preserve"> in February 2023</w:t>
      </w:r>
      <w:r w:rsidR="00E034D8">
        <w:rPr>
          <w:rStyle w:val="FootnoteReference"/>
        </w:rPr>
        <w:footnoteReference w:id="8"/>
      </w:r>
      <w:r w:rsidR="4635E373" w:rsidRPr="1700C667">
        <w:t xml:space="preserve">. Overall, by employment, the HCSA industry has been </w:t>
      </w:r>
      <w:r w:rsidR="6C2DFDB1">
        <w:t>one of</w:t>
      </w:r>
      <w:r w:rsidR="6C2DFDB1" w:rsidRPr="1700C667">
        <w:t xml:space="preserve"> </w:t>
      </w:r>
      <w:r w:rsidR="4635E373" w:rsidRPr="1700C667">
        <w:t xml:space="preserve">the fastest growing </w:t>
      </w:r>
      <w:r w:rsidR="6C2DFDB1" w:rsidRPr="1700C667">
        <w:t>industr</w:t>
      </w:r>
      <w:r w:rsidR="6C2DFDB1">
        <w:t>ies</w:t>
      </w:r>
      <w:r w:rsidR="4635E373" w:rsidRPr="1700C667">
        <w:t xml:space="preserve"> of the last ten years</w:t>
      </w:r>
      <w:r w:rsidR="4635E373" w:rsidRPr="1700C667">
        <w:rPr>
          <w:vertAlign w:val="superscript"/>
        </w:rPr>
        <w:t>13</w:t>
      </w:r>
      <w:r w:rsidR="4635E373" w:rsidRPr="1700C667">
        <w:t xml:space="preserve">, growing at 4.1% per annum on average, compared to </w:t>
      </w:r>
      <w:r w:rsidR="6C2DFDB1">
        <w:t xml:space="preserve">an average of </w:t>
      </w:r>
      <w:r w:rsidR="4635E373" w:rsidRPr="1700C667">
        <w:t xml:space="preserve">1.7% per annum for all industries </w:t>
      </w:r>
      <w:r w:rsidR="6C2DFDB1" w:rsidRPr="1700C667">
        <w:t>(</w:t>
      </w:r>
      <w:r w:rsidR="001E22F5">
        <w:fldChar w:fldCharType="begin"/>
      </w:r>
      <w:r w:rsidR="001E22F5">
        <w:instrText>REF _Ref132890317</w:instrText>
      </w:r>
      <w:r w:rsidR="001E22F5">
        <w:fldChar w:fldCharType="separate"/>
      </w:r>
      <w:r w:rsidR="00D64E4C">
        <w:t xml:space="preserve">Figure </w:t>
      </w:r>
      <w:r w:rsidR="00D64E4C">
        <w:rPr>
          <w:noProof/>
        </w:rPr>
        <w:t>6</w:t>
      </w:r>
      <w:r w:rsidR="001E22F5">
        <w:fldChar w:fldCharType="end"/>
      </w:r>
      <w:r w:rsidR="6C2DFDB1" w:rsidRPr="1700C667">
        <w:t>).</w:t>
      </w:r>
      <w:r w:rsidR="4635E373" w:rsidRPr="1700C667">
        <w:t xml:space="preserve"> </w:t>
      </w:r>
    </w:p>
    <w:p w14:paraId="5D51355D" w14:textId="34E4921B" w:rsidR="00EF4212" w:rsidRPr="00B0044A" w:rsidRDefault="465AFB8C" w:rsidP="00AE71F2">
      <w:r>
        <w:t xml:space="preserve">While quarterly employment did fall on two occasions over 2020 and 2021 coupled with a spike in underemployment, </w:t>
      </w:r>
      <w:r w:rsidR="004873F2">
        <w:t>in general</w:t>
      </w:r>
      <w:r>
        <w:t>, the pandemic and associated restrictions did not impact the industry as much as other parts of the economy. Over 2022, employment in Healthcare &amp; Social Assistance industry grew at its fastest rate on record</w:t>
      </w:r>
      <w:r w:rsidRPr="1700C667">
        <w:rPr>
          <w:vertAlign w:val="superscript"/>
        </w:rPr>
        <w:t>15</w:t>
      </w:r>
      <w:r>
        <w:t>. On average, th</w:t>
      </w:r>
      <w:r w:rsidR="004873F2">
        <w:t>ere were</w:t>
      </w:r>
      <w:r>
        <w:t xml:space="preserve"> 9.9% more</w:t>
      </w:r>
      <w:r w:rsidR="004873F2">
        <w:t xml:space="preserve"> persons employed in HCSA</w:t>
      </w:r>
      <w:r>
        <w:t xml:space="preserve"> than the number employed in 2021. </w:t>
      </w:r>
    </w:p>
    <w:p w14:paraId="1B0E246A" w14:textId="5738C8E7" w:rsidR="00E94826" w:rsidRPr="00B0044A" w:rsidRDefault="00E94826" w:rsidP="00CD2350">
      <w:pPr>
        <w:pStyle w:val="Caption"/>
        <w:jc w:val="left"/>
        <w:rPr>
          <w:szCs w:val="22"/>
        </w:rPr>
      </w:pPr>
      <w:bookmarkStart w:id="37" w:name="_Ref132890317"/>
      <w:r>
        <w:t xml:space="preserve">Figure </w:t>
      </w:r>
      <w:r>
        <w:fldChar w:fldCharType="begin"/>
      </w:r>
      <w:r>
        <w:instrText>SEQ Figure \* ARABIC</w:instrText>
      </w:r>
      <w:r>
        <w:fldChar w:fldCharType="separate"/>
      </w:r>
      <w:r w:rsidR="00D64E4C">
        <w:rPr>
          <w:noProof/>
        </w:rPr>
        <w:t>6</w:t>
      </w:r>
      <w:r>
        <w:fldChar w:fldCharType="end"/>
      </w:r>
      <w:bookmarkEnd w:id="37"/>
      <w:r w:rsidR="00CD2350">
        <w:t xml:space="preserve">: </w:t>
      </w:r>
      <w:r w:rsidR="00CD2350" w:rsidRPr="00CF46DB">
        <w:t>Moving</w:t>
      </w:r>
      <w:r w:rsidRPr="00CF46DB">
        <w:t xml:space="preserve"> Annual </w:t>
      </w:r>
      <w:r w:rsidR="00CD2350" w:rsidRPr="00CF46DB">
        <w:t xml:space="preserve">Average </w:t>
      </w:r>
      <w:r w:rsidRPr="00CF46DB">
        <w:t>employment growth</w:t>
      </w:r>
    </w:p>
    <w:p w14:paraId="0897B48D" w14:textId="2557B11F" w:rsidR="00E94826" w:rsidRPr="00B0044A" w:rsidRDefault="00D9617F" w:rsidP="00AE71F2">
      <w:pPr>
        <w:jc w:val="center"/>
        <w:rPr>
          <w:b/>
          <w:bCs/>
          <w:szCs w:val="22"/>
        </w:rPr>
      </w:pPr>
      <w:r>
        <w:rPr>
          <w:b/>
          <w:bCs/>
          <w:noProof/>
          <w:szCs w:val="22"/>
        </w:rPr>
        <w:drawing>
          <wp:inline distT="0" distB="0" distL="0" distR="0" wp14:anchorId="72E82CF1" wp14:editId="30E6EBED">
            <wp:extent cx="5474970" cy="2524125"/>
            <wp:effectExtent l="0" t="0" r="0" b="0"/>
            <wp:docPr id="52" name="Picture 52" descr="FIGURE 6: MOVING ANNUAL AVERAGE EMPLOYMENT GROWTH&#10;&#10;By employment, the HCSA industry has been one of the fastest growing industries of the last ten years, growing at 4.1% per annum on average, compared to an average of 1.7% per annum for all industries. &#10;&#10;While quarterly employment did fall on two occasions over 2020 and 2021 coupled with a spike in underemployment, in general, the COVID-19 pandemic and associated restrictions did not impact the industry as much as other parts of the economy. Over 2022, employment in Healthcare &amp; Social Assistance industry grew at its fastest rate on record15. On average, there were 9.9% more persons employed in HCSA than the number employed in 2021.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6: MOVING ANNUAL AVERAGE EMPLOYMENT GROWTH&#10;&#10;By employment, the HCSA industry has been one of the fastest growing industries of the last ten years, growing at 4.1% per annum on average, compared to an average of 1.7% per annum for all industries. &#10;&#10;While quarterly employment did fall on two occasions over 2020 and 2021 coupled with a spike in underemployment, in general, the COVID-19 pandemic and associated restrictions did not impact the industry as much as other parts of the economy. Over 2022, employment in Healthcare &amp; Social Assistance industry grew at its fastest rate on record15. On average, there were 9.9% more persons employed in HCSA than the number employed in 2021. &#10;&#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4970" cy="2524125"/>
                    </a:xfrm>
                    <a:prstGeom prst="rect">
                      <a:avLst/>
                    </a:prstGeom>
                    <a:noFill/>
                  </pic:spPr>
                </pic:pic>
              </a:graphicData>
            </a:graphic>
          </wp:inline>
        </w:drawing>
      </w:r>
    </w:p>
    <w:p w14:paraId="7EF49573" w14:textId="1CCED517" w:rsidR="00D61A5C" w:rsidRPr="00B0044A" w:rsidRDefault="0ED69B76" w:rsidP="00D61A5C">
      <w:r w:rsidRPr="6879FC30">
        <w:lastRenderedPageBreak/>
        <w:t>S</w:t>
      </w:r>
      <w:r w:rsidR="507BD12E" w:rsidRPr="6879FC30">
        <w:t>trong</w:t>
      </w:r>
      <w:r w:rsidRPr="6879FC30">
        <w:t xml:space="preserve"> employment</w:t>
      </w:r>
      <w:r w:rsidR="507BD12E" w:rsidRPr="6879FC30">
        <w:t xml:space="preserve"> growth </w:t>
      </w:r>
      <w:r w:rsidR="2690AA20" w:rsidRPr="6879FC30">
        <w:t xml:space="preserve">is a key feature of </w:t>
      </w:r>
      <w:r w:rsidR="5EF4B61F" w:rsidRPr="6879FC30">
        <w:t xml:space="preserve">the HCSA sector </w:t>
      </w:r>
      <w:r w:rsidR="6A5805C4">
        <w:rPr>
          <w:szCs w:val="22"/>
        </w:rPr>
        <w:t>–</w:t>
      </w:r>
      <w:r w:rsidR="5EF4B61F">
        <w:rPr>
          <w:szCs w:val="22"/>
        </w:rPr>
        <w:t xml:space="preserve"> </w:t>
      </w:r>
      <w:r w:rsidR="6A5805C4" w:rsidRPr="6879FC30">
        <w:t xml:space="preserve">it is observed that </w:t>
      </w:r>
      <w:r w:rsidR="507BD12E" w:rsidRPr="6879FC30">
        <w:t>the proportion of persons that work in the HCSA sector has lifted from 11.9% of total employment in 2012 to 1</w:t>
      </w:r>
      <w:r w:rsidR="15EC26B9" w:rsidRPr="6879FC30">
        <w:t>4</w:t>
      </w:r>
      <w:r w:rsidR="507BD12E" w:rsidRPr="6879FC30">
        <w:t>.0% in 2022</w:t>
      </w:r>
      <w:r w:rsidR="0E00A72B" w:rsidRPr="00EC7423">
        <w:rPr>
          <w:szCs w:val="22"/>
        </w:rPr>
        <w:t xml:space="preserve"> (</w:t>
      </w:r>
      <w:fldSimple w:instr=" REF _Ref132890459 ">
        <w:r w:rsidR="00D64E4C">
          <w:t xml:space="preserve">Figure </w:t>
        </w:r>
        <w:r w:rsidR="00D64E4C">
          <w:rPr>
            <w:noProof/>
          </w:rPr>
          <w:t>7</w:t>
        </w:r>
      </w:fldSimple>
      <w:r w:rsidR="0E00A72B">
        <w:t>)</w:t>
      </w:r>
      <w:r w:rsidR="507BD12E">
        <w:t>.</w:t>
      </w:r>
      <w:r w:rsidR="00E034D8">
        <w:rPr>
          <w:rStyle w:val="FootnoteReference"/>
        </w:rPr>
        <w:footnoteReference w:id="9"/>
      </w:r>
      <w:r w:rsidR="7488063B">
        <w:t xml:space="preserve"> </w:t>
      </w:r>
      <w:r w:rsidR="2A5B4EC0">
        <w:t>F</w:t>
      </w:r>
      <w:r w:rsidR="45AEEC08">
        <w:t xml:space="preserve">actors </w:t>
      </w:r>
      <w:r w:rsidR="7488063B" w:rsidRPr="6879FC30">
        <w:t xml:space="preserve">that </w:t>
      </w:r>
      <w:r w:rsidR="243FF9A3">
        <w:t>may</w:t>
      </w:r>
      <w:r w:rsidR="37735FF1" w:rsidRPr="6879FC30">
        <w:t xml:space="preserve"> have contribut</w:t>
      </w:r>
      <w:r w:rsidR="6F4DA899" w:rsidRPr="6879FC30">
        <w:t xml:space="preserve">ed to </w:t>
      </w:r>
      <w:r w:rsidR="48A51F7D" w:rsidRPr="6879FC30">
        <w:t>this growth</w:t>
      </w:r>
      <w:r w:rsidR="6F4DA899" w:rsidRPr="6879FC30">
        <w:t xml:space="preserve"> </w:t>
      </w:r>
      <w:r w:rsidR="7488063B" w:rsidRPr="6879FC30">
        <w:t>are:</w:t>
      </w:r>
    </w:p>
    <w:p w14:paraId="08165903" w14:textId="0752F2A8" w:rsidR="00D61A5C" w:rsidRPr="00B0044A" w:rsidRDefault="001967F3" w:rsidP="00F317CA">
      <w:pPr>
        <w:pStyle w:val="ListParagraph"/>
        <w:numPr>
          <w:ilvl w:val="0"/>
          <w:numId w:val="7"/>
        </w:numPr>
        <w:contextualSpacing/>
        <w:rPr>
          <w:szCs w:val="22"/>
        </w:rPr>
      </w:pPr>
      <w:r>
        <w:rPr>
          <w:szCs w:val="22"/>
        </w:rPr>
        <w:t>T</w:t>
      </w:r>
      <w:r w:rsidR="00A45C89">
        <w:rPr>
          <w:szCs w:val="22"/>
        </w:rPr>
        <w:t xml:space="preserve">he </w:t>
      </w:r>
      <w:r w:rsidR="00C550C2">
        <w:rPr>
          <w:szCs w:val="22"/>
        </w:rPr>
        <w:t>build-up</w:t>
      </w:r>
      <w:r w:rsidR="00A45C89">
        <w:rPr>
          <w:szCs w:val="22"/>
        </w:rPr>
        <w:t xml:space="preserve"> of </w:t>
      </w:r>
      <w:r w:rsidR="00591A90">
        <w:rPr>
          <w:szCs w:val="22"/>
        </w:rPr>
        <w:t>u</w:t>
      </w:r>
      <w:r w:rsidR="003D5E36">
        <w:rPr>
          <w:szCs w:val="22"/>
        </w:rPr>
        <w:t xml:space="preserve">nmet </w:t>
      </w:r>
      <w:r w:rsidR="00D61A5C" w:rsidRPr="00B0044A">
        <w:rPr>
          <w:szCs w:val="22"/>
        </w:rPr>
        <w:t>demand for care services</w:t>
      </w:r>
    </w:p>
    <w:p w14:paraId="5C6181DC" w14:textId="1433BED2" w:rsidR="00D61A5C" w:rsidRPr="00B0044A" w:rsidRDefault="001967F3" w:rsidP="00F317CA">
      <w:pPr>
        <w:pStyle w:val="ListParagraph"/>
        <w:numPr>
          <w:ilvl w:val="0"/>
          <w:numId w:val="7"/>
        </w:numPr>
        <w:contextualSpacing/>
      </w:pPr>
      <w:r>
        <w:t>G</w:t>
      </w:r>
      <w:r w:rsidR="00C768A3">
        <w:t>rowing</w:t>
      </w:r>
      <w:r w:rsidR="00D61A5C">
        <w:t xml:space="preserve"> demand underpinned by an aging population</w:t>
      </w:r>
    </w:p>
    <w:p w14:paraId="23BFB07C" w14:textId="0AD34FCD" w:rsidR="00D61A5C" w:rsidRPr="00B0044A" w:rsidRDefault="001967F3" w:rsidP="00F317CA">
      <w:pPr>
        <w:pStyle w:val="ListParagraph"/>
        <w:numPr>
          <w:ilvl w:val="0"/>
          <w:numId w:val="7"/>
        </w:numPr>
        <w:contextualSpacing/>
      </w:pPr>
      <w:r>
        <w:t>T</w:t>
      </w:r>
      <w:r w:rsidR="00D61A5C">
        <w:t>he continued expansion of the NDIS, and</w:t>
      </w:r>
    </w:p>
    <w:p w14:paraId="681596D2" w14:textId="725C80D7" w:rsidR="00345919" w:rsidRPr="00AB16E2" w:rsidRDefault="001967F3" w:rsidP="00F317CA">
      <w:pPr>
        <w:pStyle w:val="ListParagraph"/>
        <w:numPr>
          <w:ilvl w:val="0"/>
          <w:numId w:val="7"/>
        </w:numPr>
        <w:contextualSpacing/>
        <w:rPr>
          <w:szCs w:val="22"/>
        </w:rPr>
      </w:pPr>
      <w:r>
        <w:t>S</w:t>
      </w:r>
      <w:r w:rsidR="1FC00FD2" w:rsidRPr="6879FC30">
        <w:t>trong demand for mental healthcare services</w:t>
      </w:r>
      <w:r w:rsidR="00E034D8">
        <w:rPr>
          <w:rStyle w:val="FootnoteReference"/>
        </w:rPr>
        <w:footnoteReference w:id="10"/>
      </w:r>
      <w:r w:rsidR="1FC00FD2" w:rsidRPr="00B0044A">
        <w:rPr>
          <w:szCs w:val="22"/>
        </w:rPr>
        <w:t xml:space="preserve">. </w:t>
      </w:r>
    </w:p>
    <w:p w14:paraId="09FDEC65" w14:textId="38714E12" w:rsidR="0044735F" w:rsidRPr="00B0044A" w:rsidRDefault="0044735F" w:rsidP="00B70A40">
      <w:pPr>
        <w:pStyle w:val="Caption"/>
        <w:jc w:val="left"/>
        <w:rPr>
          <w:szCs w:val="22"/>
        </w:rPr>
      </w:pPr>
      <w:bookmarkStart w:id="38" w:name="_Ref132890459"/>
      <w:r>
        <w:t xml:space="preserve">Figure </w:t>
      </w:r>
      <w:r>
        <w:fldChar w:fldCharType="begin"/>
      </w:r>
      <w:r>
        <w:instrText>SEQ Figure \* ARABIC</w:instrText>
      </w:r>
      <w:r>
        <w:fldChar w:fldCharType="separate"/>
      </w:r>
      <w:r w:rsidR="00D64E4C">
        <w:rPr>
          <w:noProof/>
        </w:rPr>
        <w:t>7</w:t>
      </w:r>
      <w:r>
        <w:fldChar w:fldCharType="end"/>
      </w:r>
      <w:bookmarkEnd w:id="38"/>
      <w:r w:rsidR="00513662">
        <w:t>:</w:t>
      </w:r>
      <w:r>
        <w:t xml:space="preserve"> Percentage of the workforce in the </w:t>
      </w:r>
      <w:r w:rsidR="00513662" w:rsidRPr="007E406E">
        <w:t>healthcare</w:t>
      </w:r>
      <w:r>
        <w:t xml:space="preserve"> and social assistance sector</w:t>
      </w:r>
    </w:p>
    <w:p w14:paraId="7A213C5C" w14:textId="5AB584AE" w:rsidR="00345919" w:rsidRPr="00322F35" w:rsidRDefault="00322F35" w:rsidP="00322F35">
      <w:pPr>
        <w:jc w:val="center"/>
        <w:rPr>
          <w:b/>
          <w:bCs/>
          <w:szCs w:val="22"/>
        </w:rPr>
      </w:pPr>
      <w:r>
        <w:rPr>
          <w:b/>
          <w:bCs/>
          <w:noProof/>
          <w:szCs w:val="22"/>
        </w:rPr>
        <w:drawing>
          <wp:inline distT="0" distB="0" distL="0" distR="0" wp14:anchorId="11533403" wp14:editId="30F92EB9">
            <wp:extent cx="5401310" cy="2524125"/>
            <wp:effectExtent l="0" t="0" r="0" b="0"/>
            <wp:docPr id="30" name="Picture 30" descr="FIGURE 7: PERCENTAGE OF THE WORKFORCE IN THE HEALTHCARE AND SOCIAL ASSISTANCE SECTOR&#10;&#10;Strong employment growth is a key feature of the HCSA sector – the proportion of employed persons that work in the HCSA sector lifted from under 8% in 1995 t0 14.0% in 2022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7: PERCENTAGE OF THE WORKFORCE IN THE HEALTHCARE AND SOCIAL ASSISTANCE SECTOR&#10;&#10;Strong employment growth is a key feature of the HCSA sector – the proportion of employed persons that work in the HCSA sector lifted from under 8% in 1995 t0 14.0% in 2022 &#10;&#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1310" cy="2524125"/>
                    </a:xfrm>
                    <a:prstGeom prst="rect">
                      <a:avLst/>
                    </a:prstGeom>
                    <a:noFill/>
                  </pic:spPr>
                </pic:pic>
              </a:graphicData>
            </a:graphic>
          </wp:inline>
        </w:drawing>
      </w:r>
    </w:p>
    <w:p w14:paraId="4D948B6B" w14:textId="77777777" w:rsidR="001575A4" w:rsidRDefault="001575A4" w:rsidP="00AE71F2">
      <w:pPr>
        <w:rPr>
          <w:color w:val="FF0000"/>
          <w:szCs w:val="22"/>
        </w:rPr>
      </w:pPr>
    </w:p>
    <w:p w14:paraId="18343D1D" w14:textId="479CDDB1" w:rsidR="00E94826" w:rsidRPr="00B0044A" w:rsidRDefault="007019B0" w:rsidP="00AE71F2">
      <w:r>
        <w:t xml:space="preserve">Analysis </w:t>
      </w:r>
      <w:r w:rsidR="199F01BE">
        <w:t>of ABS</w:t>
      </w:r>
      <w:r>
        <w:t xml:space="preserve"> Census data shows</w:t>
      </w:r>
      <w:r w:rsidR="00004E45">
        <w:t xml:space="preserve"> strong </w:t>
      </w:r>
      <w:r w:rsidR="00FB7724">
        <w:t xml:space="preserve">employment </w:t>
      </w:r>
      <w:r w:rsidR="00004E45">
        <w:t xml:space="preserve">growth </w:t>
      </w:r>
      <w:r w:rsidR="00E94826">
        <w:t>between the 2016 and 2021</w:t>
      </w:r>
      <w:r w:rsidR="00FB7724">
        <w:t>. This includes</w:t>
      </w:r>
      <w:r w:rsidR="00E94826" w:rsidDel="00FB7724">
        <w:t xml:space="preserve"> </w:t>
      </w:r>
      <w:r w:rsidR="00E94826">
        <w:t xml:space="preserve">Aged and Disabled Carers (227,535 in 2021, an increase of 72% since 2016), Occupational therapists (19,429 in 2021, an increase </w:t>
      </w:r>
      <w:r w:rsidR="7F3A0B60">
        <w:t>of</w:t>
      </w:r>
      <w:r w:rsidR="00E94826">
        <w:t xml:space="preserve"> 57%) and Speech Professionals &amp; Audiologists (13,613 in 2021, an increase of 49</w:t>
      </w:r>
      <w:r w:rsidR="00493FEE">
        <w:t>%)</w:t>
      </w:r>
      <w:r w:rsidR="007017D6">
        <w:t xml:space="preserve"> see</w:t>
      </w:r>
      <w:r w:rsidR="00583E37">
        <w:t xml:space="preserve"> (</w:t>
      </w:r>
      <w:fldSimple w:instr=" REF _Ref132890500 ">
        <w:r w:rsidR="00D64E4C">
          <w:t xml:space="preserve">Figure </w:t>
        </w:r>
        <w:r w:rsidR="00D64E4C">
          <w:rPr>
            <w:noProof/>
          </w:rPr>
          <w:t>8</w:t>
        </w:r>
      </w:fldSimple>
      <w:r w:rsidR="00583E37">
        <w:t>)</w:t>
      </w:r>
      <w:r w:rsidR="00493FEE">
        <w:t>.</w:t>
      </w:r>
      <w:r w:rsidR="00E94826">
        <w:t xml:space="preserve"> </w:t>
      </w:r>
    </w:p>
    <w:p w14:paraId="271937A3" w14:textId="768FDC4E" w:rsidR="00E94826" w:rsidRPr="001F2C05" w:rsidRDefault="00E94826" w:rsidP="00513662">
      <w:pPr>
        <w:pStyle w:val="Caption"/>
        <w:jc w:val="left"/>
        <w:rPr>
          <w:b w:val="0"/>
          <w:szCs w:val="22"/>
        </w:rPr>
      </w:pPr>
      <w:bookmarkStart w:id="39" w:name="_Ref132890500"/>
      <w:r>
        <w:lastRenderedPageBreak/>
        <w:t xml:space="preserve">Figure </w:t>
      </w:r>
      <w:r>
        <w:fldChar w:fldCharType="begin"/>
      </w:r>
      <w:r>
        <w:instrText>SEQ Figure \* ARABIC</w:instrText>
      </w:r>
      <w:r>
        <w:fldChar w:fldCharType="separate"/>
      </w:r>
      <w:r w:rsidR="00D64E4C">
        <w:rPr>
          <w:noProof/>
        </w:rPr>
        <w:t>8</w:t>
      </w:r>
      <w:r>
        <w:fldChar w:fldCharType="end"/>
      </w:r>
      <w:bookmarkEnd w:id="39"/>
      <w:r w:rsidR="00513662">
        <w:t>:</w:t>
      </w:r>
      <w:r>
        <w:t xml:space="preserve"> </w:t>
      </w:r>
      <w:r w:rsidRPr="00D528B1">
        <w:t>Growth in NDIS related occupations between 2016 and 2021 Censuses.</w:t>
      </w:r>
    </w:p>
    <w:p w14:paraId="549FDD67" w14:textId="52EEF600" w:rsidR="00E94826" w:rsidRPr="00850193" w:rsidRDefault="00850193" w:rsidP="00850193">
      <w:pPr>
        <w:jc w:val="center"/>
        <w:rPr>
          <w:b/>
          <w:bCs/>
          <w:szCs w:val="22"/>
        </w:rPr>
      </w:pPr>
      <w:r>
        <w:rPr>
          <w:b/>
          <w:bCs/>
          <w:noProof/>
          <w:szCs w:val="22"/>
        </w:rPr>
        <w:drawing>
          <wp:inline distT="0" distB="0" distL="0" distR="0" wp14:anchorId="3427CC60" wp14:editId="0FE7AB92">
            <wp:extent cx="5401310" cy="2524125"/>
            <wp:effectExtent l="0" t="0" r="0" b="0"/>
            <wp:docPr id="31" name="Picture 31" descr="FIGURE 8: GROWTH IN NDIS RELATED OCCUPATIONS BETWEEN 2016 AND 2021 CENSUSES.&#10;&#10;Analysis from the Census data shows strong employment growth between the 2016 and 2021. This includes Aged and Disabled Carers (227,535 in 2021, an increase of 72% since 2016), Occupational therapists (19,429 in 2021, an increase by 57%) and Speech Professionals &amp; Audiologists (13,613 in 2021, an increase of 49%) see (Figure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8: GROWTH IN NDIS RELATED OCCUPATIONS BETWEEN 2016 AND 2021 CENSUSES.&#10;&#10;Analysis from the Census data shows strong employment growth between the 2016 and 2021. This includes Aged and Disabled Carers (227,535 in 2021, an increase of 72% since 2016), Occupational therapists (19,429 in 2021, an increase by 57%) and Speech Professionals &amp; Audiologists (13,613 in 2021, an increase of 49%) see (Figure 7).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1310" cy="2524125"/>
                    </a:xfrm>
                    <a:prstGeom prst="rect">
                      <a:avLst/>
                    </a:prstGeom>
                    <a:noFill/>
                  </pic:spPr>
                </pic:pic>
              </a:graphicData>
            </a:graphic>
          </wp:inline>
        </w:drawing>
      </w:r>
    </w:p>
    <w:p w14:paraId="13FD93C2" w14:textId="0A5F7FFF" w:rsidR="00E94826" w:rsidRPr="00B0044A" w:rsidRDefault="00E94826" w:rsidP="00AE71F2">
      <w:r w:rsidRPr="627E4CDF">
        <w:t xml:space="preserve">Mirroring this trend, the number of vacant positions in NDIS related occupations sector is also at record highs, indicating </w:t>
      </w:r>
      <w:r w:rsidR="00497A1F" w:rsidRPr="627E4CDF">
        <w:t>strong demand for</w:t>
      </w:r>
      <w:r w:rsidRPr="627E4CDF">
        <w:t xml:space="preserve"> workers in the sector (</w:t>
      </w:r>
      <w:r w:rsidR="0042369C">
        <w:rPr>
          <w:szCs w:val="22"/>
        </w:rPr>
        <w:fldChar w:fldCharType="begin"/>
      </w:r>
      <w:r w:rsidR="0042369C">
        <w:rPr>
          <w:szCs w:val="22"/>
        </w:rPr>
        <w:instrText xml:space="preserve"> REF _Ref132890637 \h </w:instrText>
      </w:r>
      <w:r w:rsidR="0042369C">
        <w:rPr>
          <w:szCs w:val="22"/>
        </w:rPr>
      </w:r>
      <w:r w:rsidR="0042369C">
        <w:rPr>
          <w:szCs w:val="22"/>
        </w:rPr>
        <w:fldChar w:fldCharType="separate"/>
      </w:r>
      <w:r w:rsidR="00D64E4C">
        <w:t xml:space="preserve">Figure </w:t>
      </w:r>
      <w:r w:rsidR="00D64E4C">
        <w:rPr>
          <w:noProof/>
        </w:rPr>
        <w:t>9</w:t>
      </w:r>
      <w:r w:rsidR="0042369C">
        <w:rPr>
          <w:szCs w:val="22"/>
        </w:rPr>
        <w:fldChar w:fldCharType="end"/>
      </w:r>
      <w:r w:rsidRPr="627E4CDF">
        <w:t xml:space="preserve">). This further highlights the demand for workers in the HCSA industry and NDIS more specifically, with job vacancies in the industry </w:t>
      </w:r>
      <w:r w:rsidR="0ACCAF9A" w:rsidRPr="627E4CDF">
        <w:t xml:space="preserve">doubling </w:t>
      </w:r>
      <w:r w:rsidR="0ACCAF9A" w:rsidRPr="38343666">
        <w:t xml:space="preserve">compared to </w:t>
      </w:r>
      <w:r w:rsidR="3F2C36D8" w:rsidRPr="38343666">
        <w:t>pre</w:t>
      </w:r>
      <w:r w:rsidRPr="627E4CDF">
        <w:t xml:space="preserve">-pandemic levels, averaging 66,000 over 2022, and the underemployment rate </w:t>
      </w:r>
      <w:r w:rsidR="06438648" w:rsidRPr="097A8F92">
        <w:t>falling</w:t>
      </w:r>
      <w:r w:rsidRPr="627E4CDF">
        <w:t xml:space="preserve"> to 6.7</w:t>
      </w:r>
      <w:r>
        <w:rPr>
          <w:szCs w:val="22"/>
        </w:rPr>
        <w:t>%</w:t>
      </w:r>
      <w:r w:rsidRPr="627E4CDF">
        <w:t>, the lowest rate since 2008.</w:t>
      </w:r>
    </w:p>
    <w:p w14:paraId="43A56282" w14:textId="508CE997" w:rsidR="00E94826" w:rsidRPr="001F2C05" w:rsidRDefault="00E94826" w:rsidP="00513662">
      <w:pPr>
        <w:pStyle w:val="Caption"/>
        <w:jc w:val="left"/>
        <w:rPr>
          <w:b w:val="0"/>
          <w:bCs w:val="0"/>
          <w:szCs w:val="22"/>
        </w:rPr>
      </w:pPr>
      <w:bookmarkStart w:id="40" w:name="_Ref132890637"/>
      <w:r>
        <w:t xml:space="preserve">Figure </w:t>
      </w:r>
      <w:r>
        <w:fldChar w:fldCharType="begin"/>
      </w:r>
      <w:r>
        <w:instrText>SEQ Figure \* ARABIC</w:instrText>
      </w:r>
      <w:r>
        <w:fldChar w:fldCharType="separate"/>
      </w:r>
      <w:r w:rsidR="00D64E4C">
        <w:rPr>
          <w:noProof/>
        </w:rPr>
        <w:t>9</w:t>
      </w:r>
      <w:r>
        <w:fldChar w:fldCharType="end"/>
      </w:r>
      <w:bookmarkEnd w:id="40"/>
      <w:r w:rsidR="00513662">
        <w:t>:</w:t>
      </w:r>
      <w:r>
        <w:t xml:space="preserve"> </w:t>
      </w:r>
      <w:r w:rsidRPr="0037613C">
        <w:t>Job vacancies in NDIS related occupations</w:t>
      </w:r>
      <w:r w:rsidRPr="001F2C05">
        <w:rPr>
          <w:b w:val="0"/>
          <w:szCs w:val="22"/>
        </w:rPr>
        <w:t xml:space="preserve"> </w:t>
      </w:r>
    </w:p>
    <w:p w14:paraId="3AC0EAF3" w14:textId="4A9D51A0" w:rsidR="00E94826" w:rsidRPr="00B0044A" w:rsidRDefault="00DD17C1" w:rsidP="00AE71F2">
      <w:pPr>
        <w:jc w:val="center"/>
        <w:rPr>
          <w:szCs w:val="22"/>
        </w:rPr>
      </w:pPr>
      <w:r w:rsidRPr="00DD17C1">
        <w:rPr>
          <w:noProof/>
        </w:rPr>
        <w:drawing>
          <wp:inline distT="0" distB="0" distL="0" distR="0" wp14:anchorId="7BCE6BA7" wp14:editId="6FC821EA">
            <wp:extent cx="5537456" cy="2520000"/>
            <wp:effectExtent l="0" t="0" r="0" b="0"/>
            <wp:docPr id="48" name="Picture 48" descr="FIGURE 9: JOB VACANCIES IN NDIS RELATED OCCUPATIONS &#10;&#10;Despite a small dip during the pandemic, the number of vacant positions in NDIS related occupations sector is at record highs. As of the end of of 2022 there were four fold more Occupational Therapist and Speech Professionals and Audiologist vacancies than there were in 2016, three fold more Nursing Support and Personal Care vacancies and double the number of aged and disabled carer vacan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9: JOB VACANCIES IN NDIS RELATED OCCUPATIONS &#10;&#10;Despite a small dip during the pandemic, the number of vacant positions in NDIS related occupations sector is at record highs. As of the end of of 2022 there were four fold more Occupational Therapist and Speech Professionals and Audiologist vacancies than there were in 2016, three fold more Nursing Support and Personal Care vacancies and double the number of aged and disabled carer vacancies.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37456" cy="2520000"/>
                    </a:xfrm>
                    <a:prstGeom prst="rect">
                      <a:avLst/>
                    </a:prstGeom>
                    <a:noFill/>
                    <a:ln>
                      <a:noFill/>
                    </a:ln>
                  </pic:spPr>
                </pic:pic>
              </a:graphicData>
            </a:graphic>
          </wp:inline>
        </w:drawing>
      </w:r>
    </w:p>
    <w:p w14:paraId="242043CB" w14:textId="7642C4A1" w:rsidR="007205A4" w:rsidRDefault="007205A4" w:rsidP="00D250B3"/>
    <w:p w14:paraId="7E07DDFE" w14:textId="176944D9" w:rsidR="0026072B" w:rsidRDefault="0026072B" w:rsidP="0026072B">
      <w:r>
        <w:t xml:space="preserve">Over the 4 years prior to the pandemic, nominal wages in HCSA industry were the fastest growing of all industries. Despite this, wages for those in the sector have also been growing at a slower rate than the price of goods and services meaning real wages have declined. However, relative to 2004 real wage growth in the </w:t>
      </w:r>
      <w:r w:rsidR="16CCEBA1">
        <w:t>HCS</w:t>
      </w:r>
      <w:r w:rsidR="7EA1291C">
        <w:t>A</w:t>
      </w:r>
      <w:r>
        <w:t xml:space="preserve"> sector remains above that of total real wage growth. This trend has made it challenging for some organisations to attract and retain staff as workers seek higher wages to compensate. This is an issue that all industries across Australia </w:t>
      </w:r>
      <w:r w:rsidR="30DBCB8D">
        <w:t>may</w:t>
      </w:r>
      <w:r>
        <w:t xml:space="preserve"> be facing, not just </w:t>
      </w:r>
      <w:r w:rsidR="77F04070">
        <w:t>within</w:t>
      </w:r>
      <w:r w:rsidR="16CCEBA1">
        <w:t xml:space="preserve"> </w:t>
      </w:r>
      <w:r>
        <w:t xml:space="preserve">the disability and broader HCSA industry. </w:t>
      </w:r>
    </w:p>
    <w:p w14:paraId="0EDC4F83" w14:textId="3C5EE930" w:rsidR="0026072B" w:rsidRPr="008D7FF8" w:rsidRDefault="0026072B" w:rsidP="0026072B">
      <w:pPr>
        <w:pStyle w:val="Caption"/>
        <w:jc w:val="left"/>
        <w:rPr>
          <w:i/>
        </w:rPr>
      </w:pPr>
      <w:bookmarkStart w:id="41" w:name="_Ref134022039"/>
      <w:r>
        <w:lastRenderedPageBreak/>
        <w:t xml:space="preserve">Figure </w:t>
      </w:r>
      <w:r>
        <w:fldChar w:fldCharType="begin"/>
      </w:r>
      <w:r>
        <w:instrText>SEQ Figure \* ARABIC</w:instrText>
      </w:r>
      <w:r>
        <w:fldChar w:fldCharType="separate"/>
      </w:r>
      <w:r w:rsidR="00D64E4C">
        <w:rPr>
          <w:noProof/>
        </w:rPr>
        <w:t>10</w:t>
      </w:r>
      <w:r>
        <w:fldChar w:fldCharType="end"/>
      </w:r>
      <w:bookmarkEnd w:id="41"/>
      <w:r>
        <w:t xml:space="preserve">: Index of </w:t>
      </w:r>
      <w:r w:rsidRPr="00A747CC">
        <w:t>real wa</w:t>
      </w:r>
      <w:r>
        <w:t>G</w:t>
      </w:r>
      <w:r w:rsidRPr="00A747CC">
        <w:t>e growth in the HCSA sector and all INDUSTRIES (</w:t>
      </w:r>
      <w:r>
        <w:t xml:space="preserve">2004 = </w:t>
      </w:r>
      <w:r w:rsidR="00090A68">
        <w:t xml:space="preserve">base </w:t>
      </w:r>
      <w:r w:rsidR="00B070AA">
        <w:t>of</w:t>
      </w:r>
      <w:r w:rsidR="00090A68">
        <w:t xml:space="preserve"> </w:t>
      </w:r>
      <w:r>
        <w:t>100)</w:t>
      </w:r>
    </w:p>
    <w:p w14:paraId="085C9BF3" w14:textId="3A625FE9" w:rsidR="0026072B" w:rsidRPr="00B0044A" w:rsidRDefault="0D828BF9" w:rsidP="00884F18">
      <w:pPr>
        <w:jc w:val="center"/>
      </w:pPr>
      <w:r>
        <w:rPr>
          <w:noProof/>
        </w:rPr>
        <w:drawing>
          <wp:inline distT="0" distB="0" distL="0" distR="0" wp14:anchorId="59F890A9" wp14:editId="384B6477">
            <wp:extent cx="5400000" cy="2448000"/>
            <wp:effectExtent l="0" t="0" r="0" b="0"/>
            <wp:docPr id="1747037399" name="Picture 1747037399" descr="FIGURE 10: INDEX OF REAL WAGE GROWTH IN THE HCSA SECTOR AND ALL INDUSTRIES (2004 = BASE OF 100)&#10;&#10;Between 2004 and 2020 real wages in the healthcare and social assistance industries and for all industries in total had been rising steadily, with real wages in the healthcare and social assistance industry rising faster than wages in the economy as a whole. Yet real wages started to decline in 2021, and declined again over 2022. However, relative to 2004 real wage growth in the healthcare and social assistance sector remains above that of total real wag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7037399" name="Picture 1747037399" descr="FIGURE 10: INDEX OF REAL WAGE GROWTH IN THE HCSA SECTOR AND ALL INDUSTRIES (2004 = BASE OF 100)&#10;&#10;Between 2004 and 2020 real wages in the healthcare and social assistance industries and for all industries in total had been rising steadily, with real wages in the healthcare and social assistance industry rising faster than wages in the economy as a whole. Yet real wages started to decline in 2021, and declined again over 2022. However, relative to 2004 real wage growth in the healthcare and social assistance sector remains above that of total real wage growth"/>
                    <pic:cNvPicPr/>
                  </pic:nvPicPr>
                  <pic:blipFill>
                    <a:blip r:embed="rId26">
                      <a:extLst>
                        <a:ext uri="{28A0092B-C50C-407E-A947-70E740481C1C}">
                          <a14:useLocalDpi xmlns:a14="http://schemas.microsoft.com/office/drawing/2010/main" val="0"/>
                        </a:ext>
                      </a:extLst>
                    </a:blip>
                    <a:stretch>
                      <a:fillRect/>
                    </a:stretch>
                  </pic:blipFill>
                  <pic:spPr>
                    <a:xfrm>
                      <a:off x="0" y="0"/>
                      <a:ext cx="5400000" cy="2448000"/>
                    </a:xfrm>
                    <a:prstGeom prst="rect">
                      <a:avLst/>
                    </a:prstGeom>
                  </pic:spPr>
                </pic:pic>
              </a:graphicData>
            </a:graphic>
          </wp:inline>
        </w:drawing>
      </w:r>
    </w:p>
    <w:p w14:paraId="70AB274D" w14:textId="1A2B76D5" w:rsidR="00353D6A" w:rsidRPr="000C625B" w:rsidRDefault="00353D6A" w:rsidP="00D9646F">
      <w:pPr>
        <w:pStyle w:val="Heading3"/>
      </w:pPr>
      <w:r w:rsidRPr="000C625B">
        <w:t>3.4</w:t>
      </w:r>
      <w:r w:rsidRPr="000C625B">
        <w:tab/>
        <w:t>Future sector demand for support and workforce growth</w:t>
      </w:r>
    </w:p>
    <w:p w14:paraId="555938DA" w14:textId="3D2FDFD8" w:rsidR="00E94826" w:rsidRPr="00B0044A" w:rsidRDefault="1C2198BD" w:rsidP="00AE71F2">
      <w:r w:rsidRPr="6879FC30">
        <w:t>As t</w:t>
      </w:r>
      <w:r w:rsidR="7E0B6205" w:rsidRPr="6879FC30">
        <w:t>he Scheme continues to grow</w:t>
      </w:r>
      <w:r w:rsidR="07D80634">
        <w:rPr>
          <w:szCs w:val="22"/>
        </w:rPr>
        <w:t xml:space="preserve">, </w:t>
      </w:r>
      <w:r w:rsidR="14E17D94" w:rsidRPr="6879FC30">
        <w:t xml:space="preserve">the importance of </w:t>
      </w:r>
      <w:r w:rsidR="5FFED9DF" w:rsidRPr="6879FC30">
        <w:t xml:space="preserve">a strong </w:t>
      </w:r>
      <w:r w:rsidR="5A13A876" w:rsidRPr="6879FC30">
        <w:t xml:space="preserve">workforce to support </w:t>
      </w:r>
      <w:r w:rsidR="310B9C7B" w:rsidRPr="6879FC30">
        <w:t>the growing demand</w:t>
      </w:r>
      <w:r w:rsidR="001D00C6">
        <w:t xml:space="preserve"> for services</w:t>
      </w:r>
      <w:r w:rsidR="2A3E2D7F" w:rsidRPr="6879FC30">
        <w:t xml:space="preserve"> is highlighted</w:t>
      </w:r>
      <w:r w:rsidR="43E181CE">
        <w:rPr>
          <w:szCs w:val="22"/>
        </w:rPr>
        <w:t>.</w:t>
      </w:r>
      <w:r w:rsidR="5A13A876">
        <w:rPr>
          <w:szCs w:val="22"/>
        </w:rPr>
        <w:t xml:space="preserve"> </w:t>
      </w:r>
      <w:r w:rsidR="4635E373" w:rsidRPr="4BDEE10D">
        <w:t xml:space="preserve">The Australian Government projects employment in </w:t>
      </w:r>
      <w:r w:rsidR="1E7C5FA7">
        <w:t>HCSA sector</w:t>
      </w:r>
      <w:r w:rsidR="4635E373" w:rsidRPr="4BDEE10D">
        <w:t xml:space="preserve"> to grow by 301,000 (or 15.8%) over the five years to November 2026</w:t>
      </w:r>
      <w:r w:rsidR="00E034D8">
        <w:rPr>
          <w:rStyle w:val="FootnoteReference"/>
        </w:rPr>
        <w:footnoteReference w:id="11"/>
      </w:r>
      <w:r w:rsidR="6C2DFDB1" w:rsidRPr="4BDEE10D">
        <w:t xml:space="preserve">, the second fastest growth of all 19 </w:t>
      </w:r>
      <w:r w:rsidR="1E7C5FA7" w:rsidRPr="002A0898">
        <w:t>Australian and New Zealand Standard Industrial Classification (</w:t>
      </w:r>
      <w:r w:rsidR="6C2DFDB1" w:rsidRPr="4BDEE10D">
        <w:t>ANZSIC</w:t>
      </w:r>
      <w:r w:rsidR="1E7C5FA7">
        <w:t>)</w:t>
      </w:r>
      <w:r w:rsidR="6C2DFDB1" w:rsidRPr="4BDEE10D">
        <w:t xml:space="preserve"> industries. The Care Workforce Labour Market Study predicts </w:t>
      </w:r>
      <w:r w:rsidR="591CB94A">
        <w:t>that</w:t>
      </w:r>
      <w:r w:rsidR="6C2DFDB1" w:rsidRPr="4BDEE10D">
        <w:t xml:space="preserve"> the care and support workforce </w:t>
      </w:r>
      <w:r w:rsidR="591CB94A">
        <w:t>will</w:t>
      </w:r>
      <w:r w:rsidR="6C2DFDB1" w:rsidRPr="4BDEE10D">
        <w:t xml:space="preserve"> reach 3.9% of total employment by 2049-50, up from 2.9% in 2019-</w:t>
      </w:r>
      <w:r w:rsidR="6C2DFDB1" w:rsidRPr="4596552B">
        <w:t>20</w:t>
      </w:r>
      <w:r w:rsidR="6C2DFDB1" w:rsidRPr="4596552B">
        <w:rPr>
          <w:vertAlign w:val="superscript"/>
        </w:rPr>
        <w:t>18</w:t>
      </w:r>
      <w:r w:rsidR="6C2DFDB1" w:rsidRPr="4BDEE10D">
        <w:t xml:space="preserve">.   </w:t>
      </w:r>
    </w:p>
    <w:p w14:paraId="5AE6EF9D" w14:textId="2C2D46E4" w:rsidR="00E94826" w:rsidRPr="00B0044A" w:rsidRDefault="00E94826" w:rsidP="00AE71F2">
      <w:r w:rsidRPr="4596552B">
        <w:t>The National Skills Commission</w:t>
      </w:r>
      <w:r w:rsidR="00165CAE" w:rsidRPr="4596552B">
        <w:t xml:space="preserve"> (now Job</w:t>
      </w:r>
      <w:r w:rsidR="001B5A90" w:rsidRPr="4596552B">
        <w:t>s</w:t>
      </w:r>
      <w:r w:rsidR="00165CAE" w:rsidRPr="4596552B">
        <w:t xml:space="preserve"> and Skills Australia</w:t>
      </w:r>
      <w:r w:rsidR="00165CAE">
        <w:t>)</w:t>
      </w:r>
      <w:r w:rsidRPr="4596552B">
        <w:t xml:space="preserve"> published the 2022 Skills Priority List Key Findings Report in October 2022. Many of the largest care related occupations by employment were found to be in shortage, including Aged or Disabled Carer, Nursing </w:t>
      </w:r>
      <w:r w:rsidR="6AAE8D4C">
        <w:t>S</w:t>
      </w:r>
      <w:r w:rsidRPr="4596552B">
        <w:t xml:space="preserve">upport </w:t>
      </w:r>
      <w:proofErr w:type="gramStart"/>
      <w:r w:rsidR="339FA890">
        <w:t>W</w:t>
      </w:r>
      <w:r w:rsidRPr="4596552B">
        <w:t>orker</w:t>
      </w:r>
      <w:proofErr w:type="gramEnd"/>
      <w:r w:rsidRPr="4596552B">
        <w:t xml:space="preserve"> and Personal Care Assistant. </w:t>
      </w:r>
    </w:p>
    <w:p w14:paraId="0288E23D" w14:textId="059B12A4" w:rsidR="00493FEE" w:rsidRPr="00B0044A" w:rsidRDefault="4635E373" w:rsidP="00AE71F2">
      <w:pPr>
        <w:rPr>
          <w:szCs w:val="22"/>
        </w:rPr>
      </w:pPr>
      <w:r w:rsidRPr="4596552B">
        <w:t xml:space="preserve">Several reports project persistent skills shortages in the care economy into the future. The Care Workforce Labour Market Study from </w:t>
      </w:r>
      <w:r w:rsidR="0DE36D27">
        <w:t>t</w:t>
      </w:r>
      <w:r w:rsidR="3485DD87" w:rsidRPr="4596552B">
        <w:t>he National Skills Commission</w:t>
      </w:r>
      <w:r w:rsidR="6C2DFDB1" w:rsidRPr="00B0044A">
        <w:rPr>
          <w:szCs w:val="22"/>
        </w:rPr>
        <w:t xml:space="preserve"> </w:t>
      </w:r>
      <w:r w:rsidR="3485DD87">
        <w:rPr>
          <w:szCs w:val="22"/>
        </w:rPr>
        <w:t>(</w:t>
      </w:r>
      <w:r w:rsidR="6C2DFDB1" w:rsidRPr="4596552B">
        <w:t>Jobs and Skills Australia</w:t>
      </w:r>
      <w:r w:rsidR="6201819B">
        <w:rPr>
          <w:szCs w:val="22"/>
        </w:rPr>
        <w:t>)</w:t>
      </w:r>
      <w:r w:rsidR="6C2DFDB1" w:rsidRPr="4596552B">
        <w:t xml:space="preserve"> forecasts a shortfall of about 100,000 care workers across the aged, disability and mental health care sectors by 2027-28, blowing out to 212,000 by 2050. A Centre for Economic Development (CEDA) report warns of a cumulative shortfall of 110,000 direct age care workers by 2030</w:t>
      </w:r>
      <w:r w:rsidR="00E034D8">
        <w:rPr>
          <w:rStyle w:val="FootnoteReference"/>
        </w:rPr>
        <w:footnoteReference w:id="12"/>
      </w:r>
      <w:r w:rsidR="6C2DFDB1" w:rsidRPr="00B0044A">
        <w:rPr>
          <w:szCs w:val="22"/>
        </w:rPr>
        <w:t xml:space="preserve">. </w:t>
      </w:r>
    </w:p>
    <w:p w14:paraId="5A8BC566" w14:textId="3A8D6992" w:rsidR="00493FEE" w:rsidRPr="00B0044A" w:rsidRDefault="6C2DFDB1" w:rsidP="00D61A5C">
      <w:pPr>
        <w:rPr>
          <w:szCs w:val="22"/>
        </w:rPr>
      </w:pPr>
      <w:r w:rsidRPr="4596552B">
        <w:t xml:space="preserve">Migration </w:t>
      </w:r>
      <w:r w:rsidR="2C05FA8B">
        <w:t>is</w:t>
      </w:r>
      <w:r w:rsidRPr="4596552B">
        <w:t xml:space="preserve"> an important pillar supporting the growth in the care economy workforce. Overseas-born workers comprise </w:t>
      </w:r>
      <w:r w:rsidRPr="0012488B">
        <w:t>around 40% of the care and support workforce in Australia</w:t>
      </w:r>
      <w:r w:rsidR="00E034D8">
        <w:rPr>
          <w:rStyle w:val="FootnoteReference"/>
        </w:rPr>
        <w:footnoteReference w:id="13"/>
      </w:r>
      <w:r w:rsidRPr="0012488B">
        <w:rPr>
          <w:szCs w:val="22"/>
        </w:rPr>
        <w:t xml:space="preserve">. </w:t>
      </w:r>
      <w:r w:rsidR="65FE88C6" w:rsidRPr="6879FC30">
        <w:t xml:space="preserve">For this reason, </w:t>
      </w:r>
      <w:r w:rsidR="65FE88C6" w:rsidRPr="0012488B">
        <w:t>t</w:t>
      </w:r>
      <w:r w:rsidRPr="0012488B">
        <w:t xml:space="preserve">he pandemic </w:t>
      </w:r>
      <w:r w:rsidR="65FE88C6" w:rsidRPr="0012488B">
        <w:t xml:space="preserve">and associated restrictions on migration </w:t>
      </w:r>
      <w:r w:rsidR="109EB981">
        <w:t>could have</w:t>
      </w:r>
      <w:r w:rsidR="109EB981" w:rsidRPr="0012488B">
        <w:t xml:space="preserve"> </w:t>
      </w:r>
      <w:r w:rsidR="03331D2D" w:rsidRPr="0012488B">
        <w:t xml:space="preserve">exacerbated </w:t>
      </w:r>
      <w:r w:rsidR="65FE88C6" w:rsidRPr="0012488B">
        <w:t xml:space="preserve">labour shortages in </w:t>
      </w:r>
      <w:r w:rsidRPr="0012488B">
        <w:t>the care economy</w:t>
      </w:r>
      <w:r w:rsidR="65FE88C6" w:rsidRPr="0012488B">
        <w:t>. However</w:t>
      </w:r>
      <w:r w:rsidR="10986942">
        <w:t>,</w:t>
      </w:r>
      <w:r w:rsidR="65FE88C6">
        <w:t xml:space="preserve"> migration </w:t>
      </w:r>
      <w:r w:rsidR="25A13C20">
        <w:t xml:space="preserve">has rebounded strongly and is likely to </w:t>
      </w:r>
      <w:r w:rsidR="1E79B4B5">
        <w:t xml:space="preserve">alleviate </w:t>
      </w:r>
      <w:r w:rsidR="1C307F80">
        <w:t xml:space="preserve">some of the existing shortages. </w:t>
      </w:r>
      <w:r w:rsidR="55BD4189">
        <w:rPr>
          <w:szCs w:val="22"/>
        </w:rPr>
        <w:t xml:space="preserve"> </w:t>
      </w:r>
    </w:p>
    <w:p w14:paraId="5601952A" w14:textId="408B34B0" w:rsidR="001E0FA5" w:rsidRDefault="001E0FA5" w:rsidP="001E0FA5">
      <w:r>
        <w:t xml:space="preserve">In summary, </w:t>
      </w:r>
      <w:r w:rsidR="00FF547B">
        <w:t>t</w:t>
      </w:r>
      <w:r>
        <w:t xml:space="preserve">hese conditions </w:t>
      </w:r>
      <w:r w:rsidR="00FF547B">
        <w:t>suggest</w:t>
      </w:r>
      <w:r w:rsidR="000F5C6B">
        <w:t xml:space="preserve"> a strong demand going forward and </w:t>
      </w:r>
      <w:r w:rsidR="002B26D3">
        <w:t xml:space="preserve">a very tight labour market, which </w:t>
      </w:r>
      <w:r w:rsidR="00546DEE">
        <w:t xml:space="preserve">could </w:t>
      </w:r>
      <w:r w:rsidR="6A621C2A">
        <w:t>pose challenges</w:t>
      </w:r>
      <w:r w:rsidR="00546DEE">
        <w:t xml:space="preserve"> for </w:t>
      </w:r>
      <w:r>
        <w:t xml:space="preserve">businesses </w:t>
      </w:r>
      <w:r w:rsidR="7BEAF37F">
        <w:t>in finding</w:t>
      </w:r>
      <w:r>
        <w:t xml:space="preserve"> workers to fill open positions. </w:t>
      </w:r>
    </w:p>
    <w:p w14:paraId="49AF52BF" w14:textId="77777777" w:rsidR="001B7612" w:rsidRDefault="001B7612" w:rsidP="000043BA">
      <w:pPr>
        <w:sectPr w:rsidR="001B7612" w:rsidSect="00E208B3">
          <w:endnotePr>
            <w:numFmt w:val="decimal"/>
            <w:numRestart w:val="eachSect"/>
          </w:endnotePr>
          <w:pgSz w:w="11907" w:h="16839" w:code="9"/>
          <w:pgMar w:top="1080" w:right="1440" w:bottom="1276" w:left="1440" w:header="709" w:footer="709" w:gutter="0"/>
          <w:cols w:space="708"/>
          <w:docGrid w:linePitch="360"/>
        </w:sectPr>
      </w:pPr>
    </w:p>
    <w:p w14:paraId="7992619E" w14:textId="27DB74E6" w:rsidR="00E94826" w:rsidRPr="006274F1" w:rsidRDefault="00E94826" w:rsidP="00F317CA">
      <w:pPr>
        <w:pStyle w:val="Heading2"/>
      </w:pPr>
      <w:bookmarkStart w:id="42" w:name="_Toc135405222"/>
      <w:r w:rsidRPr="006274F1">
        <w:lastRenderedPageBreak/>
        <w:t>Disability Support Worker related supports</w:t>
      </w:r>
      <w:bookmarkEnd w:id="42"/>
    </w:p>
    <w:p w14:paraId="22886A3F" w14:textId="1043F503" w:rsidR="00763017" w:rsidRPr="0062166B" w:rsidRDefault="00763017" w:rsidP="00D9646F">
      <w:pPr>
        <w:pStyle w:val="Heading3"/>
      </w:pPr>
      <w:r w:rsidRPr="0062166B">
        <w:t>4.1</w:t>
      </w:r>
      <w:r w:rsidRPr="0062166B">
        <w:tab/>
        <w:t>Context</w:t>
      </w:r>
    </w:p>
    <w:p w14:paraId="3CB502B0" w14:textId="48400BED" w:rsidR="0061375C" w:rsidRPr="005B4A6B" w:rsidRDefault="403C887A" w:rsidP="0061375C">
      <w:pPr>
        <w:rPr>
          <w:rFonts w:eastAsia="Arial" w:cs="Arial"/>
        </w:rPr>
      </w:pPr>
      <w:r w:rsidRPr="01D6E362">
        <w:rPr>
          <w:rFonts w:eastAsia="Arial" w:cs="Arial"/>
        </w:rPr>
        <w:t xml:space="preserve">The </w:t>
      </w:r>
      <w:r w:rsidR="42CD582B">
        <w:rPr>
          <w:rFonts w:eastAsia="Arial" w:cs="Arial"/>
        </w:rPr>
        <w:t>National Disability Insurance Agency (</w:t>
      </w:r>
      <w:r w:rsidRPr="01D6E362">
        <w:rPr>
          <w:rFonts w:eastAsia="Arial" w:cs="Arial"/>
        </w:rPr>
        <w:t>NDIA</w:t>
      </w:r>
      <w:r w:rsidR="42CD582B">
        <w:rPr>
          <w:rFonts w:eastAsia="Arial" w:cs="Arial"/>
        </w:rPr>
        <w:t>)</w:t>
      </w:r>
      <w:r w:rsidRPr="01D6E362">
        <w:rPr>
          <w:rFonts w:eastAsia="Arial" w:cs="Arial"/>
        </w:rPr>
        <w:t xml:space="preserve"> uses the </w:t>
      </w:r>
      <w:r w:rsidR="42CD582B">
        <w:rPr>
          <w:rFonts w:eastAsia="Arial" w:cs="Arial"/>
        </w:rPr>
        <w:t>National Disability Insurance Scheme (</w:t>
      </w:r>
      <w:r w:rsidRPr="01D6E362">
        <w:rPr>
          <w:rFonts w:eastAsia="Arial" w:cs="Arial"/>
        </w:rPr>
        <w:t>NDIS</w:t>
      </w:r>
      <w:r w:rsidR="42CD582B">
        <w:rPr>
          <w:rFonts w:eastAsia="Arial" w:cs="Arial"/>
        </w:rPr>
        <w:t>)</w:t>
      </w:r>
      <w:r w:rsidRPr="01D6E362">
        <w:rPr>
          <w:rFonts w:eastAsia="Arial" w:cs="Arial"/>
        </w:rPr>
        <w:t xml:space="preserve"> </w:t>
      </w:r>
      <w:r w:rsidR="7531B508">
        <w:rPr>
          <w:rFonts w:eastAsia="Arial" w:cs="Arial"/>
        </w:rPr>
        <w:t>Disability Support Worker (</w:t>
      </w:r>
      <w:r>
        <w:rPr>
          <w:rFonts w:eastAsia="Arial" w:cs="Arial"/>
        </w:rPr>
        <w:t>DSW</w:t>
      </w:r>
      <w:r w:rsidR="7531B508">
        <w:rPr>
          <w:rFonts w:eastAsia="Arial" w:cs="Arial"/>
        </w:rPr>
        <w:t>)</w:t>
      </w:r>
      <w:r w:rsidRPr="01D6E362">
        <w:rPr>
          <w:rFonts w:eastAsia="Arial" w:cs="Arial"/>
        </w:rPr>
        <w:t xml:space="preserve"> Cost Model 2022-23</w:t>
      </w:r>
      <w:r w:rsidR="00E034D8">
        <w:rPr>
          <w:rStyle w:val="FootnoteReference"/>
          <w:rFonts w:eastAsia="Arial" w:cs="Arial"/>
        </w:rPr>
        <w:footnoteReference w:id="14"/>
      </w:r>
      <w:r>
        <w:rPr>
          <w:rStyle w:val="CommentReference"/>
        </w:rPr>
        <w:t xml:space="preserve"> </w:t>
      </w:r>
      <w:r w:rsidRPr="20831D40">
        <w:rPr>
          <w:rFonts w:eastAsia="Arial" w:cs="Arial"/>
        </w:rPr>
        <w:t xml:space="preserve">to estimate the costs that </w:t>
      </w:r>
      <w:bookmarkStart w:id="43" w:name="_Int_tgebzRgQ"/>
      <w:r w:rsidRPr="20831D40">
        <w:rPr>
          <w:rFonts w:eastAsia="Arial" w:cs="Arial"/>
        </w:rPr>
        <w:t>a reasonably efficient</w:t>
      </w:r>
      <w:bookmarkEnd w:id="43"/>
      <w:r w:rsidRPr="20831D40">
        <w:rPr>
          <w:rFonts w:eastAsia="Arial" w:cs="Arial"/>
        </w:rPr>
        <w:t xml:space="preserve"> provider would incur in delivering a billable hour of support. </w:t>
      </w:r>
      <w:r w:rsidRPr="01D6E362">
        <w:rPr>
          <w:rFonts w:eastAsia="Arial" w:cs="Arial"/>
        </w:rPr>
        <w:t xml:space="preserve">The Cost Model takes account of </w:t>
      </w:r>
      <w:r w:rsidR="4A9B9AFB" w:rsidRPr="01D6E362">
        <w:rPr>
          <w:rFonts w:eastAsia="Arial" w:cs="Arial"/>
        </w:rPr>
        <w:t>all</w:t>
      </w:r>
      <w:r w:rsidRPr="01D6E362">
        <w:rPr>
          <w:rFonts w:eastAsia="Arial" w:cs="Arial"/>
        </w:rPr>
        <w:t xml:space="preserve"> the costs associated with </w:t>
      </w:r>
      <w:r>
        <w:rPr>
          <w:rFonts w:eastAsia="Arial" w:cs="Arial"/>
        </w:rPr>
        <w:t>a</w:t>
      </w:r>
      <w:r w:rsidRPr="01D6E362">
        <w:rPr>
          <w:rFonts w:eastAsia="Arial" w:cs="Arial"/>
        </w:rPr>
        <w:t xml:space="preserve"> billable hour</w:t>
      </w:r>
      <w:r>
        <w:rPr>
          <w:rFonts w:eastAsia="Arial" w:cs="Arial"/>
        </w:rPr>
        <w:t xml:space="preserve"> of support</w:t>
      </w:r>
      <w:r w:rsidRPr="01D6E362">
        <w:rPr>
          <w:rFonts w:eastAsia="Arial" w:cs="Arial"/>
        </w:rPr>
        <w:t>.</w:t>
      </w:r>
    </w:p>
    <w:p w14:paraId="0734DE80" w14:textId="117E0BC6" w:rsidR="0061375C" w:rsidRDefault="0061375C" w:rsidP="0061375C">
      <w:r w:rsidRPr="55DA9532">
        <w:rPr>
          <w:rFonts w:eastAsia="Arial" w:cs="Arial"/>
          <w:b/>
          <w:bCs/>
          <w:szCs w:val="22"/>
        </w:rPr>
        <w:t xml:space="preserve">Parameters of the DSW </w:t>
      </w:r>
      <w:r w:rsidRPr="00583E3A">
        <w:rPr>
          <w:rFonts w:eastAsia="Arial" w:cs="Arial"/>
          <w:b/>
          <w:bCs/>
          <w:szCs w:val="22"/>
        </w:rPr>
        <w:t xml:space="preserve">Cost </w:t>
      </w:r>
      <w:r w:rsidR="00583E3A" w:rsidRPr="00583E3A">
        <w:rPr>
          <w:b/>
          <w:bCs/>
          <w:iCs/>
        </w:rPr>
        <w:t>Model</w:t>
      </w:r>
    </w:p>
    <w:p w14:paraId="12488FB2" w14:textId="53403ABF" w:rsidR="0061375C" w:rsidRDefault="00AD1A94" w:rsidP="0061375C">
      <w:r>
        <w:rPr>
          <w:rFonts w:eastAsia="Arial" w:cs="Arial"/>
        </w:rPr>
        <w:t>The</w:t>
      </w:r>
      <w:r w:rsidR="0061375C" w:rsidRPr="5BADD6DB">
        <w:rPr>
          <w:rFonts w:eastAsia="Arial" w:cs="Arial"/>
        </w:rPr>
        <w:t xml:space="preserve"> NDIS DSW Cost Model was </w:t>
      </w:r>
      <w:r>
        <w:rPr>
          <w:rFonts w:eastAsia="Arial" w:cs="Arial"/>
        </w:rPr>
        <w:t xml:space="preserve">simplified </w:t>
      </w:r>
      <w:r w:rsidR="61BB6D67" w:rsidRPr="01AE804F">
        <w:rPr>
          <w:rFonts w:eastAsia="Arial" w:cs="Arial"/>
        </w:rPr>
        <w:t xml:space="preserve">in </w:t>
      </w:r>
      <w:r w:rsidR="61BB6D67" w:rsidRPr="73974364">
        <w:rPr>
          <w:rFonts w:eastAsia="Arial" w:cs="Arial"/>
        </w:rPr>
        <w:t>2022</w:t>
      </w:r>
      <w:r w:rsidR="04E96A10" w:rsidRPr="73974364">
        <w:rPr>
          <w:rFonts w:eastAsia="Arial" w:cs="Arial"/>
        </w:rPr>
        <w:t>.</w:t>
      </w:r>
      <w:r>
        <w:rPr>
          <w:rFonts w:eastAsia="Arial" w:cs="Arial"/>
        </w:rPr>
        <w:t xml:space="preserve"> </w:t>
      </w:r>
      <w:r w:rsidR="00266B08">
        <w:rPr>
          <w:rFonts w:eastAsia="Arial" w:cs="Arial"/>
        </w:rPr>
        <w:t>No significant revision</w:t>
      </w:r>
      <w:r w:rsidR="00167D35">
        <w:rPr>
          <w:rFonts w:eastAsia="Arial" w:cs="Arial"/>
        </w:rPr>
        <w:t>s</w:t>
      </w:r>
      <w:r w:rsidR="00266B08">
        <w:rPr>
          <w:rFonts w:eastAsia="Arial" w:cs="Arial"/>
        </w:rPr>
        <w:t xml:space="preserve"> to the Cost Model w</w:t>
      </w:r>
      <w:r w:rsidR="00167D35">
        <w:rPr>
          <w:rFonts w:eastAsia="Arial" w:cs="Arial"/>
        </w:rPr>
        <w:t>ere</w:t>
      </w:r>
      <w:r w:rsidR="00266B08">
        <w:rPr>
          <w:rFonts w:eastAsia="Arial" w:cs="Arial"/>
        </w:rPr>
        <w:t xml:space="preserve"> undertaken this year given the scope of the current APR. The </w:t>
      </w:r>
      <w:r w:rsidR="00D25800">
        <w:rPr>
          <w:rFonts w:eastAsia="Arial" w:cs="Arial"/>
        </w:rPr>
        <w:t xml:space="preserve">inputs to the </w:t>
      </w:r>
      <w:r w:rsidR="0061375C" w:rsidRPr="5BADD6DB">
        <w:rPr>
          <w:rFonts w:eastAsia="Arial" w:cs="Arial"/>
        </w:rPr>
        <w:t xml:space="preserve">current model </w:t>
      </w:r>
      <w:r w:rsidR="00D25800">
        <w:rPr>
          <w:rFonts w:eastAsia="Arial" w:cs="Arial"/>
        </w:rPr>
        <w:t>are</w:t>
      </w:r>
      <w:r w:rsidR="00D25800" w:rsidRPr="5BADD6DB">
        <w:rPr>
          <w:rFonts w:eastAsia="Arial" w:cs="Arial"/>
        </w:rPr>
        <w:t xml:space="preserve"> </w:t>
      </w:r>
      <w:r w:rsidR="0061375C" w:rsidRPr="5BADD6DB">
        <w:rPr>
          <w:rFonts w:eastAsia="Arial" w:cs="Arial"/>
        </w:rPr>
        <w:t>outlined below:</w:t>
      </w:r>
    </w:p>
    <w:p w14:paraId="71057CE6" w14:textId="5E89C0C2" w:rsidR="0061375C" w:rsidRPr="00712A62" w:rsidRDefault="0061375C" w:rsidP="00F317CA">
      <w:pPr>
        <w:pStyle w:val="ListParagraph"/>
        <w:numPr>
          <w:ilvl w:val="0"/>
          <w:numId w:val="14"/>
        </w:numPr>
        <w:rPr>
          <w:rFonts w:eastAsia="Arial" w:cs="Arial"/>
        </w:rPr>
      </w:pPr>
      <w:r w:rsidRPr="00FD1D79">
        <w:rPr>
          <w:rFonts w:eastAsia="Arial" w:cs="Arial"/>
        </w:rPr>
        <w:t xml:space="preserve">Base </w:t>
      </w:r>
      <w:r w:rsidR="002F1966" w:rsidRPr="00FD1D79">
        <w:rPr>
          <w:rFonts w:eastAsia="Arial" w:cs="Arial"/>
        </w:rPr>
        <w:t>s</w:t>
      </w:r>
      <w:r w:rsidRPr="00FD1D79">
        <w:rPr>
          <w:rFonts w:eastAsia="Arial" w:cs="Arial"/>
        </w:rPr>
        <w:t xml:space="preserve">alary and </w:t>
      </w:r>
      <w:r w:rsidR="002F1966" w:rsidRPr="00FD1D79">
        <w:rPr>
          <w:rFonts w:eastAsia="Arial" w:cs="Arial"/>
        </w:rPr>
        <w:t>s</w:t>
      </w:r>
      <w:r w:rsidRPr="00FD1D79">
        <w:rPr>
          <w:rFonts w:eastAsia="Arial" w:cs="Arial"/>
        </w:rPr>
        <w:t xml:space="preserve">hift </w:t>
      </w:r>
      <w:r w:rsidR="002F1966" w:rsidRPr="00FD1D79">
        <w:rPr>
          <w:rFonts w:eastAsia="Arial" w:cs="Arial"/>
        </w:rPr>
        <w:t>l</w:t>
      </w:r>
      <w:r w:rsidRPr="00FD1D79">
        <w:rPr>
          <w:rFonts w:eastAsia="Arial" w:cs="Arial"/>
        </w:rPr>
        <w:t>oading</w:t>
      </w:r>
      <w:r w:rsidRPr="00712A62">
        <w:rPr>
          <w:rFonts w:eastAsia="Arial" w:cs="Arial"/>
        </w:rPr>
        <w:t xml:space="preserve"> costs, including shift loadings. Note that in the Cost Model, costs are based on permanent worker costs. These are linked to </w:t>
      </w:r>
      <w:r w:rsidR="009C4697" w:rsidRPr="00712A62">
        <w:rPr>
          <w:rFonts w:eastAsia="Arial" w:cs="Arial"/>
          <w:i/>
          <w:iCs/>
        </w:rPr>
        <w:t>Social, Community, Home Care and Disability Services Industry Award 2010</w:t>
      </w:r>
      <w:r w:rsidR="009C4697" w:rsidRPr="00712A62">
        <w:rPr>
          <w:rFonts w:eastAsia="Arial" w:cs="Arial"/>
        </w:rPr>
        <w:t xml:space="preserve"> (</w:t>
      </w:r>
      <w:r w:rsidRPr="00712A62">
        <w:rPr>
          <w:rFonts w:eastAsia="Times New Roman"/>
          <w:szCs w:val="22"/>
          <w:lang w:eastAsia="en-AU"/>
        </w:rPr>
        <w:t>SCHADS Award</w:t>
      </w:r>
      <w:r w:rsidR="009C4697" w:rsidRPr="00712A62">
        <w:rPr>
          <w:rFonts w:eastAsia="Times New Roman"/>
          <w:szCs w:val="22"/>
          <w:lang w:eastAsia="en-AU"/>
        </w:rPr>
        <w:t>)</w:t>
      </w:r>
      <w:r w:rsidRPr="00712A62">
        <w:rPr>
          <w:rFonts w:eastAsia="Times New Roman"/>
          <w:szCs w:val="22"/>
          <w:lang w:eastAsia="en-AU"/>
        </w:rPr>
        <w:t xml:space="preserve"> wage levels 2.3, 2.4/3.1, 3.2 and 4.4.</w:t>
      </w:r>
    </w:p>
    <w:p w14:paraId="7A95785D" w14:textId="65B4B4DB" w:rsidR="0061375C" w:rsidRPr="00712A62" w:rsidRDefault="0061375C" w:rsidP="00F317CA">
      <w:pPr>
        <w:pStyle w:val="ListParagraph"/>
        <w:numPr>
          <w:ilvl w:val="0"/>
          <w:numId w:val="14"/>
        </w:numPr>
        <w:rPr>
          <w:rFonts w:eastAsia="Arial" w:cs="Arial"/>
        </w:rPr>
      </w:pPr>
      <w:r w:rsidRPr="00FD1D79">
        <w:rPr>
          <w:rFonts w:eastAsia="Arial" w:cs="Arial"/>
        </w:rPr>
        <w:t xml:space="preserve">Direct </w:t>
      </w:r>
      <w:r w:rsidR="002F1966" w:rsidRPr="00FD1D79">
        <w:rPr>
          <w:rFonts w:eastAsia="Arial" w:cs="Arial"/>
        </w:rPr>
        <w:t>o</w:t>
      </w:r>
      <w:r w:rsidRPr="00FD1D79">
        <w:rPr>
          <w:rFonts w:eastAsia="Arial" w:cs="Arial"/>
        </w:rPr>
        <w:t>n-costs</w:t>
      </w:r>
      <w:r w:rsidRPr="00712A62">
        <w:rPr>
          <w:rFonts w:eastAsia="Arial" w:cs="Arial"/>
        </w:rPr>
        <w:t>, which covers those costs of employment associated with Superannuation entitlements, Annual Leave entitlements (20 days), Personal Leave entitlements (10 days), Long Service Leave entitlements (4.3 days) and Employee Allowances.</w:t>
      </w:r>
    </w:p>
    <w:p w14:paraId="53378EE1" w14:textId="608B225A" w:rsidR="0061375C" w:rsidRPr="00712A62" w:rsidRDefault="0061375C" w:rsidP="00F317CA">
      <w:pPr>
        <w:pStyle w:val="ListParagraph"/>
        <w:numPr>
          <w:ilvl w:val="0"/>
          <w:numId w:val="14"/>
        </w:numPr>
        <w:rPr>
          <w:rFonts w:eastAsia="Arial" w:cs="Arial"/>
        </w:rPr>
      </w:pPr>
      <w:r w:rsidRPr="00FD1D79">
        <w:rPr>
          <w:rFonts w:eastAsia="Arial" w:cs="Arial"/>
        </w:rPr>
        <w:t xml:space="preserve">Operational </w:t>
      </w:r>
      <w:r w:rsidR="002F1966" w:rsidRPr="00FD1D79">
        <w:rPr>
          <w:rFonts w:eastAsia="Arial" w:cs="Arial"/>
        </w:rPr>
        <w:t>o</w:t>
      </w:r>
      <w:r w:rsidRPr="00FD1D79">
        <w:rPr>
          <w:rFonts w:eastAsia="Arial" w:cs="Arial"/>
        </w:rPr>
        <w:t>verheads</w:t>
      </w:r>
      <w:r w:rsidRPr="00712A62">
        <w:rPr>
          <w:rFonts w:eastAsia="Arial" w:cs="Arial"/>
        </w:rPr>
        <w:t>, which covers those costs that are in the operational control of the provider and include supervision costs, quality and safeguarding costs, utilisation costs (billable versus unbillable hours), training costs, workers compensation costs, and workforce rostering costs including those related to share of the workforce that is permanent or casual, and the extent to which overtime is used.</w:t>
      </w:r>
    </w:p>
    <w:p w14:paraId="15713AC3" w14:textId="54B1CD02" w:rsidR="0061375C" w:rsidRPr="00712A62" w:rsidRDefault="0061375C" w:rsidP="00F317CA">
      <w:pPr>
        <w:pStyle w:val="ListParagraph"/>
        <w:numPr>
          <w:ilvl w:val="0"/>
          <w:numId w:val="14"/>
        </w:numPr>
        <w:rPr>
          <w:rFonts w:eastAsia="Arial" w:cs="Arial"/>
        </w:rPr>
      </w:pPr>
      <w:r w:rsidRPr="00FD1D79">
        <w:rPr>
          <w:rFonts w:eastAsia="Arial" w:cs="Arial"/>
        </w:rPr>
        <w:t xml:space="preserve">Corporate </w:t>
      </w:r>
      <w:r w:rsidR="002F1966" w:rsidRPr="00FD1D79">
        <w:rPr>
          <w:rFonts w:eastAsia="Arial" w:cs="Arial"/>
        </w:rPr>
        <w:t>o</w:t>
      </w:r>
      <w:r w:rsidRPr="00FD1D79">
        <w:rPr>
          <w:rFonts w:eastAsia="Arial" w:cs="Arial"/>
        </w:rPr>
        <w:t>verheads</w:t>
      </w:r>
      <w:r w:rsidRPr="00712A62">
        <w:rPr>
          <w:rFonts w:eastAsia="Arial" w:cs="Arial"/>
        </w:rPr>
        <w:t>, which covers those costs incurred to run the administrative side of a business. These costs include the accounting, human resources, legal, marketing, and information technology functions.</w:t>
      </w:r>
    </w:p>
    <w:p w14:paraId="33E80955" w14:textId="77777777" w:rsidR="0061375C" w:rsidRPr="00712A62" w:rsidRDefault="0061375C" w:rsidP="00F317CA">
      <w:pPr>
        <w:pStyle w:val="ListParagraph"/>
        <w:numPr>
          <w:ilvl w:val="0"/>
          <w:numId w:val="14"/>
        </w:numPr>
        <w:rPr>
          <w:rFonts w:eastAsia="Arial" w:cs="Arial"/>
        </w:rPr>
      </w:pPr>
      <w:r w:rsidRPr="00FD1D79">
        <w:rPr>
          <w:rFonts w:eastAsia="Arial" w:cs="Arial"/>
        </w:rPr>
        <w:t>Margin</w:t>
      </w:r>
      <w:r w:rsidRPr="00712A62">
        <w:rPr>
          <w:rFonts w:eastAsia="Arial" w:cs="Arial"/>
        </w:rPr>
        <w:t>, which represents the return that the provider makes because of the provision of working capital to the business.</w:t>
      </w:r>
    </w:p>
    <w:p w14:paraId="67BAC816" w14:textId="4412984C" w:rsidR="0061375C" w:rsidRPr="00712A62" w:rsidRDefault="0061375C" w:rsidP="00F317CA">
      <w:pPr>
        <w:pStyle w:val="ListParagraph"/>
        <w:numPr>
          <w:ilvl w:val="0"/>
          <w:numId w:val="14"/>
        </w:numPr>
        <w:rPr>
          <w:rFonts w:eastAsia="Arial" w:cs="Arial"/>
        </w:rPr>
      </w:pPr>
      <w:r w:rsidRPr="00FD1D79">
        <w:rPr>
          <w:rFonts w:eastAsia="Arial" w:cs="Arial"/>
        </w:rPr>
        <w:t xml:space="preserve">Temporary </w:t>
      </w:r>
      <w:r w:rsidR="002F1966" w:rsidRPr="00FD1D79">
        <w:rPr>
          <w:rFonts w:eastAsia="Arial" w:cs="Arial"/>
        </w:rPr>
        <w:t>l</w:t>
      </w:r>
      <w:r w:rsidRPr="00FD1D79">
        <w:rPr>
          <w:rFonts w:eastAsia="Arial" w:cs="Arial"/>
        </w:rPr>
        <w:t>oading</w:t>
      </w:r>
      <w:r w:rsidRPr="00712A62">
        <w:rPr>
          <w:rFonts w:eastAsia="Arial" w:cs="Arial"/>
        </w:rPr>
        <w:t xml:space="preserve"> introduced on 1 July 2022 to recognises the variable costs of COVID and of adjusting to the new provisions in the SCHADS Award.</w:t>
      </w:r>
    </w:p>
    <w:p w14:paraId="38922E10" w14:textId="326CFC36" w:rsidR="0030131B" w:rsidRPr="00533D2B" w:rsidRDefault="002F7B94" w:rsidP="0061375C">
      <w:r w:rsidRPr="00183327">
        <w:t xml:space="preserve">The </w:t>
      </w:r>
      <w:r w:rsidR="00563A5A" w:rsidRPr="00183327">
        <w:t xml:space="preserve">DSW </w:t>
      </w:r>
      <w:r w:rsidRPr="00183327">
        <w:t xml:space="preserve">Cost Model </w:t>
      </w:r>
      <w:r w:rsidR="00B773F2" w:rsidRPr="00183327">
        <w:t>is driven by relevant DSW wage</w:t>
      </w:r>
      <w:r w:rsidR="00CC5287" w:rsidRPr="00183327">
        <w:t>s</w:t>
      </w:r>
      <w:r w:rsidR="00B773F2" w:rsidRPr="00183327">
        <w:t xml:space="preserve"> from the SCHADS Award</w:t>
      </w:r>
      <w:r w:rsidR="00583D40" w:rsidRPr="00183327">
        <w:t>, with the DSW Cost Model being multiplicative</w:t>
      </w:r>
      <w:r w:rsidR="00980C6D" w:rsidRPr="00183327">
        <w:t xml:space="preserve"> after salary and direct on-costs are </w:t>
      </w:r>
      <w:r w:rsidR="00C54A46" w:rsidRPr="00183327">
        <w:t>calculated</w:t>
      </w:r>
      <w:r w:rsidR="00B773F2" w:rsidRPr="00183327">
        <w:t xml:space="preserve">. </w:t>
      </w:r>
      <w:r w:rsidR="008D43A4" w:rsidRPr="00183327">
        <w:t xml:space="preserve">What this means is that </w:t>
      </w:r>
      <w:r w:rsidR="00B02E65" w:rsidRPr="00183327">
        <w:t xml:space="preserve">any changes to DSW wage inputs will have a flow on effect throughout the Cost Model’s calculations. That is, </w:t>
      </w:r>
      <w:r w:rsidR="000A21C9" w:rsidRPr="00183327">
        <w:t>Overheads</w:t>
      </w:r>
      <w:r w:rsidR="00980C6D" w:rsidRPr="00183327">
        <w:t xml:space="preserve"> </w:t>
      </w:r>
      <w:r w:rsidR="00B02E65" w:rsidRPr="00183327">
        <w:t xml:space="preserve">(Operational and Corporate) </w:t>
      </w:r>
      <w:r w:rsidR="1DD142AB">
        <w:t>are</w:t>
      </w:r>
      <w:r w:rsidR="000A21C9" w:rsidRPr="00183327">
        <w:t xml:space="preserve"> calculated </w:t>
      </w:r>
      <w:r w:rsidRPr="00183327">
        <w:t xml:space="preserve">as a percentage of direct costs </w:t>
      </w:r>
      <w:r w:rsidR="000A21C9" w:rsidRPr="00183327">
        <w:t>in the Cost Model</w:t>
      </w:r>
      <w:r w:rsidR="00DA1F65" w:rsidRPr="00183327">
        <w:t xml:space="preserve">. </w:t>
      </w:r>
      <w:r w:rsidR="00053D2B" w:rsidRPr="00183327">
        <w:t xml:space="preserve">Margin </w:t>
      </w:r>
      <w:r w:rsidR="00C54A46" w:rsidRPr="00183327">
        <w:t>is applied as a percentage of all costs</w:t>
      </w:r>
      <w:r w:rsidR="00B02E65" w:rsidRPr="00183327">
        <w:t xml:space="preserve"> to that point</w:t>
      </w:r>
      <w:r w:rsidR="00C54A46" w:rsidRPr="00183327">
        <w:t>, with the Temporary Loading applied as a percentage of all costs at the end of calculations.</w:t>
      </w:r>
    </w:p>
    <w:p w14:paraId="039AD567" w14:textId="1A7FEC1F" w:rsidR="0061375C" w:rsidRDefault="0061375C" w:rsidP="0061375C">
      <w:pPr>
        <w:rPr>
          <w:rFonts w:eastAsia="Arial" w:cs="Arial"/>
        </w:rPr>
      </w:pPr>
      <w:r w:rsidRPr="156C6BFC">
        <w:rPr>
          <w:rFonts w:eastAsia="Arial" w:cs="Arial"/>
        </w:rPr>
        <w:lastRenderedPageBreak/>
        <w:t xml:space="preserve">The DSW </w:t>
      </w:r>
      <w:r>
        <w:rPr>
          <w:rFonts w:eastAsia="Arial" w:cs="Arial"/>
        </w:rPr>
        <w:t>C</w:t>
      </w:r>
      <w:r w:rsidRPr="156C6BFC">
        <w:rPr>
          <w:rFonts w:eastAsia="Arial" w:cs="Arial"/>
        </w:rPr>
        <w:t xml:space="preserve">ost </w:t>
      </w:r>
      <w:r>
        <w:rPr>
          <w:rFonts w:eastAsia="Arial" w:cs="Arial"/>
        </w:rPr>
        <w:t>M</w:t>
      </w:r>
      <w:r w:rsidRPr="156C6BFC">
        <w:rPr>
          <w:rFonts w:eastAsia="Arial" w:cs="Arial"/>
        </w:rPr>
        <w:t xml:space="preserve">odel is one factor considered in </w:t>
      </w:r>
      <w:r>
        <w:rPr>
          <w:rFonts w:eastAsia="Arial" w:cs="Arial"/>
        </w:rPr>
        <w:t xml:space="preserve">NDIS </w:t>
      </w:r>
      <w:r w:rsidRPr="156C6BFC">
        <w:rPr>
          <w:rFonts w:eastAsia="Arial" w:cs="Arial"/>
        </w:rPr>
        <w:t xml:space="preserve">price setting along with other factors such as market conditions, the SCHADS </w:t>
      </w:r>
      <w:r w:rsidRPr="118B33D4">
        <w:rPr>
          <w:rFonts w:eastAsia="Arial" w:cs="Arial"/>
        </w:rPr>
        <w:t>Award</w:t>
      </w:r>
      <w:r w:rsidRPr="156C6BFC">
        <w:rPr>
          <w:rFonts w:eastAsia="Arial" w:cs="Arial"/>
        </w:rPr>
        <w:t xml:space="preserve">, minimum wage conditions and mandatory superannuation contributions. </w:t>
      </w:r>
    </w:p>
    <w:p w14:paraId="7C64E8F8" w14:textId="17B087CE" w:rsidR="00D25800" w:rsidRPr="00BC4C00" w:rsidRDefault="00734138" w:rsidP="0061375C">
      <w:pPr>
        <w:rPr>
          <w:rFonts w:eastAsia="Arial" w:cs="Arial"/>
        </w:rPr>
      </w:pPr>
      <w:r>
        <w:rPr>
          <w:rFonts w:eastAsia="Arial" w:cs="Arial"/>
        </w:rPr>
        <w:t>Proposed c</w:t>
      </w:r>
      <w:r w:rsidR="00D25800">
        <w:rPr>
          <w:rFonts w:eastAsia="Arial" w:cs="Arial"/>
        </w:rPr>
        <w:t xml:space="preserve">hanges </w:t>
      </w:r>
      <w:r w:rsidR="00E3344C">
        <w:rPr>
          <w:rFonts w:eastAsia="Arial" w:cs="Arial"/>
        </w:rPr>
        <w:t xml:space="preserve">are </w:t>
      </w:r>
      <w:r w:rsidR="00AC4120">
        <w:rPr>
          <w:rFonts w:eastAsia="Arial" w:cs="Arial"/>
        </w:rPr>
        <w:t>suggested</w:t>
      </w:r>
      <w:r w:rsidR="00D25800">
        <w:rPr>
          <w:rFonts w:eastAsia="Arial" w:cs="Arial"/>
        </w:rPr>
        <w:t xml:space="preserve"> to incorporate the new family and domestic violence leave</w:t>
      </w:r>
      <w:r w:rsidR="00E70124">
        <w:rPr>
          <w:rFonts w:eastAsia="Arial" w:cs="Arial"/>
        </w:rPr>
        <w:t xml:space="preserve"> reform</w:t>
      </w:r>
      <w:r w:rsidR="00520553">
        <w:rPr>
          <w:rFonts w:eastAsia="Arial" w:cs="Arial"/>
        </w:rPr>
        <w:t>s</w:t>
      </w:r>
      <w:r w:rsidR="00E70124">
        <w:rPr>
          <w:rFonts w:eastAsia="Arial" w:cs="Arial"/>
        </w:rPr>
        <w:t xml:space="preserve">, which </w:t>
      </w:r>
      <w:r w:rsidR="00520553">
        <w:rPr>
          <w:rFonts w:eastAsia="Arial" w:cs="Arial"/>
        </w:rPr>
        <w:t>were</w:t>
      </w:r>
      <w:r w:rsidR="00E70124">
        <w:rPr>
          <w:rFonts w:eastAsia="Arial" w:cs="Arial"/>
        </w:rPr>
        <w:t xml:space="preserve"> introduced </w:t>
      </w:r>
      <w:r w:rsidR="00365DE3">
        <w:rPr>
          <w:rFonts w:eastAsia="Arial" w:cs="Arial"/>
        </w:rPr>
        <w:t>from</w:t>
      </w:r>
      <w:r w:rsidR="00E70124">
        <w:rPr>
          <w:rFonts w:eastAsia="Arial" w:cs="Arial"/>
        </w:rPr>
        <w:t xml:space="preserve"> Feb</w:t>
      </w:r>
      <w:r w:rsidR="00365DE3">
        <w:rPr>
          <w:rFonts w:eastAsia="Arial" w:cs="Arial"/>
        </w:rPr>
        <w:t>ruary</w:t>
      </w:r>
      <w:r w:rsidR="00E70124">
        <w:rPr>
          <w:rFonts w:eastAsia="Arial" w:cs="Arial"/>
        </w:rPr>
        <w:t xml:space="preserve"> 2023</w:t>
      </w:r>
      <w:r w:rsidR="00010F82">
        <w:rPr>
          <w:rFonts w:eastAsia="Arial" w:cs="Arial"/>
        </w:rPr>
        <w:t xml:space="preserve">, see </w:t>
      </w:r>
      <w:r w:rsidR="00365DE3">
        <w:rPr>
          <w:rFonts w:eastAsia="Arial" w:cs="Arial"/>
        </w:rPr>
        <w:t>section</w:t>
      </w:r>
      <w:r w:rsidR="008376E0">
        <w:rPr>
          <w:rFonts w:eastAsia="Arial" w:cs="Arial"/>
        </w:rPr>
        <w:t xml:space="preserve"> 4.9.</w:t>
      </w:r>
    </w:p>
    <w:p w14:paraId="65F988FD" w14:textId="21C2C354" w:rsidR="0061375C" w:rsidRDefault="0061375C" w:rsidP="0061375C">
      <w:r w:rsidRPr="55DA9532">
        <w:rPr>
          <w:rFonts w:eastAsia="Arial" w:cs="Arial"/>
          <w:b/>
          <w:bCs/>
          <w:szCs w:val="22"/>
        </w:rPr>
        <w:t xml:space="preserve">Applicable </w:t>
      </w:r>
      <w:r w:rsidR="000D59CA">
        <w:rPr>
          <w:rFonts w:eastAsia="Arial" w:cs="Arial"/>
          <w:b/>
          <w:bCs/>
          <w:szCs w:val="22"/>
        </w:rPr>
        <w:t>i</w:t>
      </w:r>
      <w:r w:rsidRPr="55DA9532">
        <w:rPr>
          <w:rFonts w:eastAsia="Arial" w:cs="Arial"/>
          <w:b/>
          <w:bCs/>
          <w:szCs w:val="22"/>
        </w:rPr>
        <w:t xml:space="preserve">ndustrial </w:t>
      </w:r>
      <w:r w:rsidR="000D59CA">
        <w:rPr>
          <w:rFonts w:eastAsia="Arial" w:cs="Arial"/>
          <w:b/>
          <w:bCs/>
          <w:szCs w:val="22"/>
        </w:rPr>
        <w:t>a</w:t>
      </w:r>
      <w:r w:rsidRPr="55DA9532">
        <w:rPr>
          <w:rFonts w:eastAsia="Arial" w:cs="Arial"/>
          <w:b/>
          <w:bCs/>
          <w:szCs w:val="22"/>
        </w:rPr>
        <w:t>ward</w:t>
      </w:r>
    </w:p>
    <w:p w14:paraId="31093112" w14:textId="16A9F145" w:rsidR="0061375C" w:rsidRDefault="2D2FA89F" w:rsidP="0061375C">
      <w:pPr>
        <w:rPr>
          <w:rFonts w:eastAsia="Arial" w:cs="Arial"/>
        </w:rPr>
      </w:pPr>
      <w:r w:rsidRPr="118B33D4">
        <w:rPr>
          <w:rFonts w:eastAsia="Arial" w:cs="Arial"/>
        </w:rPr>
        <w:t>The national award for DSWs is the SCHADS Award.</w:t>
      </w:r>
      <w:r w:rsidR="00E034D8">
        <w:rPr>
          <w:rStyle w:val="FootnoteReference"/>
          <w:rFonts w:eastAsia="Arial" w:cs="Arial"/>
        </w:rPr>
        <w:footnoteReference w:id="15"/>
      </w:r>
      <w:r w:rsidRPr="118B33D4">
        <w:rPr>
          <w:rFonts w:eastAsia="Arial" w:cs="Arial"/>
        </w:rPr>
        <w:t xml:space="preserve"> The NDIA recognises that some </w:t>
      </w:r>
      <w:r>
        <w:rPr>
          <w:rFonts w:eastAsia="Arial" w:cs="Arial"/>
        </w:rPr>
        <w:t>DSWs</w:t>
      </w:r>
      <w:r w:rsidRPr="118B33D4">
        <w:rPr>
          <w:rFonts w:eastAsia="Arial" w:cs="Arial"/>
        </w:rPr>
        <w:t xml:space="preserve"> are classified as Home Care Employees and others are classified as Social and Community Services Employees under the SCHADS Award. The Cost Model take its parameters from the Social and Community Services Employees section for the SCHADS Award,</w:t>
      </w:r>
      <w:r w:rsidRPr="6879FC30">
        <w:rPr>
          <w:rFonts w:eastAsia="Arial" w:cs="Arial"/>
          <w:b/>
          <w:bCs/>
        </w:rPr>
        <w:t xml:space="preserve"> </w:t>
      </w:r>
      <w:r w:rsidRPr="118B33D4">
        <w:rPr>
          <w:rFonts w:eastAsia="Arial" w:cs="Arial"/>
        </w:rPr>
        <w:t>which</w:t>
      </w:r>
      <w:r w:rsidRPr="6879FC30">
        <w:rPr>
          <w:rFonts w:eastAsia="Arial" w:cs="Arial"/>
          <w:b/>
          <w:bCs/>
        </w:rPr>
        <w:t xml:space="preserve"> </w:t>
      </w:r>
      <w:r w:rsidRPr="118B33D4">
        <w:rPr>
          <w:rFonts w:eastAsia="Arial" w:cs="Arial"/>
        </w:rPr>
        <w:t>covers those costs that are in the operational control of the provider.</w:t>
      </w:r>
    </w:p>
    <w:p w14:paraId="69B0C564" w14:textId="02EB437A" w:rsidR="00C62500" w:rsidRPr="00CA0161" w:rsidRDefault="0061375C" w:rsidP="0061375C">
      <w:pPr>
        <w:rPr>
          <w:rFonts w:eastAsia="Arial" w:cs="Arial"/>
        </w:rPr>
      </w:pPr>
      <w:r w:rsidRPr="0D4D184C">
        <w:rPr>
          <w:rFonts w:eastAsia="Arial" w:cs="Arial"/>
        </w:rPr>
        <w:t xml:space="preserve">The NDIA recognises that providers </w:t>
      </w:r>
      <w:r>
        <w:rPr>
          <w:rFonts w:eastAsia="Arial" w:cs="Arial"/>
        </w:rPr>
        <w:t>can</w:t>
      </w:r>
      <w:r w:rsidRPr="0D4D184C">
        <w:rPr>
          <w:rFonts w:eastAsia="Arial" w:cs="Arial"/>
        </w:rPr>
        <w:t xml:space="preserve"> employ DSWs with different skill levels and levels of experience to meet the different needs of participants. The Cost Model therefore has different sets of cost assumptions for four types of workers (DSW Level </w:t>
      </w:r>
      <w:r>
        <w:rPr>
          <w:rFonts w:eastAsia="Arial" w:cs="Arial"/>
        </w:rPr>
        <w:t>1</w:t>
      </w:r>
      <w:r w:rsidRPr="0D4D184C">
        <w:rPr>
          <w:rFonts w:eastAsia="Arial" w:cs="Arial"/>
        </w:rPr>
        <w:t xml:space="preserve">, DSW Level </w:t>
      </w:r>
      <w:r>
        <w:rPr>
          <w:rFonts w:eastAsia="Arial" w:cs="Arial"/>
        </w:rPr>
        <w:t>2</w:t>
      </w:r>
      <w:r w:rsidRPr="0D4D184C">
        <w:rPr>
          <w:rFonts w:eastAsia="Arial" w:cs="Arial"/>
        </w:rPr>
        <w:t xml:space="preserve">, DSW Level </w:t>
      </w:r>
      <w:r>
        <w:rPr>
          <w:rFonts w:eastAsia="Arial" w:cs="Arial"/>
        </w:rPr>
        <w:t>3</w:t>
      </w:r>
      <w:r w:rsidRPr="0D4D184C">
        <w:rPr>
          <w:rFonts w:eastAsia="Arial" w:cs="Arial"/>
        </w:rPr>
        <w:t xml:space="preserve"> and DSW Level </w:t>
      </w:r>
      <w:r>
        <w:rPr>
          <w:rFonts w:eastAsia="Arial" w:cs="Arial"/>
        </w:rPr>
        <w:t>4</w:t>
      </w:r>
      <w:r w:rsidRPr="0D4D184C">
        <w:rPr>
          <w:rFonts w:eastAsia="Arial" w:cs="Arial"/>
        </w:rPr>
        <w:t>).</w:t>
      </w:r>
      <w:r w:rsidRPr="0D4D184C">
        <w:rPr>
          <w:rFonts w:eastAsia="Arial" w:cs="Arial"/>
          <w:color w:val="FF0000"/>
        </w:rPr>
        <w:t xml:space="preserve"> </w:t>
      </w:r>
      <w:r w:rsidRPr="0D4D184C">
        <w:rPr>
          <w:rFonts w:eastAsia="Arial" w:cs="Arial"/>
        </w:rPr>
        <w:t>This does not mean these are the only types of workers who can deliver NDIS supports through DSW-related supports.</w:t>
      </w:r>
    </w:p>
    <w:p w14:paraId="7C6BA28E" w14:textId="06D16202" w:rsidR="007E412C" w:rsidRPr="0081447B" w:rsidRDefault="007E412C" w:rsidP="00D9646F">
      <w:pPr>
        <w:pStyle w:val="Heading3"/>
      </w:pPr>
      <w:r w:rsidRPr="0081447B">
        <w:t>4.2</w:t>
      </w:r>
      <w:r w:rsidRPr="0081447B">
        <w:tab/>
        <w:t>Market overview</w:t>
      </w:r>
    </w:p>
    <w:p w14:paraId="701A1FF1" w14:textId="1B2D2B10" w:rsidR="00E13C09" w:rsidRPr="00E13C09" w:rsidRDefault="00EB3858" w:rsidP="00E13C09">
      <w:r>
        <w:t>DSW</w:t>
      </w:r>
      <w:r w:rsidR="008874AA">
        <w:t xml:space="preserve">s sit within the </w:t>
      </w:r>
      <w:r w:rsidR="0019548B">
        <w:t>Healthcare and Social Assistance (</w:t>
      </w:r>
      <w:r w:rsidR="008874AA">
        <w:t>HCSA</w:t>
      </w:r>
      <w:r w:rsidR="0019548B">
        <w:t>) sector</w:t>
      </w:r>
      <w:r w:rsidR="008874AA">
        <w:t xml:space="preserve">. </w:t>
      </w:r>
      <w:r w:rsidR="00E13C09" w:rsidRPr="00E13C09">
        <w:t>In terms of employment, the HCSA has been the fastest growing industry of the last 30 years. As of February 2023, the HCSA industry accounted for 15.0% of employment and 7.6% of Australia’s total Gross Value Add (GVA</w:t>
      </w:r>
      <w:r w:rsidR="00493FEE" w:rsidRPr="00E13C09">
        <w:t>).</w:t>
      </w:r>
      <w:r w:rsidR="00E13C09" w:rsidRPr="00E13C09">
        <w:t xml:space="preserve"> The industry is Australia’s largest, with over 2 million people and contains broad range of occupations, from surgeons to child carers. For this reason, caution should be used drawing parallels between changes in the growth of the HCSA industry and the DSW workforce. </w:t>
      </w:r>
    </w:p>
    <w:p w14:paraId="4447E2C8" w14:textId="719ED00D" w:rsidR="00493FEE" w:rsidRPr="00E13C09" w:rsidRDefault="1CF1DB00" w:rsidP="00E13C09">
      <w:r w:rsidRPr="00E13C09">
        <w:t xml:space="preserve">The Department of Social Services and AlphaBeta provides the most recent direct estimate of the size of DSW workforce; </w:t>
      </w:r>
      <w:r w:rsidR="001D00C6">
        <w:t>as</w:t>
      </w:r>
      <w:r w:rsidRPr="00E13C09">
        <w:t xml:space="preserve"> 241,000 disability support workers in 2020</w:t>
      </w:r>
      <w:r w:rsidR="00D67D8B">
        <w:rPr>
          <w:rStyle w:val="FootnoteReference"/>
        </w:rPr>
        <w:footnoteReference w:id="16"/>
      </w:r>
      <w:r w:rsidRPr="00E13C09">
        <w:t xml:space="preserve">. </w:t>
      </w:r>
      <w:r w:rsidR="62AB878F">
        <w:t>T</w:t>
      </w:r>
      <w:r w:rsidRPr="00E13C09">
        <w:t>his represented 13% of total HCSA employment</w:t>
      </w:r>
      <w:r w:rsidR="62AB878F">
        <w:t xml:space="preserve"> at </w:t>
      </w:r>
      <w:r w:rsidR="0A199E43">
        <w:t>the time</w:t>
      </w:r>
      <w:r w:rsidRPr="00E13C09">
        <w:t>. Assuming DSW growth has been in line with growth of the HCSA industry</w:t>
      </w:r>
      <w:r w:rsidR="0A199E43">
        <w:t>,</w:t>
      </w:r>
      <w:r w:rsidRPr="00E13C09">
        <w:t xml:space="preserve"> there would be </w:t>
      </w:r>
      <w:bookmarkStart w:id="44" w:name="_Int_swdeEPnw"/>
      <w:r w:rsidRPr="00E13C09">
        <w:t>roughly 280,000</w:t>
      </w:r>
      <w:bookmarkEnd w:id="44"/>
      <w:r w:rsidRPr="00E13C09">
        <w:t xml:space="preserve"> DSW by the start of 2023. This is </w:t>
      </w:r>
      <w:bookmarkStart w:id="45" w:name="_Int_NsV6FRCJ"/>
      <w:r w:rsidRPr="00E13C09">
        <w:t>likely a</w:t>
      </w:r>
      <w:bookmarkEnd w:id="45"/>
      <w:r w:rsidRPr="00E13C09">
        <w:t xml:space="preserve"> lower bound estimate, evidence</w:t>
      </w:r>
      <w:r w:rsidR="00D67D8B">
        <w:rPr>
          <w:rStyle w:val="FootnoteReference"/>
        </w:rPr>
        <w:footnoteReference w:id="17"/>
      </w:r>
      <w:r w:rsidRPr="00E13C09">
        <w:t xml:space="preserve"> suggests the number of DSW workers </w:t>
      </w:r>
      <w:bookmarkStart w:id="46" w:name="_Int_2ie0lwU0"/>
      <w:r w:rsidRPr="00E13C09">
        <w:t>likely grew</w:t>
      </w:r>
      <w:bookmarkEnd w:id="46"/>
      <w:r w:rsidRPr="00E13C09">
        <w:t xml:space="preserve"> faster than total HCSA employment in recent years. </w:t>
      </w:r>
    </w:p>
    <w:p w14:paraId="14D3DE09" w14:textId="34219A49" w:rsidR="00493FEE" w:rsidRPr="00E13C09" w:rsidRDefault="00DC7919" w:rsidP="00E13C09">
      <w:r>
        <w:t xml:space="preserve">Given </w:t>
      </w:r>
      <w:r w:rsidR="007E5E72">
        <w:t xml:space="preserve">that </w:t>
      </w:r>
      <w:r w:rsidR="007E5E72" w:rsidRPr="00E13C09">
        <w:t>skills</w:t>
      </w:r>
      <w:r w:rsidR="00493FEE" w:rsidRPr="00E13C09">
        <w:t xml:space="preserve"> and qualifications are transferable between disability support, aged care and childcare support position, the NDIS providers compete for workers with aged care and childcare providers and changes in demand and wages for one care occupation </w:t>
      </w:r>
      <w:r w:rsidR="00EC3893">
        <w:t>can</w:t>
      </w:r>
      <w:r w:rsidR="00493FEE" w:rsidRPr="00E13C09">
        <w:t xml:space="preserve"> impact worker availability in the other care occupations. </w:t>
      </w:r>
    </w:p>
    <w:p w14:paraId="1EF9CEC5" w14:textId="3B1D9F6B" w:rsidR="00493FEE" w:rsidRDefault="4A1FECC1" w:rsidP="00E13C09">
      <w:r>
        <w:t xml:space="preserve">Analysis of the wages offered by the major job platforms as </w:t>
      </w:r>
      <w:bookmarkStart w:id="47" w:name="_Int_u7XJlM9Y"/>
      <w:proofErr w:type="gramStart"/>
      <w:r>
        <w:t>at</w:t>
      </w:r>
      <w:bookmarkEnd w:id="47"/>
      <w:proofErr w:type="gramEnd"/>
      <w:r>
        <w:t xml:space="preserve"> April 2023 show</w:t>
      </w:r>
      <w:r w:rsidR="6658C0E2">
        <w:t>s</w:t>
      </w:r>
      <w:r>
        <w:t xml:space="preserve"> that DSW wages are above that of </w:t>
      </w:r>
      <w:r w:rsidR="35D0365E">
        <w:t>aged</w:t>
      </w:r>
      <w:r>
        <w:t xml:space="preserve"> care and </w:t>
      </w:r>
      <w:r w:rsidR="21988025">
        <w:t>c</w:t>
      </w:r>
      <w:r>
        <w:t>hildcare workers</w:t>
      </w:r>
      <w:r w:rsidR="1A277761">
        <w:t xml:space="preserve"> (</w:t>
      </w:r>
      <w:r w:rsidR="088CA4FE">
        <w:fldChar w:fldCharType="begin"/>
      </w:r>
      <w:r w:rsidR="088CA4FE">
        <w:instrText>REF _Ref132892306</w:instrText>
      </w:r>
      <w:r w:rsidR="088CA4FE">
        <w:fldChar w:fldCharType="separate"/>
      </w:r>
      <w:r w:rsidR="00D64E4C">
        <w:t xml:space="preserve">Table </w:t>
      </w:r>
      <w:r w:rsidR="00D64E4C">
        <w:rPr>
          <w:noProof/>
        </w:rPr>
        <w:t>1</w:t>
      </w:r>
      <w:r w:rsidR="088CA4FE">
        <w:fldChar w:fldCharType="end"/>
      </w:r>
      <w:r w:rsidR="1A277761">
        <w:t>)</w:t>
      </w:r>
      <w:r>
        <w:t xml:space="preserve">. </w:t>
      </w:r>
      <w:r w:rsidR="4A6D8DD3">
        <w:t xml:space="preserve">Analysis on major online employment platforms as </w:t>
      </w:r>
      <w:r w:rsidR="00A0546B">
        <w:t>of</w:t>
      </w:r>
      <w:r w:rsidR="4A6D8DD3">
        <w:t xml:space="preserve"> April 2023 suggests that the average hourly pay of DSW </w:t>
      </w:r>
      <w:r w:rsidR="4A6D8DD3">
        <w:lastRenderedPageBreak/>
        <w:t xml:space="preserve">workers ($28.80 to $40.00) is higher than average hourly pay of aged care workers ($24.20 to $35.00) and childcare workers ($24.40 to $30.00). </w:t>
      </w:r>
      <w:r>
        <w:t xml:space="preserve">However, </w:t>
      </w:r>
      <w:r w:rsidR="48172B82">
        <w:t>the NDIA acknowledges</w:t>
      </w:r>
      <w:r>
        <w:t xml:space="preserve"> there are several non-monetary factors </w:t>
      </w:r>
      <w:r w:rsidR="56D9F19D">
        <w:t>could</w:t>
      </w:r>
      <w:r w:rsidR="7A29E624">
        <w:t xml:space="preserve"> </w:t>
      </w:r>
      <w:r w:rsidR="57D47C34">
        <w:t>influence</w:t>
      </w:r>
      <w:r>
        <w:t xml:space="preserve"> workers decisions choos</w:t>
      </w:r>
      <w:r w:rsidR="46F30A30">
        <w:t>ing</w:t>
      </w:r>
      <w:r>
        <w:t xml:space="preserve"> one occupation over another, such as the trials and challenges of the specific type of work, leave benefits and job stability. </w:t>
      </w:r>
    </w:p>
    <w:p w14:paraId="768A3978" w14:textId="4B02DD9E" w:rsidR="00A96AEA" w:rsidRPr="00A96AEA" w:rsidRDefault="7CD61DE7" w:rsidP="0022293C">
      <w:pPr>
        <w:pStyle w:val="Caption"/>
      </w:pPr>
      <w:bookmarkStart w:id="48" w:name="_Ref132892306"/>
      <w:r>
        <w:t xml:space="preserve">Table </w:t>
      </w:r>
      <w:r w:rsidR="00A96AEA">
        <w:fldChar w:fldCharType="begin"/>
      </w:r>
      <w:r w:rsidR="00A96AEA">
        <w:instrText>SEQ Table \* ARABIC</w:instrText>
      </w:r>
      <w:r w:rsidR="00A96AEA">
        <w:fldChar w:fldCharType="separate"/>
      </w:r>
      <w:r w:rsidR="00D64E4C">
        <w:rPr>
          <w:noProof/>
        </w:rPr>
        <w:t>1</w:t>
      </w:r>
      <w:r w:rsidR="00A96AEA">
        <w:fldChar w:fldCharType="end"/>
      </w:r>
      <w:bookmarkEnd w:id="48"/>
      <w:r>
        <w:t xml:space="preserve">: </w:t>
      </w:r>
      <w:r w:rsidR="659A41A8">
        <w:t>R</w:t>
      </w:r>
      <w:r>
        <w:t xml:space="preserve">elative </w:t>
      </w:r>
      <w:r w:rsidR="659A41A8">
        <w:t>A</w:t>
      </w:r>
      <w:r>
        <w:t xml:space="preserve">dvertised </w:t>
      </w:r>
      <w:r w:rsidR="659A41A8">
        <w:t>W</w:t>
      </w:r>
      <w:r>
        <w:t xml:space="preserve">ages of </w:t>
      </w:r>
      <w:r w:rsidR="659A41A8">
        <w:t>DSW</w:t>
      </w:r>
      <w:r>
        <w:t xml:space="preserve">, </w:t>
      </w:r>
      <w:r w:rsidR="659A41A8">
        <w:t>C</w:t>
      </w:r>
      <w:r>
        <w:t xml:space="preserve">hild and </w:t>
      </w:r>
      <w:r w:rsidR="659A41A8">
        <w:t>A</w:t>
      </w:r>
      <w:r>
        <w:t xml:space="preserve">ged </w:t>
      </w:r>
      <w:r w:rsidR="659A41A8">
        <w:t>C</w:t>
      </w:r>
      <w:r>
        <w:t xml:space="preserve">arers as </w:t>
      </w:r>
      <w:bookmarkStart w:id="49" w:name="_Int_bylCOLjy"/>
      <w:r>
        <w:t>at</w:t>
      </w:r>
      <w:bookmarkEnd w:id="49"/>
      <w:r>
        <w:t xml:space="preserve"> </w:t>
      </w:r>
      <w:r w:rsidR="659A41A8">
        <w:t>A</w:t>
      </w:r>
      <w:r>
        <w:t>pril 2023</w:t>
      </w:r>
      <w:r w:rsidR="0509855C">
        <w:t xml:space="preserve"> (</w:t>
      </w:r>
      <w:r w:rsidR="4ED82C41">
        <w:t xml:space="preserve">Australian Average </w:t>
      </w:r>
      <w:r w:rsidR="0509855C">
        <w:t>Wages $</w:t>
      </w:r>
      <w:r w:rsidR="4ED82C41">
        <w:t>/</w:t>
      </w:r>
      <w:r w:rsidR="0509855C">
        <w:t>hour)</w:t>
      </w:r>
    </w:p>
    <w:tbl>
      <w:tblPr>
        <w:tblW w:w="0" w:type="auto"/>
        <w:tblInd w:w="279" w:type="dxa"/>
        <w:tblBorders>
          <w:top w:val="single" w:sz="12" w:space="0" w:color="4F1E58" w:themeColor="text1" w:themeShade="BF"/>
          <w:left w:val="single" w:sz="12" w:space="0" w:color="4F1E58" w:themeColor="text1" w:themeShade="BF"/>
          <w:bottom w:val="single" w:sz="12" w:space="0" w:color="4F1E58" w:themeColor="text1" w:themeShade="BF"/>
          <w:right w:val="single" w:sz="12" w:space="0" w:color="4F1E58" w:themeColor="text1" w:themeShade="BF"/>
          <w:insideH w:val="single" w:sz="6" w:space="0" w:color="4F1E58" w:themeColor="text1" w:themeShade="BF"/>
          <w:insideV w:val="single" w:sz="6" w:space="0" w:color="4F1E58" w:themeColor="text1" w:themeShade="BF"/>
        </w:tblBorders>
        <w:tblLayout w:type="fixed"/>
        <w:tblLook w:val="04A0" w:firstRow="1" w:lastRow="0" w:firstColumn="1" w:lastColumn="0" w:noHBand="0" w:noVBand="1"/>
        <w:tblCaption w:val="TABLE 7: SCHEME EXPENDITURE BY TYPE OF THERAPY, JULY TO DECEMBER 2022"/>
        <w:tblDescription w:val="7279 providers of occupational therapy provided services to 162,532 NDS participants at a total cost of $280.9 million. 25,544 other professionals providers provided services to 179,476 participants at a total cost of $254.4 million. 10,362 early childhood providers provided services to 69,250 participants at a total cost of $248 million. 1290 behavioural therapist provided services to 42,385 participants at a total cost of $207.7 million. 10,249 physiotherapist providers provided services to 85,965 participants at a total cost of $166.5 million. 11,631 psychology providers provided services to 82,372 participants at a total cost of $138.7 million. 5000 896 speech therapist providers provided services to 89,000 and 33 participants at a total cost of $135 million. 4704 exercise Physiology providers provided services to 36,197 thousand participants at a total cost of $64.9 million. 3576 therapy assistance providers provided services to thirty 5066 participants at a total cost of $35.5 million. 4552 counsellors providers provided services to 20,043 participants at a total cost of $26.9 million."/>
      </w:tblPr>
      <w:tblGrid>
        <w:gridCol w:w="1701"/>
        <w:gridCol w:w="1701"/>
        <w:gridCol w:w="1701"/>
        <w:gridCol w:w="1701"/>
        <w:gridCol w:w="1701"/>
      </w:tblGrid>
      <w:tr w:rsidR="00F86BBF" w:rsidRPr="00F86BBF" w14:paraId="16DC2689" w14:textId="77777777" w:rsidTr="00F86BBF">
        <w:trPr>
          <w:trHeight w:hRule="exact" w:val="454"/>
          <w:tblHeader/>
        </w:trPr>
        <w:tc>
          <w:tcPr>
            <w:tcW w:w="1701"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shd w:val="clear" w:color="auto" w:fill="6B2976"/>
            <w:vAlign w:val="center"/>
            <w:hideMark/>
          </w:tcPr>
          <w:p w14:paraId="552D1D78" w14:textId="07617DC3" w:rsidR="00F86BBF" w:rsidRPr="00F86BBF" w:rsidRDefault="00F86BBF" w:rsidP="00D608D6">
            <w:pPr>
              <w:spacing w:before="60" w:after="60" w:line="240" w:lineRule="auto"/>
              <w:rPr>
                <w:rFonts w:eastAsia="Times New Roman" w:cs="Arial"/>
                <w:b/>
                <w:bCs/>
                <w:color w:val="FEFFFF" w:themeColor="background1"/>
                <w:sz w:val="18"/>
                <w:szCs w:val="18"/>
                <w:lang w:eastAsia="zh-CN" w:bidi="th-TH"/>
              </w:rPr>
            </w:pPr>
            <w:r w:rsidRPr="00F86BBF">
              <w:rPr>
                <w:b/>
                <w:bCs/>
                <w:color w:val="FEFFFF" w:themeColor="background1"/>
                <w:sz w:val="18"/>
                <w:szCs w:val="18"/>
              </w:rPr>
              <w:t>Occupation</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vAlign w:val="center"/>
            <w:hideMark/>
          </w:tcPr>
          <w:p w14:paraId="3ED06853" w14:textId="3AAB708A" w:rsidR="00F86BBF" w:rsidRPr="00F86BBF" w:rsidRDefault="00F86BBF" w:rsidP="00D608D6">
            <w:pPr>
              <w:spacing w:before="60" w:after="60" w:line="240" w:lineRule="auto"/>
              <w:jc w:val="center"/>
              <w:rPr>
                <w:rFonts w:eastAsia="Times New Roman" w:cs="Arial"/>
                <w:b/>
                <w:bCs/>
                <w:color w:val="FEFFFF" w:themeColor="background1"/>
                <w:sz w:val="18"/>
                <w:szCs w:val="18"/>
                <w:lang w:eastAsia="zh-CN" w:bidi="th-TH"/>
              </w:rPr>
            </w:pPr>
            <w:r w:rsidRPr="00F86BBF">
              <w:rPr>
                <w:b/>
                <w:bCs/>
                <w:color w:val="FEFFFF" w:themeColor="background1"/>
                <w:sz w:val="18"/>
                <w:szCs w:val="18"/>
              </w:rPr>
              <w:t>Employment</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vAlign w:val="center"/>
          </w:tcPr>
          <w:p w14:paraId="5C3F08EC" w14:textId="1F14A6E7" w:rsidR="00F86BBF" w:rsidRPr="00F86BBF" w:rsidRDefault="00F86BBF" w:rsidP="00D608D6">
            <w:pPr>
              <w:spacing w:before="60" w:after="60" w:line="240" w:lineRule="auto"/>
              <w:jc w:val="center"/>
              <w:rPr>
                <w:rFonts w:eastAsia="Times New Roman" w:cs="Arial"/>
                <w:b/>
                <w:bCs/>
                <w:color w:val="FEFFFF" w:themeColor="background1"/>
                <w:sz w:val="18"/>
                <w:szCs w:val="18"/>
                <w:lang w:eastAsia="zh-CN" w:bidi="th-TH"/>
              </w:rPr>
            </w:pPr>
            <w:r w:rsidRPr="00F86BBF">
              <w:rPr>
                <w:b/>
                <w:bCs/>
                <w:color w:val="FEFFFF" w:themeColor="background1"/>
                <w:sz w:val="18"/>
                <w:szCs w:val="18"/>
              </w:rPr>
              <w:t>Seek</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vAlign w:val="center"/>
          </w:tcPr>
          <w:p w14:paraId="25A76935" w14:textId="7653B9B1" w:rsidR="00F86BBF" w:rsidRPr="00F86BBF" w:rsidRDefault="00F86BBF" w:rsidP="00D608D6">
            <w:pPr>
              <w:spacing w:before="60" w:after="60" w:line="240" w:lineRule="auto"/>
              <w:jc w:val="center"/>
              <w:rPr>
                <w:rFonts w:eastAsia="Times New Roman" w:cs="Arial"/>
                <w:b/>
                <w:bCs/>
                <w:color w:val="FEFFFF" w:themeColor="background1"/>
                <w:sz w:val="18"/>
                <w:szCs w:val="18"/>
                <w:lang w:eastAsia="zh-CN" w:bidi="th-TH"/>
              </w:rPr>
            </w:pPr>
            <w:r w:rsidRPr="00F86BBF">
              <w:rPr>
                <w:b/>
                <w:bCs/>
                <w:color w:val="FEFFFF" w:themeColor="background1"/>
                <w:sz w:val="18"/>
                <w:szCs w:val="18"/>
              </w:rPr>
              <w:t>Indeed</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shd w:val="clear" w:color="auto" w:fill="6B2976"/>
            <w:vAlign w:val="center"/>
          </w:tcPr>
          <w:p w14:paraId="79463E97" w14:textId="121073E0" w:rsidR="00F86BBF" w:rsidRPr="00F86BBF" w:rsidRDefault="00F86BBF" w:rsidP="00D608D6">
            <w:pPr>
              <w:spacing w:before="60" w:after="60" w:line="240" w:lineRule="auto"/>
              <w:jc w:val="center"/>
              <w:rPr>
                <w:rFonts w:eastAsia="Times New Roman" w:cs="Arial"/>
                <w:b/>
                <w:bCs/>
                <w:color w:val="FEFFFF" w:themeColor="background1"/>
                <w:sz w:val="18"/>
                <w:szCs w:val="18"/>
                <w:lang w:eastAsia="zh-CN" w:bidi="th-TH"/>
              </w:rPr>
            </w:pPr>
            <w:r w:rsidRPr="00F86BBF">
              <w:rPr>
                <w:b/>
                <w:bCs/>
                <w:color w:val="FEFFFF" w:themeColor="background1"/>
                <w:sz w:val="18"/>
                <w:szCs w:val="18"/>
              </w:rPr>
              <w:t>PayScale</w:t>
            </w:r>
          </w:p>
        </w:tc>
      </w:tr>
      <w:tr w:rsidR="00F86BBF" w:rsidRPr="00F86BBF" w14:paraId="14414D8D" w14:textId="77777777" w:rsidTr="00F86BBF">
        <w:trPr>
          <w:trHeight w:val="397"/>
        </w:trPr>
        <w:tc>
          <w:tcPr>
            <w:tcW w:w="1701" w:type="dxa"/>
            <w:tcBorders>
              <w:top w:val="single" w:sz="4" w:space="0" w:color="4F1E58" w:themeColor="accent1" w:themeShade="BF"/>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6BF1D07" w14:textId="7BA8C78F" w:rsidR="00F86BBF" w:rsidRPr="00F86BBF" w:rsidRDefault="00F86BBF" w:rsidP="00F86BBF">
            <w:pPr>
              <w:spacing w:before="60" w:after="60" w:line="240" w:lineRule="auto"/>
              <w:rPr>
                <w:rFonts w:eastAsia="Times New Roman" w:cs="Arial"/>
                <w:color w:val="000000"/>
                <w:sz w:val="18"/>
                <w:szCs w:val="18"/>
                <w:lang w:eastAsia="zh-CN" w:bidi="th-TH"/>
              </w:rPr>
            </w:pPr>
            <w:r w:rsidRPr="00F86BBF">
              <w:rPr>
                <w:sz w:val="18"/>
                <w:szCs w:val="18"/>
              </w:rPr>
              <w:t>DSW</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CC9656B" w14:textId="3F0CF6D8" w:rsidR="00F86BBF" w:rsidRPr="00F86BBF" w:rsidRDefault="00F86BBF" w:rsidP="00F86BBF">
            <w:pPr>
              <w:spacing w:before="60" w:after="60" w:line="240" w:lineRule="auto"/>
              <w:jc w:val="center"/>
              <w:rPr>
                <w:rFonts w:eastAsia="Times New Roman" w:cs="Arial"/>
                <w:color w:val="000000"/>
                <w:sz w:val="18"/>
                <w:szCs w:val="18"/>
                <w:lang w:eastAsia="zh-CN" w:bidi="th-TH"/>
              </w:rPr>
            </w:pPr>
            <w:r w:rsidRPr="00F86BBF">
              <w:rPr>
                <w:sz w:val="18"/>
                <w:szCs w:val="18"/>
              </w:rPr>
              <w:t>241,000 (2020)</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544857A" w14:textId="4B3CE1EB" w:rsidR="00F86BBF" w:rsidRPr="00F86BBF" w:rsidRDefault="00F86BBF" w:rsidP="00F86BBF">
            <w:pPr>
              <w:spacing w:before="60" w:after="60" w:line="240" w:lineRule="auto"/>
              <w:jc w:val="center"/>
              <w:rPr>
                <w:rFonts w:eastAsia="Times New Roman" w:cs="Arial"/>
                <w:color w:val="000000"/>
                <w:sz w:val="18"/>
                <w:szCs w:val="18"/>
                <w:lang w:eastAsia="zh-CN" w:bidi="th-TH"/>
              </w:rPr>
            </w:pPr>
            <w:r w:rsidRPr="00F86BBF">
              <w:rPr>
                <w:sz w:val="18"/>
                <w:szCs w:val="18"/>
              </w:rPr>
              <w:t>$30 - $40</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vAlign w:val="center"/>
          </w:tcPr>
          <w:p w14:paraId="26255210" w14:textId="79B3C943" w:rsidR="00F86BBF" w:rsidRPr="00F86BBF" w:rsidRDefault="00F86BBF" w:rsidP="00F86BBF">
            <w:pPr>
              <w:spacing w:before="60" w:after="60" w:line="240" w:lineRule="auto"/>
              <w:jc w:val="center"/>
              <w:rPr>
                <w:rFonts w:cs="Arial"/>
                <w:sz w:val="18"/>
                <w:szCs w:val="18"/>
              </w:rPr>
            </w:pPr>
            <w:r w:rsidRPr="00F86BBF">
              <w:rPr>
                <w:sz w:val="18"/>
                <w:szCs w:val="18"/>
              </w:rPr>
              <w:t>$35.43</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00C1575D" w14:textId="1D62067E" w:rsidR="00F86BBF" w:rsidRPr="00F86BBF" w:rsidRDefault="00F86BBF" w:rsidP="00F86BBF">
            <w:pPr>
              <w:spacing w:before="60" w:after="60" w:line="240" w:lineRule="auto"/>
              <w:jc w:val="center"/>
              <w:rPr>
                <w:rFonts w:cs="Arial"/>
                <w:sz w:val="18"/>
                <w:szCs w:val="18"/>
              </w:rPr>
            </w:pPr>
            <w:r w:rsidRPr="00F86BBF">
              <w:rPr>
                <w:sz w:val="18"/>
                <w:szCs w:val="18"/>
              </w:rPr>
              <w:t>$28.80</w:t>
            </w:r>
          </w:p>
        </w:tc>
      </w:tr>
      <w:tr w:rsidR="00F86BBF" w:rsidRPr="00F86BBF" w14:paraId="47C5351C" w14:textId="77777777" w:rsidTr="00F86BBF">
        <w:trPr>
          <w:trHeight w:val="397"/>
        </w:trPr>
        <w:tc>
          <w:tcPr>
            <w:tcW w:w="1701"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2848C7A2" w14:textId="105FE7EF" w:rsidR="00F86BBF" w:rsidRPr="00F86BBF" w:rsidRDefault="00F86BBF" w:rsidP="00F86BBF">
            <w:pPr>
              <w:spacing w:before="60" w:after="60" w:line="240" w:lineRule="auto"/>
              <w:rPr>
                <w:rFonts w:eastAsia="Times New Roman" w:cs="Arial"/>
                <w:color w:val="000000"/>
                <w:sz w:val="18"/>
                <w:szCs w:val="18"/>
                <w:lang w:eastAsia="zh-CN" w:bidi="th-TH"/>
              </w:rPr>
            </w:pPr>
            <w:r w:rsidRPr="00F86BBF">
              <w:rPr>
                <w:sz w:val="18"/>
                <w:szCs w:val="18"/>
              </w:rPr>
              <w:t>Aged carer</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0B1F53AE" w14:textId="33DC6F7A" w:rsidR="00F86BBF" w:rsidRPr="00F86BBF" w:rsidRDefault="00F86BBF" w:rsidP="00F86BBF">
            <w:pPr>
              <w:spacing w:before="60" w:after="60" w:line="240" w:lineRule="auto"/>
              <w:jc w:val="center"/>
              <w:rPr>
                <w:rFonts w:eastAsia="Times New Roman" w:cs="Arial"/>
                <w:color w:val="000000"/>
                <w:sz w:val="18"/>
                <w:szCs w:val="18"/>
                <w:lang w:eastAsia="zh-CN" w:bidi="th-TH"/>
              </w:rPr>
            </w:pPr>
            <w:r w:rsidRPr="00F86BBF">
              <w:rPr>
                <w:sz w:val="18"/>
                <w:szCs w:val="18"/>
              </w:rPr>
              <w:t>195,000 (2020)</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4BD9F06C" w14:textId="5C0710F8" w:rsidR="00F86BBF" w:rsidRPr="00F86BBF" w:rsidRDefault="00F86BBF" w:rsidP="00F86BBF">
            <w:pPr>
              <w:spacing w:before="60" w:after="60" w:line="240" w:lineRule="auto"/>
              <w:jc w:val="center"/>
              <w:rPr>
                <w:rFonts w:eastAsia="Times New Roman" w:cs="Arial"/>
                <w:color w:val="000000"/>
                <w:sz w:val="18"/>
                <w:szCs w:val="18"/>
                <w:lang w:eastAsia="zh-CN" w:bidi="th-TH"/>
              </w:rPr>
            </w:pPr>
            <w:r w:rsidRPr="00F86BBF">
              <w:rPr>
                <w:sz w:val="18"/>
                <w:szCs w:val="18"/>
              </w:rPr>
              <w:t>$25 - $35</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4BD8C5E8" w14:textId="1622E77E" w:rsidR="00F86BBF" w:rsidRPr="00F86BBF" w:rsidRDefault="00F86BBF" w:rsidP="00F86BBF">
            <w:pPr>
              <w:spacing w:before="60" w:after="60" w:line="240" w:lineRule="auto"/>
              <w:jc w:val="center"/>
              <w:rPr>
                <w:rFonts w:cs="Arial"/>
                <w:sz w:val="18"/>
                <w:szCs w:val="18"/>
              </w:rPr>
            </w:pPr>
            <w:r w:rsidRPr="00F86BBF">
              <w:rPr>
                <w:sz w:val="18"/>
                <w:szCs w:val="18"/>
              </w:rPr>
              <w:t>$32.12</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02E935E5" w14:textId="25BF5BFE" w:rsidR="00F86BBF" w:rsidRPr="00F86BBF" w:rsidRDefault="00F86BBF" w:rsidP="00F86BBF">
            <w:pPr>
              <w:spacing w:before="60" w:after="60" w:line="240" w:lineRule="auto"/>
              <w:jc w:val="center"/>
              <w:rPr>
                <w:rFonts w:cs="Arial"/>
                <w:sz w:val="18"/>
                <w:szCs w:val="18"/>
              </w:rPr>
            </w:pPr>
            <w:r w:rsidRPr="00F86BBF">
              <w:rPr>
                <w:sz w:val="18"/>
                <w:szCs w:val="18"/>
              </w:rPr>
              <w:t>$24.20</w:t>
            </w:r>
          </w:p>
        </w:tc>
      </w:tr>
      <w:tr w:rsidR="00F86BBF" w:rsidRPr="00F86BBF" w14:paraId="55E6BE13" w14:textId="77777777" w:rsidTr="00F86BBF">
        <w:trPr>
          <w:trHeight w:val="397"/>
        </w:trPr>
        <w:tc>
          <w:tcPr>
            <w:tcW w:w="1701"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3933F60" w14:textId="55641120" w:rsidR="00F86BBF" w:rsidRPr="00F86BBF" w:rsidRDefault="00F86BBF" w:rsidP="00F86BBF">
            <w:pPr>
              <w:spacing w:before="60" w:after="60" w:line="240" w:lineRule="auto"/>
              <w:rPr>
                <w:rFonts w:eastAsia="Times New Roman" w:cs="Arial"/>
                <w:color w:val="000000"/>
                <w:sz w:val="18"/>
                <w:szCs w:val="18"/>
                <w:lang w:eastAsia="zh-CN" w:bidi="th-TH"/>
              </w:rPr>
            </w:pPr>
            <w:r w:rsidRPr="00F86BBF">
              <w:rPr>
                <w:sz w:val="18"/>
                <w:szCs w:val="18"/>
              </w:rPr>
              <w:t>Child carer</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2F32C4D" w14:textId="2CBED2E6" w:rsidR="00F86BBF" w:rsidRPr="00F86BBF" w:rsidRDefault="00F86BBF" w:rsidP="006D274B">
            <w:pPr>
              <w:spacing w:before="60" w:after="60" w:line="240" w:lineRule="auto"/>
              <w:jc w:val="center"/>
              <w:rPr>
                <w:rFonts w:eastAsia="Times New Roman" w:cs="Arial"/>
                <w:color w:val="000000"/>
                <w:sz w:val="18"/>
                <w:szCs w:val="18"/>
                <w:lang w:eastAsia="zh-CN" w:bidi="th-TH"/>
              </w:rPr>
            </w:pPr>
            <w:r w:rsidRPr="00F86BBF">
              <w:rPr>
                <w:sz w:val="18"/>
                <w:szCs w:val="18"/>
              </w:rPr>
              <w:t>216,619 (2021)</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5F76B7F" w14:textId="3296BEB5" w:rsidR="00F86BBF" w:rsidRPr="00F86BBF" w:rsidRDefault="00F86BBF" w:rsidP="00F86BBF">
            <w:pPr>
              <w:spacing w:before="60" w:after="60" w:line="240" w:lineRule="auto"/>
              <w:jc w:val="center"/>
              <w:rPr>
                <w:rFonts w:eastAsia="Times New Roman" w:cs="Arial"/>
                <w:color w:val="000000"/>
                <w:sz w:val="18"/>
                <w:szCs w:val="18"/>
                <w:lang w:eastAsia="zh-CN" w:bidi="th-TH"/>
              </w:rPr>
            </w:pPr>
            <w:r w:rsidRPr="00F86BBF">
              <w:rPr>
                <w:sz w:val="18"/>
                <w:szCs w:val="18"/>
              </w:rPr>
              <w:t>$25 - $30</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vAlign w:val="center"/>
          </w:tcPr>
          <w:p w14:paraId="7E1D5578" w14:textId="5C1F043D" w:rsidR="00F86BBF" w:rsidRPr="00F86BBF" w:rsidRDefault="00F86BBF" w:rsidP="00F86BBF">
            <w:pPr>
              <w:spacing w:before="60" w:after="60" w:line="240" w:lineRule="auto"/>
              <w:jc w:val="center"/>
              <w:rPr>
                <w:rFonts w:cs="Arial"/>
                <w:sz w:val="18"/>
                <w:szCs w:val="18"/>
              </w:rPr>
            </w:pPr>
            <w:r w:rsidRPr="00F86BBF">
              <w:rPr>
                <w:sz w:val="18"/>
                <w:szCs w:val="18"/>
              </w:rPr>
              <w:t>$31.04</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2FE3EC23" w14:textId="6C541870" w:rsidR="00F86BBF" w:rsidRPr="00F86BBF" w:rsidRDefault="00F86BBF" w:rsidP="00F86BBF">
            <w:pPr>
              <w:spacing w:before="60" w:after="60" w:line="240" w:lineRule="auto"/>
              <w:jc w:val="center"/>
              <w:rPr>
                <w:rFonts w:cs="Arial"/>
                <w:sz w:val="18"/>
                <w:szCs w:val="18"/>
              </w:rPr>
            </w:pPr>
            <w:r w:rsidRPr="00F86BBF">
              <w:rPr>
                <w:sz w:val="18"/>
                <w:szCs w:val="18"/>
              </w:rPr>
              <w:t>$24.40</w:t>
            </w:r>
          </w:p>
        </w:tc>
      </w:tr>
    </w:tbl>
    <w:p w14:paraId="77A02461" w14:textId="499B8042" w:rsidR="008B3087" w:rsidRPr="00D9646F" w:rsidRDefault="6C2DFDB1" w:rsidP="00D9646F">
      <w:pPr>
        <w:spacing w:before="60" w:after="60" w:line="240" w:lineRule="atLeast"/>
        <w:rPr>
          <w:b/>
          <w:i/>
          <w:sz w:val="16"/>
          <w:szCs w:val="16"/>
        </w:rPr>
      </w:pPr>
      <w:r w:rsidRPr="006D274B">
        <w:rPr>
          <w:b/>
          <w:i/>
          <w:sz w:val="16"/>
          <w:szCs w:val="16"/>
        </w:rPr>
        <w:t>Source: NDIS Workforce Plan, CEDA, ECEC National Workforce Census. Estimates exclude nurses and allied health professionals. Wages from Seek; Indeed; PayScale</w:t>
      </w:r>
      <w:r w:rsidR="00D67D8B">
        <w:rPr>
          <w:rStyle w:val="FootnoteReference"/>
          <w:b/>
          <w:i/>
          <w:sz w:val="16"/>
          <w:szCs w:val="16"/>
        </w:rPr>
        <w:footnoteReference w:id="18"/>
      </w:r>
      <w:bookmarkStart w:id="50" w:name="_Ref132891424"/>
    </w:p>
    <w:p w14:paraId="667F9C82" w14:textId="77777777" w:rsidR="008B3087" w:rsidRPr="00B62593" w:rsidRDefault="008B3087" w:rsidP="00D9646F">
      <w:pPr>
        <w:pStyle w:val="Heading3"/>
      </w:pPr>
      <w:r w:rsidRPr="00B62593">
        <w:t>4.3</w:t>
      </w:r>
      <w:r w:rsidRPr="00B62593">
        <w:tab/>
        <w:t xml:space="preserve">Scheme Statistics </w:t>
      </w:r>
    </w:p>
    <w:p w14:paraId="4991855A" w14:textId="3B19D137" w:rsidR="00872F4B" w:rsidRPr="0022293C" w:rsidRDefault="00872F4B" w:rsidP="0022293C">
      <w:pPr>
        <w:pStyle w:val="DotPoint"/>
        <w:numPr>
          <w:ilvl w:val="0"/>
          <w:numId w:val="0"/>
        </w:numPr>
        <w:rPr>
          <w:rFonts w:cstheme="minorBidi"/>
        </w:rPr>
      </w:pPr>
      <w:r w:rsidRPr="003110CC">
        <w:rPr>
          <w:rFonts w:cstheme="minorBidi"/>
        </w:rPr>
        <w:t>As shown in</w:t>
      </w:r>
      <w:r w:rsidR="00552FD9">
        <w:rPr>
          <w:rFonts w:cstheme="minorBidi"/>
        </w:rPr>
        <w:t xml:space="preserve"> </w:t>
      </w:r>
      <w:r w:rsidR="00552FD9">
        <w:rPr>
          <w:rFonts w:cstheme="minorBidi"/>
        </w:rPr>
        <w:fldChar w:fldCharType="begin"/>
      </w:r>
      <w:r w:rsidR="00552FD9">
        <w:rPr>
          <w:rFonts w:cstheme="minorBidi"/>
        </w:rPr>
        <w:instrText xml:space="preserve"> REF _Ref134298756 </w:instrText>
      </w:r>
      <w:r w:rsidR="00552FD9">
        <w:rPr>
          <w:rFonts w:cstheme="minorBidi"/>
        </w:rPr>
        <w:fldChar w:fldCharType="separate"/>
      </w:r>
      <w:r w:rsidR="00D64E4C">
        <w:t xml:space="preserve">Table </w:t>
      </w:r>
      <w:r w:rsidR="00D64E4C">
        <w:rPr>
          <w:noProof/>
        </w:rPr>
        <w:t>2</w:t>
      </w:r>
      <w:r w:rsidR="00552FD9">
        <w:rPr>
          <w:rFonts w:cstheme="minorBidi"/>
        </w:rPr>
        <w:fldChar w:fldCharType="end"/>
      </w:r>
      <w:r w:rsidRPr="003110CC">
        <w:rPr>
          <w:rFonts w:cstheme="minorBidi"/>
        </w:rPr>
        <w:t xml:space="preserve">, </w:t>
      </w:r>
      <w:r w:rsidR="000807DA">
        <w:rPr>
          <w:rFonts w:cstheme="minorBidi"/>
        </w:rPr>
        <w:t>in the six months to</w:t>
      </w:r>
      <w:r w:rsidRPr="003110CC">
        <w:rPr>
          <w:rFonts w:cstheme="minorBidi"/>
        </w:rPr>
        <w:t xml:space="preserve"> </w:t>
      </w:r>
      <w:r w:rsidRPr="00EE5F04">
        <w:rPr>
          <w:rFonts w:cstheme="minorBidi"/>
        </w:rPr>
        <w:t xml:space="preserve">December 2022, </w:t>
      </w:r>
      <w:r w:rsidRPr="003110CC">
        <w:rPr>
          <w:rFonts w:cstheme="minorBidi"/>
        </w:rPr>
        <w:t xml:space="preserve">the </w:t>
      </w:r>
      <w:r w:rsidRPr="00EE5F04">
        <w:rPr>
          <w:rFonts w:cstheme="minorBidi"/>
        </w:rPr>
        <w:t xml:space="preserve">NDIS had 252,637 participants </w:t>
      </w:r>
      <w:r w:rsidRPr="003110CC">
        <w:rPr>
          <w:rFonts w:cstheme="minorBidi"/>
        </w:rPr>
        <w:t>receiving DSW</w:t>
      </w:r>
      <w:r w:rsidR="0020622F">
        <w:rPr>
          <w:rFonts w:cstheme="minorBidi"/>
        </w:rPr>
        <w:t>-</w:t>
      </w:r>
      <w:r w:rsidRPr="003110CC">
        <w:rPr>
          <w:rFonts w:cstheme="minorBidi"/>
        </w:rPr>
        <w:t xml:space="preserve">related supports </w:t>
      </w:r>
      <w:r w:rsidR="00D004B4">
        <w:rPr>
          <w:rFonts w:cstheme="minorBidi"/>
        </w:rPr>
        <w:t>from</w:t>
      </w:r>
      <w:r w:rsidRPr="003110CC">
        <w:rPr>
          <w:rFonts w:cstheme="minorBidi"/>
        </w:rPr>
        <w:t xml:space="preserve"> </w:t>
      </w:r>
      <w:r w:rsidRPr="00EE5F04">
        <w:rPr>
          <w:rFonts w:cstheme="minorBidi"/>
        </w:rPr>
        <w:t>97,608 providers. This is an increase of 15% and 28% respectively</w:t>
      </w:r>
      <w:r w:rsidRPr="003110CC">
        <w:rPr>
          <w:rFonts w:cstheme="minorBidi"/>
        </w:rPr>
        <w:t xml:space="preserve"> compared to </w:t>
      </w:r>
      <w:r w:rsidR="00C651DF">
        <w:rPr>
          <w:rFonts w:cstheme="minorBidi"/>
        </w:rPr>
        <w:t xml:space="preserve">the </w:t>
      </w:r>
      <w:r w:rsidR="000807DA">
        <w:rPr>
          <w:rFonts w:cstheme="minorBidi"/>
        </w:rPr>
        <w:t>six months to</w:t>
      </w:r>
      <w:r w:rsidRPr="003110CC">
        <w:rPr>
          <w:rFonts w:cstheme="minorBidi"/>
        </w:rPr>
        <w:t xml:space="preserve"> December 2021</w:t>
      </w:r>
      <w:r w:rsidRPr="00EE5F04">
        <w:rPr>
          <w:rFonts w:cstheme="minorBidi"/>
        </w:rPr>
        <w:t xml:space="preserve">. Additionally, </w:t>
      </w:r>
      <w:r w:rsidRPr="003110CC">
        <w:rPr>
          <w:rFonts w:cstheme="minorBidi"/>
        </w:rPr>
        <w:t>the</w:t>
      </w:r>
      <w:r w:rsidRPr="00EE5F04">
        <w:rPr>
          <w:rFonts w:cstheme="minorBidi"/>
        </w:rPr>
        <w:t xml:space="preserve"> total</w:t>
      </w:r>
      <w:r w:rsidRPr="003110CC">
        <w:rPr>
          <w:rFonts w:cstheme="minorBidi"/>
        </w:rPr>
        <w:t xml:space="preserve"> amount claimed </w:t>
      </w:r>
      <w:r w:rsidR="000807DA">
        <w:rPr>
          <w:rFonts w:cstheme="minorBidi"/>
        </w:rPr>
        <w:t xml:space="preserve">in the six months </w:t>
      </w:r>
      <w:r w:rsidRPr="003110CC">
        <w:rPr>
          <w:rFonts w:cstheme="minorBidi"/>
        </w:rPr>
        <w:t xml:space="preserve">to December 2022 equates to </w:t>
      </w:r>
      <w:r w:rsidRPr="00EE5F04">
        <w:rPr>
          <w:rFonts w:cstheme="minorBidi"/>
        </w:rPr>
        <w:t xml:space="preserve">$10.2 billion, an increase of 34% </w:t>
      </w:r>
      <w:r w:rsidR="00E71466">
        <w:rPr>
          <w:rFonts w:cstheme="minorBidi"/>
        </w:rPr>
        <w:t>compared to the six months to December</w:t>
      </w:r>
      <w:r w:rsidRPr="00EE5F04">
        <w:rPr>
          <w:rFonts w:cstheme="minorBidi"/>
        </w:rPr>
        <w:t xml:space="preserve"> 2021. </w:t>
      </w:r>
      <w:r>
        <w:rPr>
          <w:rFonts w:cstheme="minorBidi"/>
        </w:rPr>
        <w:t xml:space="preserve">This represents a healthy growth to the demand and supply of the DSW market. </w:t>
      </w:r>
    </w:p>
    <w:p w14:paraId="4624455C" w14:textId="0FC035E8" w:rsidR="0022293C" w:rsidRDefault="0022293C" w:rsidP="0022293C">
      <w:pPr>
        <w:pStyle w:val="Caption"/>
      </w:pPr>
      <w:bookmarkStart w:id="51" w:name="_Ref134298756"/>
      <w:r>
        <w:t xml:space="preserve">Table </w:t>
      </w:r>
      <w:r>
        <w:fldChar w:fldCharType="begin"/>
      </w:r>
      <w:r>
        <w:instrText>SEQ Table \* ARABIC</w:instrText>
      </w:r>
      <w:r>
        <w:fldChar w:fldCharType="separate"/>
      </w:r>
      <w:r w:rsidR="00D64E4C">
        <w:rPr>
          <w:noProof/>
        </w:rPr>
        <w:t>2</w:t>
      </w:r>
      <w:r>
        <w:fldChar w:fldCharType="end"/>
      </w:r>
      <w:bookmarkEnd w:id="51"/>
      <w:r>
        <w:t xml:space="preserve">: </w:t>
      </w:r>
      <w:r w:rsidRPr="00F01935">
        <w:t>DSW</w:t>
      </w:r>
      <w:r w:rsidR="0020622F">
        <w:t>-</w:t>
      </w:r>
      <w:r>
        <w:t>Related Support Scheme Statistics</w:t>
      </w:r>
    </w:p>
    <w:tbl>
      <w:tblPr>
        <w:tblW w:w="876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2: DSW RELATED SUPPORT SCHEME STATISTICS"/>
        <w:tblDescription w:val="Between July to December 2022, the NDIS had 252,637 participants receiving DSW related supports from 97,608 providers. This is an increase of 15% and 28% respectively compared to same period in 2021. Additionally, the total amount claimed during the July to December 2022 equates to $10.2 billion, an increase of 34% from the same six-month period in 2021"/>
      </w:tblPr>
      <w:tblGrid>
        <w:gridCol w:w="3720"/>
        <w:gridCol w:w="1716"/>
        <w:gridCol w:w="1716"/>
        <w:gridCol w:w="1608"/>
      </w:tblGrid>
      <w:tr w:rsidR="00875376" w:rsidRPr="00EE5F04" w14:paraId="09605717" w14:textId="77777777" w:rsidTr="00FF11C1">
        <w:trPr>
          <w:trHeight w:val="555"/>
          <w:tblHeader/>
        </w:trPr>
        <w:tc>
          <w:tcPr>
            <w:tcW w:w="3675"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47E39BB8" w14:textId="5676ACF4" w:rsidR="00872F4B" w:rsidRPr="00EE5F04" w:rsidRDefault="00872F4B" w:rsidP="00D608D6">
            <w:pPr>
              <w:spacing w:before="60" w:after="60" w:line="240" w:lineRule="auto"/>
              <w:ind w:left="113"/>
              <w:textAlignment w:val="baseline"/>
              <w:rPr>
                <w:rFonts w:ascii="Times New Roman" w:eastAsia="Times New Roman" w:hAnsi="Times New Roman" w:cs="Times New Roman"/>
                <w:sz w:val="24"/>
                <w:lang w:eastAsia="en-AU"/>
              </w:rPr>
            </w:pPr>
            <w:r w:rsidRPr="00EE5F04">
              <w:rPr>
                <w:rFonts w:eastAsia="Times New Roman" w:cs="Arial"/>
                <w:b/>
                <w:bCs/>
                <w:color w:val="FEFFFF"/>
                <w:sz w:val="18"/>
                <w:szCs w:val="18"/>
                <w:lang w:eastAsia="en-AU"/>
              </w:rPr>
              <w:t>Statistics</w:t>
            </w:r>
          </w:p>
        </w:tc>
        <w:tc>
          <w:tcPr>
            <w:tcW w:w="1695"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1AE4E486" w14:textId="1350C255" w:rsidR="00872F4B" w:rsidRPr="00EE5F04" w:rsidRDefault="00872F4B" w:rsidP="00D608D6">
            <w:pPr>
              <w:spacing w:before="60" w:after="60" w:line="240" w:lineRule="auto"/>
              <w:jc w:val="center"/>
              <w:textAlignment w:val="baseline"/>
              <w:rPr>
                <w:rFonts w:ascii="Times New Roman" w:eastAsia="Times New Roman" w:hAnsi="Times New Roman" w:cs="Times New Roman"/>
                <w:sz w:val="24"/>
                <w:lang w:eastAsia="en-AU"/>
              </w:rPr>
            </w:pPr>
            <w:r w:rsidRPr="00EE5F04">
              <w:rPr>
                <w:rFonts w:eastAsia="Times New Roman" w:cs="Arial"/>
                <w:b/>
                <w:bCs/>
                <w:color w:val="FEFFFF"/>
                <w:sz w:val="18"/>
                <w:szCs w:val="18"/>
                <w:lang w:eastAsia="en-AU"/>
              </w:rPr>
              <w:t xml:space="preserve">July </w:t>
            </w:r>
            <w:r w:rsidR="00316400">
              <w:rPr>
                <w:rFonts w:eastAsia="Times New Roman" w:cs="Arial"/>
                <w:b/>
                <w:bCs/>
                <w:color w:val="FEFFFF"/>
                <w:sz w:val="18"/>
                <w:szCs w:val="18"/>
                <w:lang w:eastAsia="en-AU"/>
              </w:rPr>
              <w:t>–</w:t>
            </w:r>
            <w:r w:rsidRPr="00EE5F04">
              <w:rPr>
                <w:rFonts w:eastAsia="Times New Roman" w:cs="Arial"/>
                <w:b/>
                <w:bCs/>
                <w:color w:val="FEFFFF"/>
                <w:sz w:val="18"/>
                <w:szCs w:val="18"/>
                <w:lang w:eastAsia="en-AU"/>
              </w:rPr>
              <w:t xml:space="preserve"> December 2021</w:t>
            </w:r>
          </w:p>
        </w:tc>
        <w:tc>
          <w:tcPr>
            <w:tcW w:w="1695"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tcPr>
          <w:p w14:paraId="025A192F" w14:textId="7417C051" w:rsidR="009A4DE6" w:rsidRPr="00EE5F04" w:rsidRDefault="009A4DE6" w:rsidP="00D608D6">
            <w:pPr>
              <w:spacing w:before="60" w:after="60" w:line="240" w:lineRule="auto"/>
              <w:jc w:val="center"/>
              <w:textAlignment w:val="baseline"/>
              <w:rPr>
                <w:rFonts w:eastAsia="Times New Roman" w:cs="Arial"/>
                <w:b/>
                <w:bCs/>
                <w:color w:val="FEFFFF"/>
                <w:sz w:val="18"/>
                <w:szCs w:val="18"/>
                <w:lang w:eastAsia="en-AU"/>
              </w:rPr>
            </w:pPr>
            <w:r w:rsidRPr="00EE5F04">
              <w:rPr>
                <w:rFonts w:eastAsia="Times New Roman" w:cs="Arial"/>
                <w:b/>
                <w:bCs/>
                <w:color w:val="FEFFFF"/>
                <w:sz w:val="18"/>
                <w:szCs w:val="18"/>
                <w:lang w:eastAsia="en-AU"/>
              </w:rPr>
              <w:t xml:space="preserve">July </w:t>
            </w:r>
            <w:r w:rsidR="00316400">
              <w:rPr>
                <w:rFonts w:eastAsia="Times New Roman" w:cs="Arial"/>
                <w:b/>
                <w:bCs/>
                <w:color w:val="FEFFFF"/>
                <w:sz w:val="18"/>
                <w:szCs w:val="18"/>
                <w:lang w:eastAsia="en-AU"/>
              </w:rPr>
              <w:t>–</w:t>
            </w:r>
            <w:r w:rsidRPr="00EE5F04">
              <w:rPr>
                <w:rFonts w:eastAsia="Times New Roman" w:cs="Arial"/>
                <w:b/>
                <w:bCs/>
                <w:color w:val="FEFFFF"/>
                <w:sz w:val="18"/>
                <w:szCs w:val="18"/>
                <w:lang w:eastAsia="en-AU"/>
              </w:rPr>
              <w:t xml:space="preserve"> December 2022</w:t>
            </w:r>
          </w:p>
        </w:tc>
        <w:tc>
          <w:tcPr>
            <w:tcW w:w="1588"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shd w:val="clear" w:color="auto" w:fill="6B2976"/>
            <w:hideMark/>
          </w:tcPr>
          <w:p w14:paraId="5A1F99E9" w14:textId="64C20581" w:rsidR="00872F4B" w:rsidRPr="00EE5F04" w:rsidRDefault="00872F4B" w:rsidP="00D608D6">
            <w:pPr>
              <w:spacing w:before="60" w:after="60" w:line="240" w:lineRule="auto"/>
              <w:jc w:val="center"/>
              <w:textAlignment w:val="baseline"/>
              <w:rPr>
                <w:rFonts w:ascii="Times New Roman" w:eastAsia="Times New Roman" w:hAnsi="Times New Roman" w:cs="Times New Roman"/>
                <w:sz w:val="24"/>
                <w:lang w:eastAsia="en-AU"/>
              </w:rPr>
            </w:pPr>
            <w:r w:rsidRPr="00EE5F04">
              <w:rPr>
                <w:rFonts w:eastAsia="Times New Roman" w:cs="Arial"/>
                <w:b/>
                <w:bCs/>
                <w:color w:val="FEFFFF"/>
                <w:sz w:val="18"/>
                <w:szCs w:val="18"/>
                <w:lang w:eastAsia="en-AU"/>
              </w:rPr>
              <w:t>Percentage Change</w:t>
            </w:r>
          </w:p>
        </w:tc>
      </w:tr>
      <w:tr w:rsidR="00872F4B" w:rsidRPr="00EE5F04" w14:paraId="0EC57FE0" w14:textId="77777777" w:rsidTr="00FF11C1">
        <w:trPr>
          <w:trHeight w:val="390"/>
          <w:tblHeader/>
        </w:trPr>
        <w:tc>
          <w:tcPr>
            <w:tcW w:w="3675" w:type="dxa"/>
            <w:tcBorders>
              <w:top w:val="single" w:sz="4" w:space="0" w:color="4F1E58" w:themeColor="accent1" w:themeShade="BF"/>
              <w:left w:val="single" w:sz="6" w:space="0" w:color="B962C8"/>
              <w:bottom w:val="single" w:sz="6" w:space="0" w:color="B962C8"/>
              <w:right w:val="single" w:sz="6" w:space="0" w:color="B962C8"/>
            </w:tcBorders>
            <w:shd w:val="clear" w:color="auto" w:fill="E8CAED"/>
            <w:vAlign w:val="center"/>
            <w:hideMark/>
          </w:tcPr>
          <w:p w14:paraId="4FF9BFDB" w14:textId="79329E82" w:rsidR="00872F4B" w:rsidRPr="00EE5F04" w:rsidRDefault="00872F4B" w:rsidP="00D608D6">
            <w:pPr>
              <w:spacing w:before="60" w:after="60" w:line="240" w:lineRule="auto"/>
              <w:ind w:left="113"/>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Total number of NDIS participants</w:t>
            </w:r>
          </w:p>
        </w:tc>
        <w:tc>
          <w:tcPr>
            <w:tcW w:w="1695" w:type="dxa"/>
            <w:tcBorders>
              <w:top w:val="single" w:sz="4" w:space="0" w:color="4F1E58" w:themeColor="accent1" w:themeShade="BF"/>
              <w:left w:val="single" w:sz="6" w:space="0" w:color="B962C8"/>
              <w:bottom w:val="single" w:sz="6" w:space="0" w:color="B962C8"/>
              <w:right w:val="single" w:sz="6" w:space="0" w:color="B962C8"/>
            </w:tcBorders>
            <w:shd w:val="clear" w:color="auto" w:fill="E8CAED"/>
            <w:vAlign w:val="center"/>
            <w:hideMark/>
          </w:tcPr>
          <w:p w14:paraId="72A1D488" w14:textId="2DE6F4DF" w:rsidR="00872F4B" w:rsidRPr="00EE5F04" w:rsidRDefault="00872F4B" w:rsidP="006D274B">
            <w:pPr>
              <w:spacing w:before="60" w:after="60" w:line="240" w:lineRule="auto"/>
              <w:ind w:right="397"/>
              <w:jc w:val="right"/>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219,083</w:t>
            </w:r>
          </w:p>
        </w:tc>
        <w:tc>
          <w:tcPr>
            <w:tcW w:w="1695" w:type="dxa"/>
            <w:tcBorders>
              <w:top w:val="single" w:sz="4" w:space="0" w:color="4F1E58" w:themeColor="accent1" w:themeShade="BF"/>
              <w:left w:val="single" w:sz="6" w:space="0" w:color="B962C8"/>
              <w:bottom w:val="single" w:sz="6" w:space="0" w:color="B962C8"/>
              <w:right w:val="single" w:sz="6" w:space="0" w:color="B962C8"/>
            </w:tcBorders>
            <w:shd w:val="clear" w:color="auto" w:fill="E8CAED"/>
            <w:vAlign w:val="center"/>
          </w:tcPr>
          <w:p w14:paraId="433FFE68" w14:textId="4D0C8DCD" w:rsidR="009A4DE6" w:rsidRPr="00EE5F04" w:rsidRDefault="009A4DE6" w:rsidP="006D274B">
            <w:pPr>
              <w:spacing w:before="60" w:after="60" w:line="240" w:lineRule="auto"/>
              <w:ind w:right="340"/>
              <w:jc w:val="right"/>
              <w:textAlignment w:val="baseline"/>
              <w:rPr>
                <w:rFonts w:eastAsia="Times New Roman" w:cs="Arial"/>
                <w:sz w:val="18"/>
                <w:szCs w:val="18"/>
                <w:lang w:eastAsia="en-AU"/>
              </w:rPr>
            </w:pPr>
            <w:r w:rsidRPr="00EE5F04">
              <w:rPr>
                <w:rFonts w:eastAsia="Times New Roman" w:cs="Arial"/>
                <w:sz w:val="18"/>
                <w:szCs w:val="18"/>
                <w:lang w:eastAsia="en-AU"/>
              </w:rPr>
              <w:t>252</w:t>
            </w:r>
            <w:r w:rsidRPr="00612D70">
              <w:rPr>
                <w:rFonts w:eastAsia="Times New Roman" w:cs="Arial"/>
                <w:sz w:val="18"/>
                <w:szCs w:val="18"/>
                <w:lang w:eastAsia="en-AU"/>
              </w:rPr>
              <w:t>,</w:t>
            </w:r>
            <w:r w:rsidRPr="00EE5F04">
              <w:rPr>
                <w:rFonts w:eastAsia="Times New Roman" w:cs="Arial"/>
                <w:sz w:val="18"/>
                <w:szCs w:val="18"/>
                <w:lang w:eastAsia="en-AU"/>
              </w:rPr>
              <w:t>637</w:t>
            </w:r>
          </w:p>
        </w:tc>
        <w:tc>
          <w:tcPr>
            <w:tcW w:w="1588" w:type="dxa"/>
            <w:tcBorders>
              <w:top w:val="single" w:sz="4" w:space="0" w:color="4F1E58" w:themeColor="accent1" w:themeShade="BF"/>
              <w:left w:val="single" w:sz="6" w:space="0" w:color="B962C8"/>
              <w:bottom w:val="single" w:sz="6" w:space="0" w:color="B962C8"/>
              <w:right w:val="single" w:sz="6" w:space="0" w:color="B962C8"/>
            </w:tcBorders>
            <w:shd w:val="clear" w:color="auto" w:fill="E8CAED"/>
            <w:vAlign w:val="center"/>
            <w:hideMark/>
          </w:tcPr>
          <w:p w14:paraId="45635520" w14:textId="446A760F" w:rsidR="00872F4B" w:rsidRPr="00EE5F04" w:rsidRDefault="00872F4B" w:rsidP="006D274B">
            <w:pPr>
              <w:spacing w:before="60" w:after="60" w:line="240" w:lineRule="auto"/>
              <w:jc w:val="center"/>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+15%</w:t>
            </w:r>
          </w:p>
        </w:tc>
      </w:tr>
      <w:tr w:rsidR="00872F4B" w:rsidRPr="00EE5F04" w14:paraId="51B3E0DE" w14:textId="77777777" w:rsidTr="00FF11C1">
        <w:trPr>
          <w:trHeight w:val="450"/>
          <w:tblHeader/>
        </w:trPr>
        <w:tc>
          <w:tcPr>
            <w:tcW w:w="3675" w:type="dxa"/>
            <w:tcBorders>
              <w:top w:val="single" w:sz="6" w:space="0" w:color="B962C8"/>
              <w:left w:val="single" w:sz="6" w:space="0" w:color="B962C8"/>
              <w:bottom w:val="single" w:sz="6" w:space="0" w:color="B962C8"/>
              <w:right w:val="single" w:sz="6" w:space="0" w:color="B962C8"/>
            </w:tcBorders>
            <w:shd w:val="clear" w:color="auto" w:fill="auto"/>
            <w:vAlign w:val="center"/>
            <w:hideMark/>
          </w:tcPr>
          <w:p w14:paraId="49C76048" w14:textId="6CE4DA89" w:rsidR="00872F4B" w:rsidRPr="00EE5F04" w:rsidRDefault="00872F4B" w:rsidP="006D274B">
            <w:pPr>
              <w:spacing w:before="60" w:after="60" w:line="240" w:lineRule="auto"/>
              <w:ind w:left="113"/>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Total number of active providers (includes registered and unregistered providers)</w:t>
            </w:r>
          </w:p>
        </w:tc>
        <w:tc>
          <w:tcPr>
            <w:tcW w:w="1695" w:type="dxa"/>
            <w:tcBorders>
              <w:top w:val="single" w:sz="6" w:space="0" w:color="B962C8"/>
              <w:left w:val="single" w:sz="6" w:space="0" w:color="B962C8"/>
              <w:bottom w:val="single" w:sz="6" w:space="0" w:color="B962C8"/>
              <w:right w:val="single" w:sz="6" w:space="0" w:color="B962C8"/>
            </w:tcBorders>
            <w:shd w:val="clear" w:color="auto" w:fill="auto"/>
            <w:vAlign w:val="center"/>
            <w:hideMark/>
          </w:tcPr>
          <w:p w14:paraId="36EF4215" w14:textId="089013DD" w:rsidR="00872F4B" w:rsidRPr="00EE5F04" w:rsidRDefault="00872F4B" w:rsidP="006D274B">
            <w:pPr>
              <w:spacing w:before="60" w:after="60" w:line="240" w:lineRule="auto"/>
              <w:ind w:right="397"/>
              <w:jc w:val="right"/>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76,064</w:t>
            </w:r>
          </w:p>
        </w:tc>
        <w:tc>
          <w:tcPr>
            <w:tcW w:w="1695" w:type="dxa"/>
            <w:tcBorders>
              <w:top w:val="single" w:sz="6" w:space="0" w:color="B962C8"/>
              <w:left w:val="single" w:sz="6" w:space="0" w:color="B962C8"/>
              <w:bottom w:val="single" w:sz="6" w:space="0" w:color="B962C8"/>
              <w:right w:val="single" w:sz="6" w:space="0" w:color="B962C8"/>
            </w:tcBorders>
            <w:vAlign w:val="center"/>
          </w:tcPr>
          <w:p w14:paraId="37FBE42B" w14:textId="75A8D1AD" w:rsidR="009A4DE6" w:rsidRPr="00EE5F04" w:rsidRDefault="009A4DE6" w:rsidP="006D274B">
            <w:pPr>
              <w:spacing w:before="60" w:after="60" w:line="240" w:lineRule="auto"/>
              <w:ind w:right="340"/>
              <w:jc w:val="right"/>
              <w:textAlignment w:val="baseline"/>
              <w:rPr>
                <w:rFonts w:eastAsia="Times New Roman" w:cs="Arial"/>
                <w:sz w:val="18"/>
                <w:szCs w:val="18"/>
                <w:lang w:eastAsia="en-AU"/>
              </w:rPr>
            </w:pPr>
            <w:r w:rsidRPr="00EE5F04">
              <w:rPr>
                <w:rFonts w:eastAsia="Times New Roman" w:cs="Arial"/>
                <w:sz w:val="18"/>
                <w:szCs w:val="18"/>
                <w:lang w:eastAsia="en-AU"/>
              </w:rPr>
              <w:t>97,608</w:t>
            </w:r>
          </w:p>
        </w:tc>
        <w:tc>
          <w:tcPr>
            <w:tcW w:w="1588" w:type="dxa"/>
            <w:tcBorders>
              <w:top w:val="single" w:sz="6" w:space="0" w:color="B962C8"/>
              <w:left w:val="single" w:sz="6" w:space="0" w:color="B962C8"/>
              <w:bottom w:val="single" w:sz="6" w:space="0" w:color="B962C8"/>
              <w:right w:val="single" w:sz="6" w:space="0" w:color="B962C8"/>
            </w:tcBorders>
            <w:shd w:val="clear" w:color="auto" w:fill="auto"/>
            <w:vAlign w:val="center"/>
            <w:hideMark/>
          </w:tcPr>
          <w:p w14:paraId="13C6EE62" w14:textId="22EEA34F" w:rsidR="00872F4B" w:rsidRPr="00EE5F04" w:rsidRDefault="00872F4B" w:rsidP="006D274B">
            <w:pPr>
              <w:spacing w:before="60" w:after="60" w:line="240" w:lineRule="auto"/>
              <w:jc w:val="center"/>
              <w:textAlignment w:val="baseline"/>
              <w:rPr>
                <w:rFonts w:ascii="Times New Roman" w:eastAsia="Times New Roman" w:hAnsi="Times New Roman" w:cs="Times New Roman"/>
                <w:sz w:val="24"/>
                <w:lang w:eastAsia="en-AU"/>
              </w:rPr>
            </w:pPr>
            <w:r w:rsidRPr="00EE5F04">
              <w:rPr>
                <w:rFonts w:eastAsia="Times New Roman" w:cs="Arial"/>
                <w:sz w:val="18"/>
                <w:szCs w:val="18"/>
                <w:lang w:eastAsia="en-AU"/>
              </w:rPr>
              <w:t>+28%</w:t>
            </w:r>
          </w:p>
        </w:tc>
      </w:tr>
      <w:tr w:rsidR="00872F4B" w:rsidRPr="00EE5F04" w14:paraId="0BB034AF" w14:textId="77777777" w:rsidTr="00FF11C1">
        <w:trPr>
          <w:trHeight w:val="390"/>
          <w:tblHeader/>
        </w:trPr>
        <w:tc>
          <w:tcPr>
            <w:tcW w:w="3675" w:type="dxa"/>
            <w:tcBorders>
              <w:top w:val="single" w:sz="6" w:space="0" w:color="B962C8"/>
              <w:left w:val="single" w:sz="6" w:space="0" w:color="B962C8"/>
              <w:bottom w:val="single" w:sz="6" w:space="0" w:color="B962C8"/>
              <w:right w:val="single" w:sz="6" w:space="0" w:color="B962C8"/>
            </w:tcBorders>
            <w:shd w:val="clear" w:color="auto" w:fill="E8CAED"/>
            <w:vAlign w:val="center"/>
            <w:hideMark/>
          </w:tcPr>
          <w:p w14:paraId="7CC6987C" w14:textId="0C81FC70" w:rsidR="00872F4B" w:rsidRPr="00506A93" w:rsidRDefault="00872F4B" w:rsidP="006D274B">
            <w:pPr>
              <w:spacing w:before="60" w:after="60" w:line="240" w:lineRule="auto"/>
              <w:ind w:left="113"/>
              <w:textAlignment w:val="baseline"/>
              <w:rPr>
                <w:rFonts w:ascii="Times New Roman" w:eastAsia="Times New Roman" w:hAnsi="Times New Roman" w:cs="Times New Roman"/>
                <w:b/>
                <w:bCs/>
                <w:sz w:val="24"/>
                <w:lang w:eastAsia="en-AU"/>
              </w:rPr>
            </w:pPr>
            <w:r w:rsidRPr="00506A93">
              <w:rPr>
                <w:rFonts w:eastAsia="Times New Roman" w:cs="Arial"/>
                <w:b/>
                <w:bCs/>
                <w:sz w:val="18"/>
                <w:szCs w:val="18"/>
                <w:lang w:eastAsia="en-AU"/>
              </w:rPr>
              <w:t>Total amount claimed</w:t>
            </w:r>
          </w:p>
        </w:tc>
        <w:tc>
          <w:tcPr>
            <w:tcW w:w="1695" w:type="dxa"/>
            <w:tcBorders>
              <w:top w:val="single" w:sz="6" w:space="0" w:color="B962C8"/>
              <w:left w:val="single" w:sz="6" w:space="0" w:color="B962C8"/>
              <w:bottom w:val="single" w:sz="6" w:space="0" w:color="B962C8"/>
              <w:right w:val="single" w:sz="6" w:space="0" w:color="B962C8"/>
            </w:tcBorders>
            <w:shd w:val="clear" w:color="auto" w:fill="E8CAED"/>
            <w:vAlign w:val="center"/>
            <w:hideMark/>
          </w:tcPr>
          <w:p w14:paraId="22C4AE28" w14:textId="21F2E8F1" w:rsidR="00872F4B" w:rsidRPr="00506A93" w:rsidRDefault="00872F4B" w:rsidP="006D274B">
            <w:pPr>
              <w:spacing w:before="60" w:after="60" w:line="240" w:lineRule="auto"/>
              <w:ind w:right="397"/>
              <w:jc w:val="right"/>
              <w:textAlignment w:val="baseline"/>
              <w:rPr>
                <w:rFonts w:ascii="Times New Roman" w:eastAsia="Times New Roman" w:hAnsi="Times New Roman" w:cs="Times New Roman"/>
                <w:b/>
                <w:bCs/>
                <w:sz w:val="24"/>
                <w:lang w:eastAsia="en-AU"/>
              </w:rPr>
            </w:pPr>
            <w:r w:rsidRPr="00506A93">
              <w:rPr>
                <w:rFonts w:eastAsia="Times New Roman" w:cs="Arial"/>
                <w:b/>
                <w:bCs/>
                <w:strike/>
                <w:sz w:val="18"/>
                <w:szCs w:val="18"/>
                <w:lang w:eastAsia="en-AU"/>
              </w:rPr>
              <w:t>$</w:t>
            </w:r>
            <w:r w:rsidRPr="00506A93">
              <w:rPr>
                <w:rFonts w:eastAsia="Times New Roman" w:cs="Arial"/>
                <w:b/>
                <w:bCs/>
                <w:sz w:val="18"/>
                <w:szCs w:val="18"/>
                <w:lang w:eastAsia="en-AU"/>
              </w:rPr>
              <w:t>7.6 billion</w:t>
            </w:r>
          </w:p>
        </w:tc>
        <w:tc>
          <w:tcPr>
            <w:tcW w:w="1695" w:type="dxa"/>
            <w:tcBorders>
              <w:top w:val="single" w:sz="6" w:space="0" w:color="B962C8"/>
              <w:left w:val="single" w:sz="6" w:space="0" w:color="B962C8"/>
              <w:bottom w:val="single" w:sz="6" w:space="0" w:color="B962C8"/>
              <w:right w:val="single" w:sz="6" w:space="0" w:color="B962C8"/>
            </w:tcBorders>
            <w:shd w:val="clear" w:color="auto" w:fill="E8CAED"/>
            <w:vAlign w:val="center"/>
          </w:tcPr>
          <w:p w14:paraId="2B1F00C2" w14:textId="6880E2BD" w:rsidR="009A4DE6" w:rsidRPr="00506A93" w:rsidRDefault="009A4DE6" w:rsidP="006D274B">
            <w:pPr>
              <w:spacing w:before="60" w:after="60" w:line="240" w:lineRule="auto"/>
              <w:ind w:right="340"/>
              <w:jc w:val="right"/>
              <w:textAlignment w:val="baseline"/>
              <w:rPr>
                <w:rFonts w:eastAsia="Times New Roman" w:cs="Arial"/>
                <w:b/>
                <w:bCs/>
                <w:sz w:val="18"/>
                <w:szCs w:val="18"/>
                <w:lang w:eastAsia="en-AU"/>
              </w:rPr>
            </w:pPr>
            <w:r w:rsidRPr="00506A93">
              <w:rPr>
                <w:rFonts w:eastAsia="Times New Roman" w:cs="Arial"/>
                <w:b/>
                <w:bCs/>
                <w:sz w:val="18"/>
                <w:szCs w:val="18"/>
                <w:lang w:eastAsia="en-AU"/>
              </w:rPr>
              <w:t>$10.2 billion</w:t>
            </w:r>
          </w:p>
        </w:tc>
        <w:tc>
          <w:tcPr>
            <w:tcW w:w="1588" w:type="dxa"/>
            <w:tcBorders>
              <w:top w:val="single" w:sz="6" w:space="0" w:color="B962C8"/>
              <w:left w:val="single" w:sz="6" w:space="0" w:color="B962C8"/>
              <w:bottom w:val="single" w:sz="6" w:space="0" w:color="B962C8"/>
              <w:right w:val="single" w:sz="6" w:space="0" w:color="B962C8"/>
            </w:tcBorders>
            <w:shd w:val="clear" w:color="auto" w:fill="E8CAED"/>
            <w:vAlign w:val="center"/>
            <w:hideMark/>
          </w:tcPr>
          <w:p w14:paraId="6E59F245" w14:textId="7550782B" w:rsidR="00872F4B" w:rsidRPr="00506A93" w:rsidRDefault="00872F4B" w:rsidP="006D274B">
            <w:pPr>
              <w:spacing w:before="60" w:after="60" w:line="240" w:lineRule="auto"/>
              <w:jc w:val="center"/>
              <w:textAlignment w:val="baseline"/>
              <w:rPr>
                <w:rFonts w:ascii="Times New Roman" w:eastAsia="Times New Roman" w:hAnsi="Times New Roman" w:cs="Times New Roman"/>
                <w:b/>
                <w:bCs/>
                <w:sz w:val="24"/>
                <w:lang w:eastAsia="en-AU"/>
              </w:rPr>
            </w:pPr>
            <w:r w:rsidRPr="00506A93">
              <w:rPr>
                <w:rFonts w:eastAsia="Times New Roman" w:cs="Arial"/>
                <w:b/>
                <w:bCs/>
                <w:sz w:val="18"/>
                <w:szCs w:val="18"/>
                <w:lang w:eastAsia="en-AU"/>
              </w:rPr>
              <w:t>+34%</w:t>
            </w:r>
          </w:p>
        </w:tc>
      </w:tr>
    </w:tbl>
    <w:p w14:paraId="01E1DB8B" w14:textId="266935AF" w:rsidR="00872F4B" w:rsidRPr="00AD5B72" w:rsidRDefault="00872F4B" w:rsidP="00AD5B72">
      <w:pPr>
        <w:spacing w:before="60" w:after="60" w:line="240" w:lineRule="atLeast"/>
        <w:rPr>
          <w:rFonts w:ascii="Times New Roman" w:eastAsia="Times New Roman" w:hAnsi="Times New Roman" w:cs="Times New Roman"/>
          <w:b/>
          <w:sz w:val="16"/>
          <w:szCs w:val="16"/>
          <w:lang w:eastAsia="en-AU"/>
        </w:rPr>
      </w:pPr>
      <w:r w:rsidRPr="006D274B">
        <w:rPr>
          <w:rFonts w:eastAsia="Times New Roman" w:cs="Arial"/>
          <w:b/>
          <w:szCs w:val="22"/>
          <w:lang w:eastAsia="en-AU"/>
        </w:rPr>
        <w:t> </w:t>
      </w:r>
      <w:r w:rsidR="00506A93" w:rsidRPr="006D274B">
        <w:rPr>
          <w:rFonts w:eastAsia="Times New Roman" w:cs="Arial"/>
          <w:b/>
          <w:i/>
          <w:sz w:val="16"/>
          <w:szCs w:val="16"/>
          <w:lang w:eastAsia="en-AU"/>
        </w:rPr>
        <w:t>Source: NDIS internal administrative data</w:t>
      </w:r>
      <w:r w:rsidR="00506A93" w:rsidRPr="006D274B">
        <w:rPr>
          <w:rFonts w:eastAsia="Times New Roman" w:cs="Arial"/>
          <w:b/>
          <w:sz w:val="16"/>
          <w:szCs w:val="16"/>
          <w:lang w:eastAsia="en-AU"/>
        </w:rPr>
        <w:t> </w:t>
      </w:r>
    </w:p>
    <w:p w14:paraId="025B6C40" w14:textId="4050881C" w:rsidR="00872F4B" w:rsidRPr="00552FD9" w:rsidRDefault="00552FD9" w:rsidP="00552FD9">
      <w:pPr>
        <w:pStyle w:val="DotPoint"/>
        <w:numPr>
          <w:ilvl w:val="0"/>
          <w:numId w:val="0"/>
        </w:numPr>
        <w:rPr>
          <w:rFonts w:cstheme="minorBidi"/>
        </w:rPr>
      </w:pPr>
      <w:r>
        <w:rPr>
          <w:rFonts w:cstheme="minorBidi"/>
        </w:rPr>
        <w:fldChar w:fldCharType="begin"/>
      </w:r>
      <w:r>
        <w:rPr>
          <w:rFonts w:cstheme="minorBidi"/>
        </w:rPr>
        <w:instrText xml:space="preserve"> REF _Ref134298900 </w:instrText>
      </w:r>
      <w:r>
        <w:rPr>
          <w:rFonts w:cstheme="minorBidi"/>
        </w:rPr>
        <w:fldChar w:fldCharType="separate"/>
      </w:r>
      <w:r w:rsidR="00D64E4C">
        <w:t xml:space="preserve">Table </w:t>
      </w:r>
      <w:r w:rsidR="00D64E4C">
        <w:rPr>
          <w:noProof/>
        </w:rPr>
        <w:t>3</w:t>
      </w:r>
      <w:r>
        <w:rPr>
          <w:rFonts w:cstheme="minorBidi"/>
        </w:rPr>
        <w:fldChar w:fldCharType="end"/>
      </w:r>
      <w:r>
        <w:rPr>
          <w:rFonts w:cstheme="minorBidi"/>
        </w:rPr>
        <w:t xml:space="preserve"> </w:t>
      </w:r>
      <w:r w:rsidR="00872F4B" w:rsidRPr="00EE5F04">
        <w:rPr>
          <w:rFonts w:cstheme="minorBidi"/>
        </w:rPr>
        <w:t xml:space="preserve">shows </w:t>
      </w:r>
      <w:r w:rsidR="00872F4B" w:rsidRPr="003110CC">
        <w:rPr>
          <w:rFonts w:cstheme="minorBidi"/>
        </w:rPr>
        <w:t xml:space="preserve">a breakdown of the type of supports related to DSW and </w:t>
      </w:r>
      <w:r w:rsidR="00872F4B" w:rsidRPr="00EE5F04">
        <w:rPr>
          <w:rFonts w:cstheme="minorBidi"/>
        </w:rPr>
        <w:t xml:space="preserve">the number of active registered providers </w:t>
      </w:r>
      <w:r w:rsidR="00872F4B" w:rsidRPr="003110CC">
        <w:rPr>
          <w:rFonts w:cstheme="minorBidi"/>
        </w:rPr>
        <w:t xml:space="preserve">for each </w:t>
      </w:r>
      <w:r w:rsidR="00872F4B" w:rsidRPr="00EE5F04">
        <w:rPr>
          <w:rFonts w:cstheme="minorBidi"/>
        </w:rPr>
        <w:t>categor</w:t>
      </w:r>
      <w:r w:rsidR="00872F4B" w:rsidRPr="003110CC">
        <w:rPr>
          <w:rFonts w:cstheme="minorBidi"/>
        </w:rPr>
        <w:t xml:space="preserve">y. </w:t>
      </w:r>
      <w:r w:rsidR="00603F5A">
        <w:rPr>
          <w:rFonts w:cstheme="minorBidi"/>
        </w:rPr>
        <w:t>O</w:t>
      </w:r>
      <w:r w:rsidR="00603F5A" w:rsidRPr="00603F5A">
        <w:rPr>
          <w:rFonts w:cstheme="minorBidi"/>
        </w:rPr>
        <w:t>ver the six months to December 2022 compared to the six months to December 2021</w:t>
      </w:r>
      <w:r w:rsidR="00872F4B" w:rsidRPr="003110CC">
        <w:rPr>
          <w:rFonts w:cstheme="minorBidi"/>
        </w:rPr>
        <w:t xml:space="preserve">, </w:t>
      </w:r>
      <w:r w:rsidR="00872F4B">
        <w:rPr>
          <w:rFonts w:cstheme="minorBidi"/>
        </w:rPr>
        <w:t>all categories increased except one. T</w:t>
      </w:r>
      <w:r w:rsidR="00872F4B" w:rsidRPr="00EE5F04">
        <w:rPr>
          <w:rFonts w:cstheme="minorBidi"/>
        </w:rPr>
        <w:t>he categories that experienced the largest</w:t>
      </w:r>
      <w:r w:rsidR="00872F4B" w:rsidRPr="003110CC">
        <w:rPr>
          <w:rFonts w:cstheme="minorBidi"/>
        </w:rPr>
        <w:t xml:space="preserve"> supply </w:t>
      </w:r>
      <w:r w:rsidR="00872F4B" w:rsidRPr="00EE5F04">
        <w:rPr>
          <w:rFonts w:cstheme="minorBidi"/>
        </w:rPr>
        <w:t>growth were High Intensity Daily Personal Activities (</w:t>
      </w:r>
      <w:r w:rsidR="00872F4B" w:rsidRPr="003110CC">
        <w:rPr>
          <w:rFonts w:cstheme="minorBidi"/>
        </w:rPr>
        <w:t>2</w:t>
      </w:r>
      <w:r w:rsidR="00872F4B" w:rsidRPr="00EE5F04">
        <w:rPr>
          <w:rFonts w:cstheme="minorBidi"/>
        </w:rPr>
        <w:t>1%)</w:t>
      </w:r>
      <w:r w:rsidR="00872F4B" w:rsidRPr="003110CC">
        <w:rPr>
          <w:rFonts w:cstheme="minorBidi"/>
        </w:rPr>
        <w:t xml:space="preserve">, </w:t>
      </w:r>
      <w:r w:rsidR="00872F4B" w:rsidRPr="00EE5F04">
        <w:rPr>
          <w:rFonts w:cstheme="minorBidi"/>
        </w:rPr>
        <w:t>Assistance with Daily Life Tasks in a Group or Shared Living Arrangement (2</w:t>
      </w:r>
      <w:r w:rsidR="00872F4B" w:rsidRPr="003110CC">
        <w:rPr>
          <w:rFonts w:cstheme="minorBidi"/>
        </w:rPr>
        <w:t>1</w:t>
      </w:r>
      <w:r w:rsidR="00872F4B" w:rsidRPr="00EE5F04">
        <w:rPr>
          <w:rFonts w:cstheme="minorBidi"/>
        </w:rPr>
        <w:t>%)</w:t>
      </w:r>
      <w:r w:rsidR="00872F4B" w:rsidRPr="003110CC">
        <w:rPr>
          <w:rFonts w:cstheme="minorBidi"/>
        </w:rPr>
        <w:t xml:space="preserve"> and</w:t>
      </w:r>
      <w:r w:rsidR="00872F4B" w:rsidRPr="00EE5F04">
        <w:rPr>
          <w:rFonts w:cstheme="minorBidi"/>
        </w:rPr>
        <w:t xml:space="preserve"> Participation in Community, Social and Civic Activities </w:t>
      </w:r>
      <w:r w:rsidR="00872F4B" w:rsidRPr="00EE5F04">
        <w:rPr>
          <w:rFonts w:cstheme="minorBidi"/>
        </w:rPr>
        <w:t>(</w:t>
      </w:r>
      <w:r w:rsidR="00872F4B" w:rsidRPr="003110CC">
        <w:rPr>
          <w:rFonts w:cstheme="minorBidi"/>
        </w:rPr>
        <w:t>17</w:t>
      </w:r>
      <w:r w:rsidR="00872F4B" w:rsidRPr="00EE5F04">
        <w:rPr>
          <w:rFonts w:cstheme="minorBidi"/>
        </w:rPr>
        <w:t>%).</w:t>
      </w:r>
      <w:r w:rsidR="00872F4B">
        <w:rPr>
          <w:rFonts w:cstheme="minorBidi"/>
        </w:rPr>
        <w:t xml:space="preserve"> This demonstrates</w:t>
      </w:r>
      <w:r w:rsidR="00872F4B" w:rsidDel="00080A25">
        <w:rPr>
          <w:rFonts w:cstheme="minorBidi"/>
        </w:rPr>
        <w:t xml:space="preserve"> </w:t>
      </w:r>
      <w:r w:rsidR="00872F4B">
        <w:rPr>
          <w:rFonts w:cstheme="minorBidi"/>
        </w:rPr>
        <w:t xml:space="preserve">strong growth </w:t>
      </w:r>
      <w:r w:rsidR="00EC0FBC">
        <w:rPr>
          <w:rFonts w:cstheme="minorBidi"/>
        </w:rPr>
        <w:t>in most</w:t>
      </w:r>
      <w:r w:rsidR="00EC0FBC" w:rsidDel="0069178E">
        <w:rPr>
          <w:rFonts w:cstheme="minorBidi"/>
        </w:rPr>
        <w:t xml:space="preserve"> </w:t>
      </w:r>
      <w:r w:rsidR="0069178E">
        <w:rPr>
          <w:rFonts w:cstheme="minorBidi"/>
        </w:rPr>
        <w:t xml:space="preserve">of </w:t>
      </w:r>
      <w:r w:rsidR="00EC0FBC">
        <w:rPr>
          <w:rFonts w:cstheme="minorBidi"/>
        </w:rPr>
        <w:t xml:space="preserve">the relevant registration groups with </w:t>
      </w:r>
      <w:r w:rsidR="00872F4B">
        <w:rPr>
          <w:rFonts w:cstheme="minorBidi"/>
        </w:rPr>
        <w:t>DSW</w:t>
      </w:r>
      <w:r w:rsidR="00EC0FBC">
        <w:rPr>
          <w:rFonts w:cstheme="minorBidi"/>
        </w:rPr>
        <w:t>-</w:t>
      </w:r>
      <w:r w:rsidR="00872F4B">
        <w:rPr>
          <w:rFonts w:cstheme="minorBidi"/>
        </w:rPr>
        <w:t>related supports.</w:t>
      </w:r>
    </w:p>
    <w:p w14:paraId="4D6BC796" w14:textId="09A9466C" w:rsidR="0022293C" w:rsidRDefault="0022293C" w:rsidP="0022293C">
      <w:pPr>
        <w:pStyle w:val="Caption"/>
      </w:pPr>
      <w:bookmarkStart w:id="52" w:name="_Ref134298900"/>
      <w:r>
        <w:lastRenderedPageBreak/>
        <w:t xml:space="preserve">Table </w:t>
      </w:r>
      <w:r>
        <w:fldChar w:fldCharType="begin"/>
      </w:r>
      <w:r>
        <w:instrText>SEQ Table \* ARABIC</w:instrText>
      </w:r>
      <w:r>
        <w:fldChar w:fldCharType="separate"/>
      </w:r>
      <w:r w:rsidR="00D64E4C">
        <w:rPr>
          <w:noProof/>
        </w:rPr>
        <w:t>3</w:t>
      </w:r>
      <w:r>
        <w:fldChar w:fldCharType="end"/>
      </w:r>
      <w:bookmarkEnd w:id="52"/>
      <w:r>
        <w:t>: Number of Active Registered Providers by Category from which they Purchased DSW Supports, 31 December 2022</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3: NUMBER OF ACTIVE REGISTERED PROVIDERS BY CATEGORY FROM WHICH THEY PURCHASED DSW SUPPORTS, 31 DECEMBER 2022"/>
        <w:tblDescription w:val="Between July to December 2021 and July to December 2022, all categories increased except one. The categories that experienced the largest supply growth were High Intensity Daily Personal Activities (21%), Assistance with Daily Life Tasks in a Group or Shared Living Arrangement (21%) and Participation in Community, Social and Civic Activities (17%). This demonstrates strong growth in most of the relevant registration groups with DSW-related supports.   "/>
      </w:tblPr>
      <w:tblGrid>
        <w:gridCol w:w="1134"/>
        <w:gridCol w:w="3119"/>
        <w:gridCol w:w="1701"/>
        <w:gridCol w:w="1701"/>
        <w:gridCol w:w="1304"/>
      </w:tblGrid>
      <w:tr w:rsidR="00872F4B" w:rsidRPr="00506A93" w14:paraId="47749778" w14:textId="77777777" w:rsidTr="003A7009">
        <w:trPr>
          <w:trHeight w:val="20"/>
          <w:tblHeader/>
        </w:trPr>
        <w:tc>
          <w:tcPr>
            <w:tcW w:w="1134" w:type="dxa"/>
            <w:tcBorders>
              <w:top w:val="single" w:sz="6" w:space="0" w:color="4F1E58"/>
              <w:left w:val="single" w:sz="6" w:space="0" w:color="4F1E58"/>
              <w:bottom w:val="single" w:sz="6" w:space="0" w:color="4F1E58"/>
              <w:right w:val="single" w:sz="6" w:space="0" w:color="4F1E58"/>
            </w:tcBorders>
            <w:shd w:val="clear" w:color="auto" w:fill="6B2976" w:themeFill="accent1"/>
            <w:hideMark/>
          </w:tcPr>
          <w:p w14:paraId="08547545" w14:textId="08336B81" w:rsidR="00872F4B" w:rsidRPr="00506A93" w:rsidRDefault="00872F4B" w:rsidP="00D608D6">
            <w:pPr>
              <w:spacing w:before="60" w:after="60" w:line="240" w:lineRule="auto"/>
              <w:ind w:left="113" w:right="113"/>
              <w:jc w:val="center"/>
              <w:textAlignment w:val="baseline"/>
              <w:rPr>
                <w:rFonts w:ascii="Segoe UI" w:eastAsia="Times New Roman" w:hAnsi="Segoe UI" w:cs="Segoe UI"/>
                <w:b/>
                <w:bCs/>
                <w:color w:val="FEFFFF"/>
                <w:sz w:val="18"/>
                <w:szCs w:val="18"/>
                <w:lang w:eastAsia="en-AU"/>
              </w:rPr>
            </w:pPr>
            <w:r w:rsidRPr="00506A93">
              <w:rPr>
                <w:rFonts w:eastAsia="Times New Roman" w:cs="Arial"/>
                <w:b/>
                <w:bCs/>
                <w:color w:val="FFFFFF"/>
                <w:sz w:val="18"/>
                <w:szCs w:val="18"/>
                <w:lang w:eastAsia="en-AU"/>
              </w:rPr>
              <w:t>Category</w:t>
            </w:r>
          </w:p>
        </w:tc>
        <w:tc>
          <w:tcPr>
            <w:tcW w:w="3119" w:type="dxa"/>
            <w:tcBorders>
              <w:top w:val="single" w:sz="6" w:space="0" w:color="4F1E58"/>
              <w:left w:val="single" w:sz="6" w:space="0" w:color="4F1E58"/>
              <w:bottom w:val="single" w:sz="6" w:space="0" w:color="4F1E58"/>
              <w:right w:val="single" w:sz="6" w:space="0" w:color="4F1E58"/>
            </w:tcBorders>
            <w:shd w:val="clear" w:color="auto" w:fill="6B2976" w:themeFill="accent1"/>
            <w:hideMark/>
          </w:tcPr>
          <w:p w14:paraId="2B239D61" w14:textId="37AFE64A" w:rsidR="00872F4B" w:rsidRPr="00506A93" w:rsidRDefault="00872F4B" w:rsidP="00D608D6">
            <w:pPr>
              <w:spacing w:before="60" w:after="60" w:line="240" w:lineRule="auto"/>
              <w:ind w:left="113" w:right="113"/>
              <w:textAlignment w:val="baseline"/>
              <w:rPr>
                <w:rFonts w:ascii="Segoe UI" w:eastAsia="Times New Roman" w:hAnsi="Segoe UI" w:cs="Segoe UI"/>
                <w:b/>
                <w:bCs/>
                <w:color w:val="FEFFFF"/>
                <w:sz w:val="18"/>
                <w:szCs w:val="18"/>
                <w:lang w:eastAsia="en-AU"/>
              </w:rPr>
            </w:pPr>
            <w:r w:rsidRPr="00506A93">
              <w:rPr>
                <w:rFonts w:eastAsia="Times New Roman" w:cs="Arial"/>
                <w:b/>
                <w:bCs/>
                <w:color w:val="FFFFFF"/>
                <w:sz w:val="18"/>
                <w:szCs w:val="18"/>
                <w:lang w:eastAsia="en-AU"/>
              </w:rPr>
              <w:t>Support</w:t>
            </w:r>
          </w:p>
        </w:tc>
        <w:tc>
          <w:tcPr>
            <w:tcW w:w="1701" w:type="dxa"/>
            <w:tcBorders>
              <w:top w:val="single" w:sz="6" w:space="0" w:color="4F1E58"/>
              <w:left w:val="single" w:sz="6" w:space="0" w:color="4F1E58"/>
              <w:bottom w:val="single" w:sz="6" w:space="0" w:color="4F1E58"/>
              <w:right w:val="single" w:sz="6" w:space="0" w:color="4F1E58"/>
            </w:tcBorders>
            <w:shd w:val="clear" w:color="auto" w:fill="6B2976" w:themeFill="accent1"/>
            <w:hideMark/>
          </w:tcPr>
          <w:p w14:paraId="3ECA81E2" w14:textId="77777777" w:rsidR="003A7009" w:rsidRDefault="00872F4B" w:rsidP="00D608D6">
            <w:pPr>
              <w:spacing w:before="60" w:after="0" w:line="240" w:lineRule="auto"/>
              <w:ind w:left="113" w:right="113"/>
              <w:jc w:val="center"/>
              <w:textAlignment w:val="baseline"/>
              <w:rPr>
                <w:rFonts w:eastAsia="Times New Roman" w:cs="Arial"/>
                <w:b/>
                <w:bCs/>
                <w:color w:val="FFFFFF"/>
                <w:sz w:val="18"/>
                <w:szCs w:val="18"/>
                <w:lang w:eastAsia="en-AU"/>
              </w:rPr>
            </w:pPr>
            <w:r w:rsidRPr="00506A93">
              <w:rPr>
                <w:rFonts w:eastAsia="Times New Roman" w:cs="Arial"/>
                <w:b/>
                <w:bCs/>
                <w:color w:val="FFFFFF"/>
                <w:sz w:val="18"/>
                <w:szCs w:val="18"/>
                <w:lang w:eastAsia="en-AU"/>
              </w:rPr>
              <w:t>Number of active providers</w:t>
            </w:r>
          </w:p>
          <w:p w14:paraId="3FC9D36C" w14:textId="2AEF5F2D" w:rsidR="00872F4B" w:rsidRPr="00506A93" w:rsidRDefault="00872F4B" w:rsidP="00D608D6">
            <w:pPr>
              <w:spacing w:before="0" w:after="60" w:line="240" w:lineRule="auto"/>
              <w:ind w:left="113" w:right="113"/>
              <w:jc w:val="center"/>
              <w:textAlignment w:val="baseline"/>
              <w:rPr>
                <w:rFonts w:ascii="Segoe UI" w:eastAsia="Times New Roman" w:hAnsi="Segoe UI" w:cs="Segoe UI"/>
                <w:b/>
                <w:bCs/>
                <w:color w:val="FEFFFF"/>
                <w:sz w:val="18"/>
                <w:szCs w:val="18"/>
                <w:lang w:eastAsia="en-AU"/>
              </w:rPr>
            </w:pPr>
            <w:r w:rsidRPr="00EE5F04">
              <w:rPr>
                <w:rFonts w:eastAsia="Times New Roman" w:cs="Arial"/>
                <w:b/>
                <w:color w:val="FEFFFF"/>
                <w:sz w:val="18"/>
                <w:szCs w:val="18"/>
                <w:lang w:eastAsia="en-AU"/>
              </w:rPr>
              <w:t xml:space="preserve">July </w:t>
            </w:r>
            <w:r w:rsidR="00316400">
              <w:rPr>
                <w:rFonts w:eastAsia="Times New Roman" w:cs="Arial"/>
                <w:b/>
                <w:color w:val="FEFFFF"/>
                <w:sz w:val="18"/>
                <w:szCs w:val="18"/>
                <w:lang w:eastAsia="en-AU"/>
              </w:rPr>
              <w:t>–</w:t>
            </w:r>
            <w:r w:rsidRPr="00EE5F04">
              <w:rPr>
                <w:rFonts w:eastAsia="Times New Roman" w:cs="Arial"/>
                <w:b/>
                <w:color w:val="FEFFFF"/>
                <w:sz w:val="18"/>
                <w:szCs w:val="18"/>
                <w:lang w:eastAsia="en-AU"/>
              </w:rPr>
              <w:t xml:space="preserve"> </w:t>
            </w:r>
            <w:r w:rsidR="003A7009" w:rsidRPr="00EE5F04">
              <w:rPr>
                <w:rFonts w:eastAsia="Times New Roman" w:cs="Arial"/>
                <w:b/>
                <w:bCs/>
                <w:color w:val="FEFFFF"/>
                <w:sz w:val="18"/>
                <w:szCs w:val="18"/>
                <w:lang w:eastAsia="en-AU"/>
              </w:rPr>
              <w:t>December</w:t>
            </w:r>
            <w:r w:rsidRPr="00EE5F04">
              <w:rPr>
                <w:rFonts w:eastAsia="Times New Roman" w:cs="Arial"/>
                <w:b/>
                <w:color w:val="FEFFFF"/>
                <w:sz w:val="18"/>
                <w:szCs w:val="18"/>
                <w:lang w:eastAsia="en-AU"/>
              </w:rPr>
              <w:t xml:space="preserve"> </w:t>
            </w:r>
            <w:r w:rsidRPr="00506A93">
              <w:rPr>
                <w:rFonts w:eastAsia="Times New Roman" w:cs="Arial"/>
                <w:b/>
                <w:bCs/>
                <w:color w:val="FFFFFF"/>
                <w:sz w:val="18"/>
                <w:szCs w:val="18"/>
                <w:lang w:eastAsia="en-AU"/>
              </w:rPr>
              <w:t>2021</w:t>
            </w:r>
          </w:p>
        </w:tc>
        <w:tc>
          <w:tcPr>
            <w:tcW w:w="1701" w:type="dxa"/>
            <w:tcBorders>
              <w:top w:val="single" w:sz="6" w:space="0" w:color="4F1E58"/>
              <w:left w:val="single" w:sz="6" w:space="0" w:color="4F1E58"/>
              <w:bottom w:val="single" w:sz="6" w:space="0" w:color="4F1E58"/>
              <w:right w:val="single" w:sz="6" w:space="0" w:color="4F1E58"/>
            </w:tcBorders>
            <w:shd w:val="clear" w:color="auto" w:fill="6B2976" w:themeFill="accent1"/>
          </w:tcPr>
          <w:p w14:paraId="328A5FDA" w14:textId="6BE15588" w:rsidR="009A4DE6" w:rsidRPr="00506A93" w:rsidRDefault="009A4DE6" w:rsidP="00D608D6">
            <w:pPr>
              <w:spacing w:before="60" w:after="0" w:line="240" w:lineRule="auto"/>
              <w:ind w:left="113" w:right="113"/>
              <w:jc w:val="center"/>
              <w:textAlignment w:val="baseline"/>
              <w:rPr>
                <w:rFonts w:ascii="Segoe UI" w:eastAsia="Times New Roman" w:hAnsi="Segoe UI" w:cs="Segoe UI"/>
                <w:b/>
                <w:bCs/>
                <w:color w:val="FEFFFF"/>
                <w:sz w:val="18"/>
                <w:szCs w:val="18"/>
                <w:lang w:eastAsia="en-AU"/>
              </w:rPr>
            </w:pPr>
            <w:r w:rsidRPr="00506A93">
              <w:rPr>
                <w:rFonts w:eastAsia="Times New Roman" w:cs="Arial"/>
                <w:b/>
                <w:bCs/>
                <w:color w:val="FFFFFF"/>
                <w:sz w:val="18"/>
                <w:szCs w:val="18"/>
                <w:lang w:eastAsia="en-AU"/>
              </w:rPr>
              <w:t>Number of active providers</w:t>
            </w:r>
          </w:p>
          <w:p w14:paraId="751D0166" w14:textId="29249A21" w:rsidR="009A4DE6" w:rsidRPr="00506A93" w:rsidRDefault="009A4DE6" w:rsidP="00D608D6">
            <w:pPr>
              <w:spacing w:before="0" w:after="60" w:line="240" w:lineRule="auto"/>
              <w:ind w:left="113" w:right="113"/>
              <w:jc w:val="center"/>
              <w:textAlignment w:val="baseline"/>
              <w:rPr>
                <w:rFonts w:eastAsia="Times New Roman" w:cs="Arial"/>
                <w:b/>
                <w:bCs/>
                <w:color w:val="FFFFFF"/>
                <w:sz w:val="18"/>
                <w:szCs w:val="18"/>
                <w:lang w:eastAsia="en-AU"/>
              </w:rPr>
            </w:pPr>
            <w:r w:rsidRPr="00EE5F04">
              <w:rPr>
                <w:rFonts w:eastAsia="Times New Roman" w:cs="Arial"/>
                <w:b/>
                <w:color w:val="FEFFFF"/>
                <w:sz w:val="18"/>
                <w:szCs w:val="18"/>
                <w:lang w:eastAsia="en-AU"/>
              </w:rPr>
              <w:t xml:space="preserve">July </w:t>
            </w:r>
            <w:r w:rsidR="00316400">
              <w:rPr>
                <w:rFonts w:eastAsia="Times New Roman" w:cs="Arial"/>
                <w:b/>
                <w:color w:val="FEFFFF"/>
                <w:sz w:val="18"/>
                <w:szCs w:val="18"/>
                <w:lang w:eastAsia="en-AU"/>
              </w:rPr>
              <w:t>–</w:t>
            </w:r>
            <w:r w:rsidRPr="00EE5F04">
              <w:rPr>
                <w:rFonts w:eastAsia="Times New Roman" w:cs="Arial"/>
                <w:b/>
                <w:color w:val="FEFFFF"/>
                <w:sz w:val="18"/>
                <w:szCs w:val="18"/>
                <w:lang w:eastAsia="en-AU"/>
              </w:rPr>
              <w:t xml:space="preserve"> </w:t>
            </w:r>
            <w:r w:rsidR="003A7009" w:rsidRPr="00EE5F04">
              <w:rPr>
                <w:rFonts w:eastAsia="Times New Roman" w:cs="Arial"/>
                <w:b/>
                <w:bCs/>
                <w:color w:val="FEFFFF"/>
                <w:sz w:val="18"/>
                <w:szCs w:val="18"/>
                <w:lang w:eastAsia="en-AU"/>
              </w:rPr>
              <w:t>December</w:t>
            </w:r>
            <w:r w:rsidRPr="00EE5F04">
              <w:rPr>
                <w:rFonts w:eastAsia="Times New Roman" w:cs="Arial"/>
                <w:b/>
                <w:color w:val="FEFFFF"/>
                <w:sz w:val="18"/>
                <w:szCs w:val="18"/>
                <w:lang w:eastAsia="en-AU"/>
              </w:rPr>
              <w:t xml:space="preserve"> </w:t>
            </w:r>
            <w:r w:rsidRPr="00506A93">
              <w:rPr>
                <w:rFonts w:eastAsia="Times New Roman" w:cs="Arial"/>
                <w:b/>
                <w:bCs/>
                <w:color w:val="FFFFFF"/>
                <w:sz w:val="18"/>
                <w:szCs w:val="18"/>
                <w:lang w:eastAsia="en-AU"/>
              </w:rPr>
              <w:t>2022</w:t>
            </w:r>
          </w:p>
        </w:tc>
        <w:tc>
          <w:tcPr>
            <w:tcW w:w="1304" w:type="dxa"/>
            <w:tcBorders>
              <w:top w:val="single" w:sz="6" w:space="0" w:color="6B2976" w:themeColor="accent1"/>
              <w:left w:val="single" w:sz="6" w:space="0" w:color="4F1E58"/>
              <w:bottom w:val="single" w:sz="6" w:space="0" w:color="6B2976" w:themeColor="accent1"/>
              <w:right w:val="single" w:sz="6" w:space="0" w:color="6B2976" w:themeColor="accent1"/>
            </w:tcBorders>
            <w:shd w:val="clear" w:color="auto" w:fill="6B2976" w:themeFill="accent1"/>
            <w:hideMark/>
          </w:tcPr>
          <w:p w14:paraId="3CC0B1DF" w14:textId="65E9C5E5" w:rsidR="00872F4B" w:rsidRPr="00506A93" w:rsidRDefault="00872F4B" w:rsidP="00D608D6">
            <w:pPr>
              <w:spacing w:before="60" w:after="60" w:line="240" w:lineRule="auto"/>
              <w:ind w:left="113" w:right="113"/>
              <w:jc w:val="center"/>
              <w:textAlignment w:val="baseline"/>
              <w:rPr>
                <w:rFonts w:ascii="Segoe UI" w:eastAsia="Times New Roman" w:hAnsi="Segoe UI" w:cs="Segoe UI"/>
                <w:b/>
                <w:bCs/>
                <w:color w:val="FEFFFF"/>
                <w:sz w:val="18"/>
                <w:szCs w:val="18"/>
                <w:lang w:eastAsia="en-AU"/>
              </w:rPr>
            </w:pPr>
            <w:r w:rsidRPr="00506A93">
              <w:rPr>
                <w:rFonts w:eastAsia="Times New Roman" w:cs="Arial"/>
                <w:b/>
                <w:bCs/>
                <w:color w:val="FFFFFF"/>
                <w:sz w:val="18"/>
                <w:szCs w:val="18"/>
                <w:lang w:eastAsia="en-AU"/>
              </w:rPr>
              <w:t>Percentage Change</w:t>
            </w:r>
          </w:p>
        </w:tc>
      </w:tr>
      <w:tr w:rsidR="00872F4B" w:rsidRPr="00506A93" w14:paraId="6A0CB21E" w14:textId="77777777" w:rsidTr="003A7009">
        <w:trPr>
          <w:trHeight w:val="20"/>
        </w:trPr>
        <w:tc>
          <w:tcPr>
            <w:tcW w:w="1134" w:type="dxa"/>
            <w:tcBorders>
              <w:top w:val="single" w:sz="6" w:space="0" w:color="4F1E58"/>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5EE3C02B" w14:textId="5459DD86"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color w:val="000000"/>
                <w:sz w:val="18"/>
                <w:szCs w:val="18"/>
                <w:lang w:eastAsia="en-AU"/>
              </w:rPr>
              <w:t>0104</w:t>
            </w:r>
          </w:p>
        </w:tc>
        <w:tc>
          <w:tcPr>
            <w:tcW w:w="3119" w:type="dxa"/>
            <w:tcBorders>
              <w:top w:val="single" w:sz="6" w:space="0" w:color="4F1E58"/>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625008D6" w14:textId="42F2ECE8"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High Intensity Daily Personal Activities</w:t>
            </w:r>
          </w:p>
        </w:tc>
        <w:tc>
          <w:tcPr>
            <w:tcW w:w="1701" w:type="dxa"/>
            <w:tcBorders>
              <w:top w:val="single" w:sz="6" w:space="0" w:color="4F1E58"/>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668D3059"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3,111 </w:t>
            </w:r>
          </w:p>
        </w:tc>
        <w:tc>
          <w:tcPr>
            <w:tcW w:w="1701" w:type="dxa"/>
            <w:tcBorders>
              <w:top w:val="single" w:sz="6" w:space="0" w:color="4F1E58"/>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tcPr>
          <w:p w14:paraId="1471C652" w14:textId="729064C9" w:rsidR="009A4DE6" w:rsidRPr="00506A93" w:rsidRDefault="009A4DE6" w:rsidP="00A33652">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3,759 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5184ADCF" w14:textId="06B903AF" w:rsidR="00872F4B" w:rsidRPr="00506A93" w:rsidRDefault="00872F4B" w:rsidP="00FF11C1">
            <w:pPr>
              <w:spacing w:before="60" w:after="60" w:line="240" w:lineRule="auto"/>
              <w:ind w:left="113"/>
              <w:jc w:val="center"/>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+21%</w:t>
            </w:r>
          </w:p>
        </w:tc>
      </w:tr>
      <w:tr w:rsidR="00872F4B" w:rsidRPr="00506A93" w14:paraId="64AD1EC8"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041A1386" w14:textId="169436C6"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color w:val="000000"/>
                <w:sz w:val="18"/>
                <w:szCs w:val="18"/>
                <w:lang w:eastAsia="en-AU"/>
              </w:rPr>
              <w:t>0115</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776BC15C" w14:textId="5E0F7C3C"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Assistance with Daily Life Tasks in a Group or Shared Living Arrangement</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D601EC9"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2,721 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78D6F26A" w14:textId="28776C08" w:rsidR="009A4DE6" w:rsidRPr="00506A93" w:rsidRDefault="009A4DE6" w:rsidP="00A33652">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3,302 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2B89E89A" w14:textId="02CF1477" w:rsidR="00872F4B" w:rsidRPr="00506A93" w:rsidRDefault="00872F4B" w:rsidP="00FF11C1">
            <w:pPr>
              <w:spacing w:before="60" w:after="60" w:line="240" w:lineRule="auto"/>
              <w:ind w:left="113"/>
              <w:jc w:val="center"/>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+21%</w:t>
            </w:r>
          </w:p>
        </w:tc>
      </w:tr>
      <w:tr w:rsidR="00872F4B" w:rsidRPr="00506A93" w14:paraId="3FFB2975"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6082B965" w14:textId="4F05FC48"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sz w:val="18"/>
                <w:szCs w:val="18"/>
                <w:lang w:eastAsia="en-AU"/>
              </w:rPr>
              <w:t>0125</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120F3043" w14:textId="579DC71A"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Participation in Community, Social and Civic Activities</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051ED085"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5,080 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tcPr>
          <w:p w14:paraId="732559E9" w14:textId="08783B69" w:rsidR="009A4DE6" w:rsidRPr="00506A93" w:rsidRDefault="009A4DE6" w:rsidP="003A7009">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5,965 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0A321FD0" w14:textId="3C8C7305"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+17% </w:t>
            </w:r>
          </w:p>
        </w:tc>
      </w:tr>
      <w:tr w:rsidR="00872F4B" w:rsidRPr="00506A93" w14:paraId="3739CA84"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21723E81" w14:textId="33AC3265"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sz w:val="18"/>
                <w:szCs w:val="18"/>
                <w:lang w:eastAsia="en-AU"/>
              </w:rPr>
              <w:t>0107</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6D49BE7"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Daily Personal Activities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2D806865"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6,056 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0032F898" w14:textId="078BF015" w:rsidR="009A4DE6" w:rsidRPr="00506A93" w:rsidRDefault="009A4DE6" w:rsidP="003A7009">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6,760 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231B000" w14:textId="2B0F2CB5"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+12% </w:t>
            </w:r>
          </w:p>
        </w:tc>
      </w:tr>
      <w:tr w:rsidR="00872F4B" w:rsidRPr="00506A93" w14:paraId="08E42FA3"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3F1AED9D" w14:textId="7016172B"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sz w:val="18"/>
                <w:szCs w:val="18"/>
                <w:lang w:eastAsia="en-AU"/>
              </w:rPr>
              <w:t>0106</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071A7AB4"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Assistance in Coordinating or Managing Life Stages, Transitions and Supports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00BF2A8D"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3,005 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tcPr>
          <w:p w14:paraId="150885B9" w14:textId="1E860D4E" w:rsidR="009A4DE6" w:rsidRPr="00506A93" w:rsidRDefault="009A4DE6" w:rsidP="003A7009">
            <w:pPr>
              <w:spacing w:before="60" w:after="60" w:line="240" w:lineRule="auto"/>
              <w:ind w:left="-567" w:right="567"/>
              <w:jc w:val="right"/>
              <w:textAlignment w:val="baseline"/>
              <w:rPr>
                <w:rFonts w:eastAsia="Times New Roman" w:cs="Arial"/>
                <w:sz w:val="18"/>
                <w:szCs w:val="18"/>
                <w:lang w:eastAsia="en-AU"/>
              </w:rPr>
            </w:pPr>
            <w:r w:rsidRPr="00506A93">
              <w:rPr>
                <w:rFonts w:eastAsia="Times New Roman" w:cs="Arial"/>
                <w:sz w:val="18"/>
                <w:szCs w:val="18"/>
                <w:lang w:eastAsia="en-AU"/>
              </w:rPr>
              <w:t>3,341 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40D00F35" w14:textId="373F5E11"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+11% </w:t>
            </w:r>
          </w:p>
        </w:tc>
      </w:tr>
      <w:tr w:rsidR="00872F4B" w:rsidRPr="00506A93" w14:paraId="5981B777"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50434D1" w14:textId="1A83BB98"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sz w:val="18"/>
                <w:szCs w:val="18"/>
                <w:lang w:eastAsia="en-AU"/>
              </w:rPr>
              <w:t>0102</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7D6AFD08"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Assistance to Access and Maintain Employment or Higher Education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40003919"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333 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725DA5F5" w14:textId="17B91B3E" w:rsidR="009A4DE6" w:rsidRPr="00506A93" w:rsidRDefault="009A4DE6" w:rsidP="003A7009">
            <w:pPr>
              <w:spacing w:before="60" w:after="60" w:line="240" w:lineRule="auto"/>
              <w:ind w:left="-567" w:right="567"/>
              <w:jc w:val="right"/>
              <w:textAlignment w:val="baseline"/>
              <w:rPr>
                <w:rFonts w:eastAsia="Times New Roman" w:cs="Arial"/>
                <w:sz w:val="18"/>
                <w:szCs w:val="18"/>
                <w:lang w:eastAsia="en-AU"/>
              </w:rPr>
            </w:pPr>
            <w:r w:rsidRPr="00506A93">
              <w:rPr>
                <w:rFonts w:eastAsia="Times New Roman" w:cs="Arial"/>
                <w:sz w:val="18"/>
                <w:szCs w:val="18"/>
                <w:lang w:eastAsia="en-AU"/>
              </w:rPr>
              <w:t>364 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639B57BC" w14:textId="6EFCC6A5"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+9% </w:t>
            </w:r>
          </w:p>
        </w:tc>
      </w:tr>
      <w:tr w:rsidR="00872F4B" w:rsidRPr="00506A93" w14:paraId="1DBEE2B2"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606826D9" w14:textId="4AC06A25"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sz w:val="18"/>
                <w:szCs w:val="18"/>
                <w:lang w:eastAsia="en-AU"/>
              </w:rPr>
              <w:t>0136</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16A72BC6"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Group and Centre Based Activities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1018A53C"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2,510 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tcPr>
          <w:p w14:paraId="1F276381" w14:textId="3356CBF4" w:rsidR="009A4DE6" w:rsidRPr="00506A93" w:rsidRDefault="009A4DE6" w:rsidP="003A7009">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2,642 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1C87B887" w14:textId="1304185D"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sz w:val="18"/>
                <w:szCs w:val="18"/>
                <w:lang w:eastAsia="en-AU"/>
              </w:rPr>
              <w:t>+5% </w:t>
            </w:r>
          </w:p>
        </w:tc>
      </w:tr>
      <w:tr w:rsidR="00872F4B" w:rsidRPr="00506A93" w14:paraId="7A53B575"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F0B7D5D" w14:textId="52B4E28F"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color w:val="000000"/>
                <w:sz w:val="18"/>
                <w:szCs w:val="18"/>
                <w:lang w:eastAsia="en-AU"/>
              </w:rPr>
              <w:t>0117</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36D52331"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Development of Daily Living and Life Skills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72503705"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2,938 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102A4FFD" w14:textId="23DB0C7C" w:rsidR="009A4DE6" w:rsidRPr="00506A93" w:rsidRDefault="009A4DE6" w:rsidP="003A7009">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3,053 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vAlign w:val="center"/>
            <w:hideMark/>
          </w:tcPr>
          <w:p w14:paraId="0A5BAEF5" w14:textId="7841D236"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+4% </w:t>
            </w:r>
          </w:p>
        </w:tc>
      </w:tr>
      <w:tr w:rsidR="00872F4B" w:rsidRPr="00506A93" w14:paraId="2388CE73" w14:textId="77777777" w:rsidTr="003A7009">
        <w:trPr>
          <w:trHeight w:val="20"/>
        </w:trPr>
        <w:tc>
          <w:tcPr>
            <w:tcW w:w="113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78653C24" w14:textId="00646EFB" w:rsidR="00872F4B" w:rsidRPr="006D274B" w:rsidRDefault="00872F4B" w:rsidP="00A33652">
            <w:pPr>
              <w:spacing w:before="60" w:after="60" w:line="240" w:lineRule="auto"/>
              <w:jc w:val="center"/>
              <w:textAlignment w:val="baseline"/>
              <w:rPr>
                <w:rFonts w:ascii="Segoe UI" w:eastAsia="Times New Roman" w:hAnsi="Segoe UI" w:cs="Segoe UI"/>
                <w:sz w:val="18"/>
                <w:szCs w:val="18"/>
                <w:lang w:eastAsia="en-AU"/>
              </w:rPr>
            </w:pPr>
            <w:r w:rsidRPr="006D274B">
              <w:rPr>
                <w:rFonts w:eastAsia="Times New Roman" w:cs="Arial"/>
                <w:color w:val="000000"/>
                <w:sz w:val="18"/>
                <w:szCs w:val="18"/>
                <w:lang w:eastAsia="en-AU"/>
              </w:rPr>
              <w:t>0133</w:t>
            </w:r>
          </w:p>
        </w:tc>
        <w:tc>
          <w:tcPr>
            <w:tcW w:w="3119"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5EC12DFB" w14:textId="77777777" w:rsidR="00872F4B" w:rsidRPr="00506A93" w:rsidRDefault="00872F4B" w:rsidP="00A33652">
            <w:pPr>
              <w:spacing w:before="60" w:after="60" w:line="240" w:lineRule="auto"/>
              <w:ind w:left="113" w:right="113"/>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Specialised Supported Employment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15871317" w14:textId="77777777" w:rsidR="00872F4B" w:rsidRPr="00506A93" w:rsidRDefault="00872F4B" w:rsidP="003A7009">
            <w:pPr>
              <w:spacing w:before="60" w:after="60" w:line="240" w:lineRule="auto"/>
              <w:ind w:left="-567" w:right="56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611 </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tcPr>
          <w:p w14:paraId="0D4DBF87" w14:textId="257AB768" w:rsidR="009A4DE6" w:rsidRPr="00506A93" w:rsidRDefault="009A4DE6" w:rsidP="003A7009">
            <w:pPr>
              <w:spacing w:before="60" w:after="60" w:line="240" w:lineRule="auto"/>
              <w:ind w:left="-567" w:right="567"/>
              <w:jc w:val="right"/>
              <w:textAlignment w:val="baseline"/>
              <w:rPr>
                <w:rFonts w:eastAsia="Times New Roman" w:cs="Arial"/>
                <w:color w:val="000000"/>
                <w:sz w:val="18"/>
                <w:szCs w:val="18"/>
                <w:lang w:eastAsia="en-AU"/>
              </w:rPr>
            </w:pPr>
            <w:r w:rsidRPr="00506A93">
              <w:rPr>
                <w:rFonts w:eastAsia="Times New Roman" w:cs="Arial"/>
                <w:color w:val="000000"/>
                <w:sz w:val="18"/>
                <w:szCs w:val="18"/>
                <w:lang w:eastAsia="en-AU"/>
              </w:rPr>
              <w:t>578 </w:t>
            </w:r>
          </w:p>
        </w:tc>
        <w:tc>
          <w:tcPr>
            <w:tcW w:w="130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accent1" w:themeFillTint="33"/>
            <w:vAlign w:val="center"/>
            <w:hideMark/>
          </w:tcPr>
          <w:p w14:paraId="79F412F9" w14:textId="18D70E56" w:rsidR="00872F4B" w:rsidRPr="00506A93" w:rsidRDefault="00872F4B" w:rsidP="003A7009">
            <w:pPr>
              <w:spacing w:before="60" w:after="60" w:line="240" w:lineRule="auto"/>
              <w:ind w:right="397"/>
              <w:jc w:val="right"/>
              <w:textAlignment w:val="baseline"/>
              <w:rPr>
                <w:rFonts w:ascii="Segoe UI" w:eastAsia="Times New Roman" w:hAnsi="Segoe UI" w:cs="Segoe UI"/>
                <w:sz w:val="18"/>
                <w:szCs w:val="18"/>
                <w:lang w:eastAsia="en-AU"/>
              </w:rPr>
            </w:pPr>
            <w:r w:rsidRPr="00506A93">
              <w:rPr>
                <w:rFonts w:eastAsia="Times New Roman" w:cs="Arial"/>
                <w:color w:val="000000"/>
                <w:sz w:val="18"/>
                <w:szCs w:val="18"/>
                <w:lang w:eastAsia="en-AU"/>
              </w:rPr>
              <w:t>-5% </w:t>
            </w:r>
          </w:p>
        </w:tc>
      </w:tr>
    </w:tbl>
    <w:p w14:paraId="4F8B646A" w14:textId="6817907D" w:rsidR="00E332C8" w:rsidRPr="006D274B" w:rsidRDefault="00872F4B" w:rsidP="00635F9C">
      <w:pPr>
        <w:spacing w:before="60" w:after="60" w:line="240" w:lineRule="atLeast"/>
        <w:rPr>
          <w:rFonts w:ascii="Times New Roman" w:eastAsia="Times New Roman" w:hAnsi="Times New Roman" w:cs="Times New Roman"/>
          <w:b/>
          <w:sz w:val="16"/>
          <w:szCs w:val="16"/>
          <w:lang w:eastAsia="en-AU"/>
        </w:rPr>
      </w:pPr>
      <w:r w:rsidRPr="006D274B">
        <w:rPr>
          <w:rFonts w:eastAsia="Times New Roman" w:cs="Arial"/>
          <w:b/>
          <w:i/>
          <w:sz w:val="16"/>
          <w:szCs w:val="16"/>
          <w:lang w:eastAsia="en-AU"/>
        </w:rPr>
        <w:t>Source: NDIS internal administrative data</w:t>
      </w:r>
      <w:r w:rsidRPr="006D274B">
        <w:rPr>
          <w:rFonts w:eastAsia="Times New Roman" w:cs="Arial"/>
          <w:b/>
          <w:sz w:val="16"/>
          <w:szCs w:val="16"/>
          <w:lang w:eastAsia="en-AU"/>
        </w:rPr>
        <w:t> </w:t>
      </w:r>
      <w:bookmarkEnd w:id="50"/>
    </w:p>
    <w:p w14:paraId="02EB4F42" w14:textId="2D054B0D" w:rsidR="001C4C53" w:rsidRDefault="00F85B28" w:rsidP="00606FE7">
      <w:pPr>
        <w:pStyle w:val="Footnote"/>
        <w:ind w:left="0" w:firstLine="0"/>
      </w:pPr>
      <w:r>
        <w:t xml:space="preserve">Note: </w:t>
      </w:r>
      <w:r w:rsidRPr="00F85B28">
        <w:t>The data is not collected from unregistered providers</w:t>
      </w:r>
      <w:r w:rsidR="001A0850">
        <w:t>. P</w:t>
      </w:r>
      <w:r w:rsidRPr="00F85B28">
        <w:t>roviders are duplicated where more than one service is provided.</w:t>
      </w:r>
    </w:p>
    <w:p w14:paraId="1573574E" w14:textId="118EAB6B" w:rsidR="00C65D45" w:rsidRPr="00915B6B" w:rsidRDefault="00C65D45" w:rsidP="00D9646F">
      <w:pPr>
        <w:pStyle w:val="Heading3"/>
      </w:pPr>
      <w:bookmarkStart w:id="53" w:name="_Hlk135390768"/>
      <w:r w:rsidRPr="00915B6B">
        <w:t>4.4</w:t>
      </w:r>
      <w:r w:rsidRPr="00915B6B">
        <w:tab/>
        <w:t>Business Dynamism</w:t>
      </w:r>
    </w:p>
    <w:p w14:paraId="4036D0EF" w14:textId="3F7F65DB" w:rsidR="000E68FA" w:rsidRDefault="00A11DAE" w:rsidP="00ED0877">
      <w:pPr>
        <w:rPr>
          <w:rFonts w:eastAsia="Arial" w:cs="Arial"/>
        </w:rPr>
      </w:pPr>
      <w:r>
        <w:rPr>
          <w:rFonts w:eastAsia="Arial" w:cs="Arial"/>
        </w:rPr>
        <w:t>T</w:t>
      </w:r>
      <w:r w:rsidR="000E68FA" w:rsidRPr="000E68FA">
        <w:rPr>
          <w:rFonts w:eastAsia="Arial" w:cs="Arial"/>
        </w:rPr>
        <w:t xml:space="preserve">o supplement </w:t>
      </w:r>
      <w:r w:rsidR="000E68FA">
        <w:rPr>
          <w:rFonts w:eastAsia="Arial" w:cs="Arial"/>
        </w:rPr>
        <w:t xml:space="preserve">the </w:t>
      </w:r>
      <w:r w:rsidR="00EB1685">
        <w:rPr>
          <w:rFonts w:eastAsia="Arial" w:cs="Arial"/>
        </w:rPr>
        <w:t>S</w:t>
      </w:r>
      <w:r w:rsidR="000E68FA">
        <w:rPr>
          <w:rFonts w:eastAsia="Arial" w:cs="Arial"/>
        </w:rPr>
        <w:t>cheme statistics</w:t>
      </w:r>
      <w:r w:rsidR="000E68FA" w:rsidRPr="000E68FA">
        <w:rPr>
          <w:rFonts w:eastAsia="Arial" w:cs="Arial"/>
        </w:rPr>
        <w:t xml:space="preserve">, </w:t>
      </w:r>
      <w:r w:rsidR="007C18ED" w:rsidRPr="007C18ED">
        <w:rPr>
          <w:rFonts w:eastAsia="Arial" w:cs="Arial"/>
        </w:rPr>
        <w:t>the NDIA has</w:t>
      </w:r>
      <w:r w:rsidR="000E68FA" w:rsidRPr="000E68FA">
        <w:rPr>
          <w:rFonts w:eastAsia="Arial" w:cs="Arial"/>
        </w:rPr>
        <w:t xml:space="preserve"> analysed registered provider payment activity</w:t>
      </w:r>
      <w:r w:rsidR="007C18ED" w:rsidRPr="007C18ED">
        <w:rPr>
          <w:rFonts w:eastAsia="Arial" w:cs="Arial"/>
        </w:rPr>
        <w:t>. That is,</w:t>
      </w:r>
      <w:r w:rsidR="000E68FA" w:rsidRPr="000E68FA">
        <w:rPr>
          <w:rFonts w:eastAsia="Arial" w:cs="Arial"/>
        </w:rPr>
        <w:t xml:space="preserve"> payments made </w:t>
      </w:r>
      <w:r w:rsidR="000E68FA">
        <w:rPr>
          <w:rFonts w:eastAsia="Arial" w:cs="Arial"/>
        </w:rPr>
        <w:t>against</w:t>
      </w:r>
      <w:r w:rsidR="000E68FA" w:rsidRPr="000E68FA">
        <w:rPr>
          <w:rFonts w:eastAsia="Arial" w:cs="Arial"/>
        </w:rPr>
        <w:t xml:space="preserve"> Agency and Plan Managed plans </w:t>
      </w:r>
      <w:proofErr w:type="gramStart"/>
      <w:r w:rsidR="000E68FA" w:rsidRPr="000E68FA">
        <w:rPr>
          <w:rFonts w:eastAsia="Arial" w:cs="Arial"/>
        </w:rPr>
        <w:t>are considered to be</w:t>
      </w:r>
      <w:proofErr w:type="gramEnd"/>
      <w:r w:rsidR="000E68FA" w:rsidRPr="000E68FA">
        <w:rPr>
          <w:rFonts w:eastAsia="Arial" w:cs="Arial"/>
        </w:rPr>
        <w:t xml:space="preserve"> made by registered providers</w:t>
      </w:r>
      <w:r w:rsidR="007C18ED" w:rsidRPr="007C18ED">
        <w:rPr>
          <w:rFonts w:eastAsia="Arial" w:cs="Arial"/>
        </w:rPr>
        <w:t>.  </w:t>
      </w:r>
    </w:p>
    <w:bookmarkEnd w:id="53"/>
    <w:p w14:paraId="193B0760" w14:textId="3D79B7AA" w:rsidR="001C4C53" w:rsidRPr="00ED0877" w:rsidRDefault="009509BC" w:rsidP="00ED0877">
      <w:pPr>
        <w:rPr>
          <w:rFonts w:eastAsia="Arial" w:cs="Arial"/>
        </w:rPr>
      </w:pPr>
      <w:r>
        <w:rPr>
          <w:rFonts w:eastAsia="Arial" w:cs="Arial"/>
        </w:rPr>
        <w:fldChar w:fldCharType="begin"/>
      </w:r>
      <w:r>
        <w:rPr>
          <w:rFonts w:eastAsia="Arial" w:cs="Arial"/>
        </w:rPr>
        <w:instrText xml:space="preserve"> REF _Ref135244185 \h </w:instrText>
      </w:r>
      <w:r>
        <w:rPr>
          <w:rFonts w:eastAsia="Arial" w:cs="Arial"/>
        </w:rPr>
      </w:r>
      <w:r>
        <w:rPr>
          <w:rFonts w:eastAsia="Arial" w:cs="Arial"/>
        </w:rPr>
        <w:fldChar w:fldCharType="separate"/>
      </w:r>
      <w:r w:rsidR="00D64E4C">
        <w:t xml:space="preserve">Figure </w:t>
      </w:r>
      <w:r w:rsidR="00D64E4C">
        <w:rPr>
          <w:noProof/>
        </w:rPr>
        <w:t>11</w:t>
      </w:r>
      <w:r>
        <w:rPr>
          <w:rFonts w:eastAsia="Arial" w:cs="Arial"/>
        </w:rPr>
        <w:fldChar w:fldCharType="end"/>
      </w:r>
      <w:r>
        <w:rPr>
          <w:rFonts w:eastAsia="Arial" w:cs="Arial"/>
        </w:rPr>
        <w:t xml:space="preserve"> </w:t>
      </w:r>
      <w:r w:rsidR="001C4C53" w:rsidRPr="00ED0877">
        <w:rPr>
          <w:rFonts w:eastAsia="Arial" w:cs="Arial"/>
        </w:rPr>
        <w:t xml:space="preserve">shows the number of registered DSW providers with the payments between </w:t>
      </w:r>
      <w:r w:rsidR="00597C58" w:rsidRPr="00ED0877">
        <w:rPr>
          <w:rFonts w:eastAsia="Arial" w:cs="Arial"/>
        </w:rPr>
        <w:t>J</w:t>
      </w:r>
      <w:r w:rsidR="00597C58">
        <w:rPr>
          <w:rFonts w:eastAsia="Arial" w:cs="Arial"/>
        </w:rPr>
        <w:t xml:space="preserve">uly </w:t>
      </w:r>
      <w:r w:rsidR="001C4C53" w:rsidRPr="00ED0877">
        <w:rPr>
          <w:rFonts w:eastAsia="Arial" w:cs="Arial"/>
        </w:rPr>
        <w:t>2020 and December 2022, split by the number of half-year periods in which each provider received</w:t>
      </w:r>
      <w:r w:rsidR="001C4C53" w:rsidRPr="00ED0877">
        <w:rPr>
          <w:rFonts w:eastAsia="Arial" w:cs="Arial"/>
        </w:rPr>
        <w:t xml:space="preserve"> a payment. Half-years are defined as the six-</w:t>
      </w:r>
      <w:r w:rsidR="00436737" w:rsidRPr="00ED0877">
        <w:rPr>
          <w:rFonts w:eastAsia="Arial" w:cs="Arial"/>
        </w:rPr>
        <w:t>month</w:t>
      </w:r>
      <w:r w:rsidR="00177866">
        <w:rPr>
          <w:rFonts w:eastAsia="Arial" w:cs="Arial"/>
        </w:rPr>
        <w:t xml:space="preserve"> </w:t>
      </w:r>
      <w:r w:rsidR="001C4C53" w:rsidRPr="00ED0877">
        <w:rPr>
          <w:rFonts w:eastAsia="Arial" w:cs="Arial"/>
        </w:rPr>
        <w:t>interval from January to June and July to December. As seen in</w:t>
      </w:r>
      <w:r>
        <w:rPr>
          <w:rFonts w:eastAsia="Arial" w:cs="Arial"/>
        </w:rPr>
        <w:t xml:space="preserve"> </w:t>
      </w:r>
      <w:r>
        <w:rPr>
          <w:rFonts w:eastAsia="Arial" w:cs="Arial"/>
        </w:rPr>
        <w:fldChar w:fldCharType="begin"/>
      </w:r>
      <w:r>
        <w:rPr>
          <w:rFonts w:eastAsia="Arial" w:cs="Arial"/>
        </w:rPr>
        <w:instrText xml:space="preserve"> REF _Ref135244185 \h </w:instrText>
      </w:r>
      <w:r>
        <w:rPr>
          <w:rFonts w:eastAsia="Arial" w:cs="Arial"/>
        </w:rPr>
      </w:r>
      <w:r>
        <w:rPr>
          <w:rFonts w:eastAsia="Arial" w:cs="Arial"/>
        </w:rPr>
        <w:fldChar w:fldCharType="separate"/>
      </w:r>
      <w:r w:rsidR="00D64E4C">
        <w:t xml:space="preserve">Figure </w:t>
      </w:r>
      <w:r w:rsidR="00D64E4C">
        <w:rPr>
          <w:noProof/>
        </w:rPr>
        <w:t>11</w:t>
      </w:r>
      <w:r>
        <w:rPr>
          <w:rFonts w:eastAsia="Arial" w:cs="Arial"/>
        </w:rPr>
        <w:fldChar w:fldCharType="end"/>
      </w:r>
      <w:r w:rsidR="001C4C53" w:rsidRPr="00ED0877">
        <w:rPr>
          <w:rFonts w:eastAsia="Arial" w:cs="Arial"/>
        </w:rPr>
        <w:t>, 4,096 out of 12,636 (32%) registered providers have payments in all five half-years between Ju</w:t>
      </w:r>
      <w:r w:rsidR="000842A0">
        <w:rPr>
          <w:rFonts w:eastAsia="Arial" w:cs="Arial"/>
        </w:rPr>
        <w:t>ly</w:t>
      </w:r>
      <w:r w:rsidR="001C4C53" w:rsidRPr="00ED0877">
        <w:rPr>
          <w:rFonts w:eastAsia="Arial" w:cs="Arial"/>
        </w:rPr>
        <w:t xml:space="preserve"> 2020 and December 2022. These providers account for 93% of the total payments across the two-and-a-half-year period. </w:t>
      </w:r>
    </w:p>
    <w:p w14:paraId="0F1D346C" w14:textId="50B6891A" w:rsidR="009509BC" w:rsidRDefault="009509BC" w:rsidP="00ED0877">
      <w:pPr>
        <w:pStyle w:val="Caption"/>
        <w:jc w:val="left"/>
      </w:pPr>
      <w:bookmarkStart w:id="54" w:name="_Ref135244185"/>
      <w:r>
        <w:lastRenderedPageBreak/>
        <w:t xml:space="preserve">Figure </w:t>
      </w:r>
      <w:fldSimple w:instr=" SEQ Figure \* ARABIC ">
        <w:r w:rsidR="00D64E4C">
          <w:rPr>
            <w:noProof/>
          </w:rPr>
          <w:t>11</w:t>
        </w:r>
      </w:fldSimple>
      <w:bookmarkEnd w:id="54"/>
      <w:r>
        <w:t xml:space="preserve">: </w:t>
      </w:r>
      <w:r w:rsidRPr="00CA03F4">
        <w:t>REGISTERED DSW PROVIDER HALF-YEARLY PAYMENTS HISTOGRAM, JUNE 2020 – DECEMBER 2022</w:t>
      </w:r>
    </w:p>
    <w:p w14:paraId="0896BEE0" w14:textId="77777777" w:rsidR="001C4C53" w:rsidRDefault="001C4C53" w:rsidP="001C4C53">
      <w:r>
        <w:rPr>
          <w:noProof/>
        </w:rPr>
        <w:drawing>
          <wp:inline distT="0" distB="0" distL="0" distR="0" wp14:anchorId="6D7A2A92" wp14:editId="3A116F1F">
            <wp:extent cx="5514810" cy="2520000"/>
            <wp:effectExtent l="0" t="0" r="0" b="0"/>
            <wp:docPr id="63" name="Picture 63" descr="REGISTERED DSW PROVIDER HALF-YEARLY PAYMENTS HISTOGRAM, JUNE 2020 – DECEMBER 2022&#10;&#10;A chart displaying the number of providers claiming in a number of half year periods between June 2020 to December 2022. There was over 4,000 providers who claimed within each half year period and comprised of 93% of total payments. Those who claimed in 3 and 4 half year periods respectively claimed the next two highest total amounts, with approximately 1,700 providers in both. Although there was almost 3,000 providers only claiming in one half year period, these only made up a very small proportion of total payment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REGISTERED DSW PROVIDER HALF-YEARLY PAYMENTS HISTOGRAM, JUNE 2020 – DECEMBER 2022&#10;&#10;A chart displaying the number of providers claiming in a number of half year periods between June 2020 to December 2022. There was over 4,000 providers who claimed within each half year period and comprised of 93% of total payments. Those who claimed in 3 and 4 half year periods respectively claimed the next two highest total amounts, with approximately 1,700 providers in both. Although there was almost 3,000 providers only claiming in one half year period, these only made up a very small proportion of total payments mad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4810" cy="2520000"/>
                    </a:xfrm>
                    <a:prstGeom prst="rect">
                      <a:avLst/>
                    </a:prstGeom>
                    <a:noFill/>
                  </pic:spPr>
                </pic:pic>
              </a:graphicData>
            </a:graphic>
          </wp:inline>
        </w:drawing>
      </w:r>
    </w:p>
    <w:p w14:paraId="1A25586A" w14:textId="102BEB0E" w:rsidR="001C4C53" w:rsidRPr="009509BC" w:rsidRDefault="0021143C" w:rsidP="00917286">
      <w:r>
        <w:t>T</w:t>
      </w:r>
      <w:r w:rsidR="001C4C53" w:rsidRPr="009509BC">
        <w:t xml:space="preserve">o further assess the </w:t>
      </w:r>
      <w:r>
        <w:t xml:space="preserve">current state </w:t>
      </w:r>
      <w:r w:rsidR="001C4C53" w:rsidRPr="009509BC">
        <w:t xml:space="preserve">of the provider market, </w:t>
      </w:r>
      <w:r w:rsidR="00C7225E">
        <w:t xml:space="preserve">payment </w:t>
      </w:r>
      <w:r w:rsidR="00642A77">
        <w:t>activities</w:t>
      </w:r>
      <w:r w:rsidR="00C7225E">
        <w:t xml:space="preserve"> of </w:t>
      </w:r>
      <w:r w:rsidR="001C4C53" w:rsidRPr="009509BC">
        <w:t>registered providers across the two-year period from January 2021 to December 2022</w:t>
      </w:r>
      <w:r w:rsidR="00C7225E">
        <w:t xml:space="preserve"> </w:t>
      </w:r>
      <w:r w:rsidR="00642A77">
        <w:t>were analysed</w:t>
      </w:r>
      <w:r w:rsidR="001C4C53" w:rsidRPr="009509BC">
        <w:t xml:space="preserve">. </w:t>
      </w:r>
      <w:r w:rsidR="00D8159C">
        <w:t>Providers</w:t>
      </w:r>
      <w:r w:rsidR="00D8159C" w:rsidRPr="009509BC">
        <w:t xml:space="preserve"> with </w:t>
      </w:r>
      <w:r w:rsidR="00D8159C" w:rsidRPr="00917286">
        <w:t>New Activity</w:t>
      </w:r>
      <w:r w:rsidR="00D8159C" w:rsidRPr="009509BC">
        <w:t xml:space="preserve"> in a half-year are defined as providers with payments who did not have payments in the prior half-year. Similarly, </w:t>
      </w:r>
      <w:r w:rsidR="00D8159C" w:rsidRPr="00917286">
        <w:t xml:space="preserve">Inactivity </w:t>
      </w:r>
      <w:r w:rsidR="00D8159C" w:rsidRPr="009509BC">
        <w:t xml:space="preserve">in the half-year is defined as providers without a payment who had payments in the prior half-year. </w:t>
      </w:r>
      <w:r w:rsidR="002308D7" w:rsidRPr="009509BC">
        <w:t xml:space="preserve">Activity for each provider is expressed as a percentage of the total payments for that half-year (for </w:t>
      </w:r>
      <w:r w:rsidR="002308D7" w:rsidRPr="00917286">
        <w:t>New Activity</w:t>
      </w:r>
      <w:r w:rsidR="002308D7" w:rsidRPr="009509BC">
        <w:t xml:space="preserve">) or prior half-year (for </w:t>
      </w:r>
      <w:r w:rsidR="002308D7" w:rsidRPr="00917286">
        <w:t>Inactivity</w:t>
      </w:r>
      <w:r w:rsidR="002308D7" w:rsidRPr="009509BC">
        <w:t xml:space="preserve">). </w:t>
      </w:r>
      <w:r w:rsidR="00642A77">
        <w:t xml:space="preserve">The NDIA acknowledges that this is not a perfect measure of market exits but </w:t>
      </w:r>
      <w:r w:rsidR="004A4E78">
        <w:t xml:space="preserve">the closest approximation given </w:t>
      </w:r>
      <w:r w:rsidR="00F90A4F">
        <w:t>available data</w:t>
      </w:r>
      <w:r w:rsidR="001C4C53" w:rsidRPr="009509BC">
        <w:t>.</w:t>
      </w:r>
    </w:p>
    <w:p w14:paraId="77CE223F" w14:textId="6C1CC2C2" w:rsidR="001C4C53" w:rsidRPr="009509BC" w:rsidRDefault="002308D7" w:rsidP="00917286">
      <w:r>
        <w:t>Results suggest that</w:t>
      </w:r>
      <w:r w:rsidR="001C4C53" w:rsidRPr="009509BC">
        <w:t xml:space="preserve"> </w:t>
      </w:r>
      <w:r w:rsidR="00D10345">
        <w:t xml:space="preserve">over the past two years, </w:t>
      </w:r>
      <w:r w:rsidR="001C4C53" w:rsidRPr="009509BC">
        <w:t xml:space="preserve">inactive </w:t>
      </w:r>
      <w:r w:rsidR="006470A2">
        <w:t xml:space="preserve">registered </w:t>
      </w:r>
      <w:r w:rsidR="001C4C53" w:rsidRPr="009509BC">
        <w:t>providers in each half-year contributed to less than 0.</w:t>
      </w:r>
      <w:r w:rsidR="00DF0EF6">
        <w:t>3</w:t>
      </w:r>
      <w:r w:rsidR="001C4C53" w:rsidRPr="009509BC">
        <w:t xml:space="preserve">% of total payments. In contrast, providers with new activity in a half-year have contributed between 1.1% and 1.5% of total payments </w:t>
      </w:r>
      <w:r w:rsidR="00D10345">
        <w:t>over the</w:t>
      </w:r>
      <w:r w:rsidR="001C4C53" w:rsidRPr="009509BC">
        <w:t xml:space="preserve"> same period.</w:t>
      </w:r>
    </w:p>
    <w:p w14:paraId="78016D25" w14:textId="57DC95EC" w:rsidR="009509BC" w:rsidRDefault="009509BC" w:rsidP="00917286">
      <w:pPr>
        <w:pStyle w:val="Caption"/>
        <w:jc w:val="left"/>
      </w:pPr>
      <w:bookmarkStart w:id="55" w:name="_Ref135244206"/>
      <w:r>
        <w:t xml:space="preserve">Figure </w:t>
      </w:r>
      <w:fldSimple w:instr=" SEQ Figure \* ARABIC ">
        <w:r w:rsidR="00D64E4C">
          <w:rPr>
            <w:noProof/>
          </w:rPr>
          <w:t>12</w:t>
        </w:r>
      </w:fldSimple>
      <w:bookmarkEnd w:id="55"/>
      <w:r>
        <w:t xml:space="preserve">: </w:t>
      </w:r>
      <w:r w:rsidRPr="00DA133F">
        <w:t>DSW REGISTERED PROVIDER activity MOVEMENTS, january 2021 – DECEMBER 2022</w:t>
      </w:r>
    </w:p>
    <w:p w14:paraId="136F1EC0" w14:textId="77777777" w:rsidR="006931DB" w:rsidRDefault="001C4C53" w:rsidP="006931DB">
      <w:r>
        <w:rPr>
          <w:noProof/>
        </w:rPr>
        <w:drawing>
          <wp:inline distT="0" distB="0" distL="0" distR="0" wp14:anchorId="1E712627" wp14:editId="4914647F">
            <wp:extent cx="5401310" cy="2517775"/>
            <wp:effectExtent l="0" t="0" r="8890" b="0"/>
            <wp:docPr id="2040460800" name="Picture 2040460800" descr="DSW REGISTERED PROVIDER ACTIVITY MOVEMENTS, JANUARY 2021 – DECEMBER 2022&#10;&#10;January to June 2021 - new active providers made 1.5% of payments as a percent of total half year payments. For inactivity, 0.3% of payments as a percentage of prior total half year payments.&#10;&#10;July to December 2021 - new active providers made 1.5% of payments as a percent of total half year payments. For inactivity, 0.2% of payments as a percentage of prior total half year payments.&#10;&#10;January to June 2022 - new active providers made 1.2% of payments as a percent of total half year payments. For inactivity, 0.2% of payments as a percentage of prior total half year payments.&#10;&#10;July to December 2022 - new active providers made 1.1% of payments as a percent of total half year payments. For inactivity, 0.3% of payments as a percentage of prior total half year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0800" name="Picture 2040460800" descr="DSW REGISTERED PROVIDER ACTIVITY MOVEMENTS, JANUARY 2021 – DECEMBER 2022&#10;&#10;January to June 2021 - new active providers made 1.5% of payments as a percent of total half year payments. For inactivity, 0.3% of payments as a percentage of prior total half year payments.&#10;&#10;July to December 2021 - new active providers made 1.5% of payments as a percent of total half year payments. For inactivity, 0.2% of payments as a percentage of prior total half year payments.&#10;&#10;January to June 2022 - new active providers made 1.2% of payments as a percent of total half year payments. For inactivity, 0.2% of payments as a percentage of prior total half year payments.&#10;&#10;July to December 2022 - new active providers made 1.1% of payments as a percent of total half year payments. For inactivity, 0.3% of payments as a percentage of prior total half year payment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1310" cy="2517775"/>
                    </a:xfrm>
                    <a:prstGeom prst="rect">
                      <a:avLst/>
                    </a:prstGeom>
                    <a:noFill/>
                  </pic:spPr>
                </pic:pic>
              </a:graphicData>
            </a:graphic>
          </wp:inline>
        </w:drawing>
      </w:r>
      <w:r w:rsidR="006931DB" w:rsidRPr="006931DB">
        <w:t xml:space="preserve"> </w:t>
      </w:r>
    </w:p>
    <w:p w14:paraId="390A7FF0" w14:textId="22FB0C5D" w:rsidR="00C068FE" w:rsidRDefault="006B421F" w:rsidP="00C068FE">
      <w:r>
        <w:t xml:space="preserve">Further </w:t>
      </w:r>
      <w:r w:rsidR="00D03EF1">
        <w:t>analyses</w:t>
      </w:r>
      <w:r>
        <w:t xml:space="preserve"> indicate that </w:t>
      </w:r>
      <w:r w:rsidR="006730E4">
        <w:t>o</w:t>
      </w:r>
      <w:r w:rsidR="006931DB" w:rsidRPr="009509BC">
        <w:t xml:space="preserve">n average, inactive </w:t>
      </w:r>
      <w:r w:rsidR="00354C96">
        <w:t xml:space="preserve">registered </w:t>
      </w:r>
      <w:r w:rsidR="006931DB" w:rsidRPr="009509BC">
        <w:t xml:space="preserve">providers received </w:t>
      </w:r>
      <w:r w:rsidR="006E427B" w:rsidRPr="009509BC">
        <w:t>$1</w:t>
      </w:r>
      <w:r w:rsidR="006E427B">
        <w:t>1</w:t>
      </w:r>
      <w:r w:rsidR="006E427B" w:rsidRPr="009509BC">
        <w:t>,</w:t>
      </w:r>
      <w:r w:rsidR="006E427B">
        <w:t>932</w:t>
      </w:r>
      <w:r w:rsidR="006E427B" w:rsidRPr="009509BC">
        <w:t xml:space="preserve"> </w:t>
      </w:r>
      <w:r w:rsidR="006931DB" w:rsidRPr="009509BC">
        <w:t xml:space="preserve">in payments in the half-year prior to becoming inactive, with 86% of </w:t>
      </w:r>
      <w:r w:rsidR="006E427B">
        <w:t xml:space="preserve">registered </w:t>
      </w:r>
      <w:r w:rsidR="006931DB" w:rsidRPr="009509BC">
        <w:t xml:space="preserve">providers receiving less than $5,000 in the half-year prior to becoming inactive. In contrast, active </w:t>
      </w:r>
      <w:r w:rsidR="000C4F31">
        <w:t xml:space="preserve">registered </w:t>
      </w:r>
      <w:r w:rsidR="006931DB" w:rsidRPr="009509BC">
        <w:t xml:space="preserve">providers received on average </w:t>
      </w:r>
      <w:r w:rsidR="004D4127" w:rsidRPr="009509BC">
        <w:t>$</w:t>
      </w:r>
      <w:r w:rsidR="004D4127">
        <w:t>786,138</w:t>
      </w:r>
      <w:r w:rsidR="004D4127" w:rsidRPr="009509BC">
        <w:t xml:space="preserve"> </w:t>
      </w:r>
      <w:r w:rsidR="006931DB" w:rsidRPr="009509BC">
        <w:t xml:space="preserve">of payments in each half-year period, highlighting that inactive </w:t>
      </w:r>
      <w:r w:rsidR="009C62A0">
        <w:t xml:space="preserve">registered </w:t>
      </w:r>
      <w:r w:rsidR="006931DB" w:rsidRPr="009509BC">
        <w:t>providers have been claiming lesser amounts on average relative to new and existing</w:t>
      </w:r>
      <w:r w:rsidR="009C62A0">
        <w:t xml:space="preserve"> registered</w:t>
      </w:r>
      <w:r w:rsidR="006931DB" w:rsidRPr="009509BC">
        <w:t xml:space="preserve"> providers.</w:t>
      </w:r>
    </w:p>
    <w:p w14:paraId="097B63A3" w14:textId="32B5EDB7" w:rsidR="00BB505F" w:rsidRPr="00244092" w:rsidRDefault="00BB505F" w:rsidP="00D9646F">
      <w:pPr>
        <w:pStyle w:val="Heading3"/>
      </w:pPr>
      <w:r w:rsidRPr="00244092">
        <w:lastRenderedPageBreak/>
        <w:t>4.5</w:t>
      </w:r>
      <w:r w:rsidRPr="00244092">
        <w:tab/>
        <w:t>Ability Roundtable benchmarking survey</w:t>
      </w:r>
    </w:p>
    <w:p w14:paraId="12CF50F0" w14:textId="09407955" w:rsidR="00686AC4" w:rsidRPr="000B694A" w:rsidRDefault="00F85DC2" w:rsidP="00686AC4">
      <w:r w:rsidRPr="000B694A">
        <w:rPr>
          <w:rFonts w:eastAsia="Arial" w:cs="Arial"/>
        </w:rPr>
        <w:t>Ability Roundtable conducts a comprehensive benchmarking survey</w:t>
      </w:r>
      <w:r w:rsidR="28D97D91" w:rsidRPr="217520B3">
        <w:rPr>
          <w:rFonts w:eastAsia="Arial" w:cs="Arial"/>
        </w:rPr>
        <w:t>. In</w:t>
      </w:r>
      <w:r w:rsidR="510D9603" w:rsidRPr="217520B3">
        <w:rPr>
          <w:rFonts w:eastAsia="Arial" w:cs="Arial"/>
        </w:rPr>
        <w:t xml:space="preserve"> </w:t>
      </w:r>
      <w:r w:rsidR="28D97D91" w:rsidRPr="217520B3">
        <w:rPr>
          <w:rFonts w:eastAsia="Arial" w:cs="Arial"/>
        </w:rPr>
        <w:t>2023</w:t>
      </w:r>
      <w:r w:rsidR="003B4E94">
        <w:rPr>
          <w:rFonts w:eastAsia="Arial" w:cs="Arial"/>
        </w:rPr>
        <w:t>,</w:t>
      </w:r>
      <w:r w:rsidR="00F943D9" w:rsidRPr="000B694A">
        <w:rPr>
          <w:rFonts w:eastAsia="Arial" w:cs="Arial"/>
        </w:rPr>
        <w:t xml:space="preserve"> </w:t>
      </w:r>
      <w:r w:rsidR="00F943D9" w:rsidRPr="000B694A">
        <w:t xml:space="preserve">24 </w:t>
      </w:r>
      <w:r w:rsidR="002E7385">
        <w:t>providers</w:t>
      </w:r>
      <w:r w:rsidR="004F710F">
        <w:t xml:space="preserve"> </w:t>
      </w:r>
      <w:r w:rsidR="002E7385">
        <w:t>responded</w:t>
      </w:r>
      <w:r w:rsidR="002E7385" w:rsidRPr="000B694A">
        <w:t xml:space="preserve"> </w:t>
      </w:r>
      <w:r w:rsidR="00F943D9" w:rsidRPr="000B694A">
        <w:t>to the survey</w:t>
      </w:r>
      <w:r w:rsidR="0FB5F7CF">
        <w:t xml:space="preserve"> with data from the 2021-22 financial year</w:t>
      </w:r>
      <w:r w:rsidR="25AE503F">
        <w:t>.</w:t>
      </w:r>
      <w:r w:rsidR="00FC31EC">
        <w:t xml:space="preserve"> Not</w:t>
      </w:r>
      <w:r w:rsidR="00F943D9" w:rsidRPr="000B694A" w:rsidDel="00FC31EC">
        <w:t xml:space="preserve"> </w:t>
      </w:r>
      <w:r w:rsidR="00F943D9" w:rsidRPr="000B694A">
        <w:t>all respondents answered every question available in the survey</w:t>
      </w:r>
      <w:r w:rsidR="004F710F">
        <w:t>,</w:t>
      </w:r>
      <w:r w:rsidR="00121CFF">
        <w:t xml:space="preserve"> so</w:t>
      </w:r>
      <w:r w:rsidR="00F943D9" w:rsidRPr="000B694A" w:rsidDel="00121CFF">
        <w:t xml:space="preserve"> </w:t>
      </w:r>
      <w:r w:rsidR="00F943D9" w:rsidRPr="000B694A">
        <w:t>the useable sample size was slightly smaller on each topic (SCHADS Award changes, C</w:t>
      </w:r>
      <w:r w:rsidR="00BA58D3" w:rsidRPr="000B694A">
        <w:t>OVID</w:t>
      </w:r>
      <w:r w:rsidR="00F943D9" w:rsidRPr="000B694A">
        <w:t xml:space="preserve"> impacts, and </w:t>
      </w:r>
      <w:r w:rsidR="00BA58D3" w:rsidRPr="000B694A">
        <w:t>Quality, Safeguarding and Compliance costs</w:t>
      </w:r>
      <w:r w:rsidR="00F943D9" w:rsidRPr="000B694A">
        <w:t>).</w:t>
      </w:r>
      <w:r w:rsidR="00BA58D3" w:rsidRPr="000B694A">
        <w:t xml:space="preserve"> </w:t>
      </w:r>
      <w:r w:rsidR="3A1B16B8">
        <w:t>A</w:t>
      </w:r>
      <w:r w:rsidR="6F00E3F2">
        <w:t>lthough</w:t>
      </w:r>
      <w:r w:rsidR="00F943D9" w:rsidRPr="000B694A">
        <w:t xml:space="preserve"> </w:t>
      </w:r>
      <w:r w:rsidR="00BA58D3" w:rsidRPr="000B694A">
        <w:t xml:space="preserve">the total </w:t>
      </w:r>
      <w:r w:rsidR="00F943D9" w:rsidRPr="000B694A">
        <w:t>sample of providers</w:t>
      </w:r>
      <w:r w:rsidR="00BA58D3" w:rsidRPr="000B694A">
        <w:t xml:space="preserve"> is small</w:t>
      </w:r>
      <w:r w:rsidR="00F943D9" w:rsidRPr="000B694A">
        <w:t xml:space="preserve">, </w:t>
      </w:r>
      <w:r w:rsidR="00121CFF">
        <w:t xml:space="preserve">these providers </w:t>
      </w:r>
      <w:r w:rsidR="00334A58">
        <w:t xml:space="preserve">service a large part of the </w:t>
      </w:r>
      <w:r w:rsidR="008F7D04">
        <w:t>disability market</w:t>
      </w:r>
      <w:r w:rsidR="2FC42BEA">
        <w:t xml:space="preserve"> which should be considered when interpreting the results</w:t>
      </w:r>
      <w:r w:rsidR="5044BC3D">
        <w:t>.</w:t>
      </w:r>
      <w:r w:rsidR="008F7D04">
        <w:t xml:space="preserve"> The</w:t>
      </w:r>
      <w:r w:rsidR="00F943D9" w:rsidRPr="000B694A" w:rsidDel="008F7D04">
        <w:t xml:space="preserve"> </w:t>
      </w:r>
      <w:r w:rsidR="00F943D9" w:rsidRPr="000B694A">
        <w:t>collective revenue in 2022 was over $2.7 billion</w:t>
      </w:r>
      <w:r w:rsidR="00BA58D3" w:rsidRPr="000B694A">
        <w:t>, with t</w:t>
      </w:r>
      <w:r w:rsidR="00F943D9" w:rsidRPr="000B694A">
        <w:t xml:space="preserve">he average respondent </w:t>
      </w:r>
      <w:r w:rsidR="00BA58D3" w:rsidRPr="000B694A">
        <w:t xml:space="preserve">reporting </w:t>
      </w:r>
      <w:r w:rsidR="00F943D9" w:rsidRPr="000B694A">
        <w:t xml:space="preserve">an operating loss of 3.7% in 2022.  </w:t>
      </w:r>
    </w:p>
    <w:p w14:paraId="510C52F5" w14:textId="00F6D45D" w:rsidR="004A2156" w:rsidRDefault="453A8002">
      <w:r w:rsidRPr="19AAF43B">
        <w:rPr>
          <w:rFonts w:eastAsia="Arial" w:cs="Arial"/>
        </w:rPr>
        <w:t xml:space="preserve">Information received from the Ability Roundtable survey will be discussed </w:t>
      </w:r>
      <w:r w:rsidR="6D8C47A1" w:rsidRPr="64EC5C0C">
        <w:rPr>
          <w:rFonts w:eastAsia="Arial" w:cs="Arial"/>
        </w:rPr>
        <w:t>further</w:t>
      </w:r>
      <w:r w:rsidR="0F0E08A1" w:rsidRPr="64EC5C0C">
        <w:rPr>
          <w:rFonts w:eastAsia="Arial" w:cs="Arial"/>
        </w:rPr>
        <w:t xml:space="preserve"> </w:t>
      </w:r>
      <w:r w:rsidRPr="19AAF43B">
        <w:rPr>
          <w:rFonts w:eastAsia="Arial" w:cs="Arial"/>
        </w:rPr>
        <w:t>in this chapter.</w:t>
      </w:r>
      <w:r>
        <w:t xml:space="preserve"> </w:t>
      </w:r>
      <w:r w:rsidR="17E1F27A">
        <w:t xml:space="preserve">In summary, </w:t>
      </w:r>
      <w:r w:rsidR="106029E9">
        <w:t xml:space="preserve">the Ability Roundtable survey </w:t>
      </w:r>
      <w:r w:rsidR="36D70722">
        <w:t xml:space="preserve">reported </w:t>
      </w:r>
      <w:r w:rsidR="2EB036B4">
        <w:t>uncertainties such a</w:t>
      </w:r>
      <w:r w:rsidR="1B098B1E">
        <w:t>s</w:t>
      </w:r>
      <w:r w:rsidR="2EB036B4">
        <w:t xml:space="preserve"> COVID </w:t>
      </w:r>
      <w:r w:rsidR="36D70722">
        <w:t xml:space="preserve">and SCHADS </w:t>
      </w:r>
      <w:r w:rsidR="28BEDF66">
        <w:t xml:space="preserve">related adjustments </w:t>
      </w:r>
      <w:r w:rsidR="1D471F8B">
        <w:t>driv</w:t>
      </w:r>
      <w:r w:rsidR="4A43F35A">
        <w:t>ing</w:t>
      </w:r>
      <w:r w:rsidR="28BEDF66">
        <w:t xml:space="preserve"> up costs </w:t>
      </w:r>
      <w:r w:rsidR="38CC47C9">
        <w:t>with</w:t>
      </w:r>
      <w:r w:rsidR="54412FBD">
        <w:t xml:space="preserve"> the magnitude very similar to the </w:t>
      </w:r>
      <w:r w:rsidR="009A5561">
        <w:t xml:space="preserve">considerations that informed the </w:t>
      </w:r>
      <w:r w:rsidR="6EB32EFD">
        <w:t xml:space="preserve">2% </w:t>
      </w:r>
      <w:r w:rsidR="54412FBD">
        <w:t xml:space="preserve">temporary loading that was </w:t>
      </w:r>
      <w:r w:rsidR="3301D070">
        <w:t xml:space="preserve">granted </w:t>
      </w:r>
      <w:r w:rsidR="5BF6009F">
        <w:t xml:space="preserve">from </w:t>
      </w:r>
      <w:r w:rsidR="3301D070">
        <w:t xml:space="preserve">the </w:t>
      </w:r>
      <w:r w:rsidR="106029E9">
        <w:t xml:space="preserve">2021-22 APR. </w:t>
      </w:r>
    </w:p>
    <w:p w14:paraId="64092B2C" w14:textId="253690D6" w:rsidR="00D40F53" w:rsidRPr="00F317CA" w:rsidRDefault="00430B55" w:rsidP="00D9646F">
      <w:pPr>
        <w:pStyle w:val="Heading3"/>
      </w:pPr>
      <w:r w:rsidRPr="00D9646F">
        <w:t>4.6</w:t>
      </w:r>
      <w:r w:rsidRPr="00D9646F">
        <w:tab/>
      </w:r>
      <w:r w:rsidR="00D40F53" w:rsidRPr="00D9646F">
        <w:t>Cost</w:t>
      </w:r>
      <w:r w:rsidR="00D40F53" w:rsidRPr="00F317CA">
        <w:t xml:space="preserve"> Impact of COVID</w:t>
      </w:r>
    </w:p>
    <w:p w14:paraId="53698A0F" w14:textId="564D06C2" w:rsidR="00543160" w:rsidRPr="00B729CB" w:rsidRDefault="00B729CB" w:rsidP="00B729CB">
      <w:pPr>
        <w:pStyle w:val="DotPoint"/>
        <w:numPr>
          <w:ilvl w:val="0"/>
          <w:numId w:val="0"/>
        </w:numPr>
        <w:rPr>
          <w:rFonts w:cstheme="minorBidi"/>
        </w:rPr>
      </w:pPr>
      <w:r w:rsidRPr="00EE5F04">
        <w:rPr>
          <w:rFonts w:cstheme="minorBidi"/>
        </w:rPr>
        <w:t xml:space="preserve">The </w:t>
      </w:r>
      <w:r w:rsidRPr="00BC3B97">
        <w:rPr>
          <w:rFonts w:cstheme="minorBidi"/>
        </w:rPr>
        <w:t xml:space="preserve">impact of COVID was analysed through economic research as well as the Ability Roundtable survey. </w:t>
      </w:r>
    </w:p>
    <w:p w14:paraId="03F38C7C" w14:textId="77777777" w:rsidR="00CD256D" w:rsidRPr="00CD256D" w:rsidRDefault="00CD256D" w:rsidP="00CD256D">
      <w:pPr>
        <w:rPr>
          <w:rFonts w:eastAsia="Arial" w:cs="Arial"/>
          <w:szCs w:val="22"/>
        </w:rPr>
      </w:pPr>
      <w:r w:rsidRPr="00CD256D">
        <w:rPr>
          <w:rFonts w:eastAsia="Arial" w:cs="Arial"/>
          <w:szCs w:val="22"/>
        </w:rPr>
        <w:t>In the 2021-22 APR, the impact of COVID was estimated to continue to increase for providers in the medium to long term. It was estimated that the base costs associated with COVID including PPE, additional overtime or leave usage at the time would increase for providers by 1.5%. This was considered in the 9% price rise to DSW from the 2021-22 APR. </w:t>
      </w:r>
    </w:p>
    <w:p w14:paraId="5F85C45B" w14:textId="20BF0EC5" w:rsidR="00024762" w:rsidRDefault="2A6E482F" w:rsidP="00024762">
      <w:r>
        <w:t>In terms of domestic economic research on the impact of COVID since the last APR, t</w:t>
      </w:r>
      <w:r w:rsidR="57600919">
        <w:t xml:space="preserve">he </w:t>
      </w:r>
      <w:r w:rsidR="5E23C14E">
        <w:t>HCSA</w:t>
      </w:r>
      <w:r w:rsidR="57600919">
        <w:t xml:space="preserve"> sector, the best proxy for the disability sector, performed </w:t>
      </w:r>
      <w:bookmarkStart w:id="56" w:name="_Int_d4nMvl20"/>
      <w:r w:rsidR="57600919">
        <w:t>relatively well</w:t>
      </w:r>
      <w:bookmarkEnd w:id="56"/>
      <w:r w:rsidR="57600919">
        <w:t xml:space="preserve"> during the pandemic compared to other sectors in Australia. </w:t>
      </w:r>
      <w:r w:rsidR="29C8A666">
        <w:t xml:space="preserve">Businesses in this industry were </w:t>
      </w:r>
      <w:bookmarkStart w:id="57" w:name="_Int_5YaAQCnU"/>
      <w:r w:rsidR="29C8A666">
        <w:t>largely</w:t>
      </w:r>
      <w:r w:rsidR="57600919">
        <w:t xml:space="preserve"> classified</w:t>
      </w:r>
      <w:bookmarkEnd w:id="57"/>
      <w:r w:rsidR="57600919">
        <w:t xml:space="preserve"> as essential, and as such, many workers in this industry continue</w:t>
      </w:r>
      <w:r w:rsidR="00206F91">
        <w:t>d</w:t>
      </w:r>
      <w:r w:rsidR="57600919">
        <w:t xml:space="preserve"> working to provide critical healthcare and support services to the community.</w:t>
      </w:r>
      <w:r w:rsidR="2106992D">
        <w:t xml:space="preserve"> </w:t>
      </w:r>
      <w:r w:rsidR="57600919">
        <w:t xml:space="preserve">While there were challenges and disruptions to service delivery due to lockdowns and restrictions, the sector was able to adapt </w:t>
      </w:r>
      <w:bookmarkStart w:id="58" w:name="_Int_PqZvJedo"/>
      <w:r w:rsidR="57600919">
        <w:t>relatively quickly</w:t>
      </w:r>
      <w:bookmarkEnd w:id="58"/>
      <w:r w:rsidR="57600919">
        <w:t xml:space="preserve"> to new ways of working, such as telehealth and virtual consultations. </w:t>
      </w:r>
    </w:p>
    <w:p w14:paraId="0086D0E3" w14:textId="606D499C" w:rsidR="00E00B52" w:rsidRDefault="6C2DFDB1" w:rsidP="00E00B52">
      <w:r w:rsidRPr="4596552B">
        <w:rPr>
          <w:rFonts w:eastAsia="Arial" w:cs="Arial"/>
        </w:rPr>
        <w:t xml:space="preserve">That said, during the pandemic, </w:t>
      </w:r>
      <w:r w:rsidR="4C6DEDDF" w:rsidRPr="4596552B">
        <w:rPr>
          <w:rFonts w:eastAsia="Arial" w:cs="Arial"/>
        </w:rPr>
        <w:t>businesses operating in the</w:t>
      </w:r>
      <w:r w:rsidRPr="4596552B">
        <w:rPr>
          <w:rFonts w:eastAsia="Arial" w:cs="Arial"/>
        </w:rPr>
        <w:t xml:space="preserve"> care economy faced increasing COVID related costs. Temporary costs included those associated with PPE mandates, testing requirements, establishing new ways of working, such as telehealth, associated </w:t>
      </w:r>
      <w:proofErr w:type="gramStart"/>
      <w:r w:rsidRPr="4596552B">
        <w:rPr>
          <w:rFonts w:eastAsia="Arial" w:cs="Arial"/>
        </w:rPr>
        <w:t>overtime</w:t>
      </w:r>
      <w:proofErr w:type="gramEnd"/>
      <w:r w:rsidRPr="4596552B">
        <w:rPr>
          <w:rFonts w:eastAsia="Arial" w:cs="Arial"/>
        </w:rPr>
        <w:t xml:space="preserve"> and greater utilization of sick leave. However, all States and </w:t>
      </w:r>
      <w:r w:rsidRPr="001C1823">
        <w:rPr>
          <w:rFonts w:eastAsia="Arial" w:cs="Arial"/>
        </w:rPr>
        <w:t>Territories have now lifted COVID public health orders, restrictions, directives</w:t>
      </w:r>
      <w:r w:rsidR="0E7914D6" w:rsidRPr="001C1823">
        <w:rPr>
          <w:rFonts w:eastAsia="Arial" w:cs="Arial"/>
        </w:rPr>
        <w:t>,</w:t>
      </w:r>
      <w:r w:rsidRPr="001C1823">
        <w:rPr>
          <w:rFonts w:eastAsia="Arial" w:cs="Arial"/>
        </w:rPr>
        <w:t xml:space="preserve"> and mandates on businesses</w:t>
      </w:r>
      <w:r w:rsidR="00D67D8B">
        <w:rPr>
          <w:rStyle w:val="FootnoteReference"/>
          <w:rFonts w:eastAsia="Arial" w:cs="Arial"/>
        </w:rPr>
        <w:footnoteReference w:id="19"/>
      </w:r>
      <w:r w:rsidRPr="001C1823">
        <w:rPr>
          <w:rFonts w:eastAsia="Arial" w:cs="Arial"/>
        </w:rPr>
        <w:t xml:space="preserve">, with the majority ending in late 2022 or early 2023. Accordingly, </w:t>
      </w:r>
      <w:r w:rsidR="4C6DEDDF" w:rsidRPr="001C1823">
        <w:rPr>
          <w:rFonts w:eastAsia="Arial" w:cs="Arial"/>
        </w:rPr>
        <w:t>some of the</w:t>
      </w:r>
      <w:r w:rsidRPr="001C1823">
        <w:rPr>
          <w:rFonts w:eastAsia="Arial" w:cs="Arial"/>
        </w:rPr>
        <w:t xml:space="preserve"> costs</w:t>
      </w:r>
      <w:r w:rsidRPr="4596552B">
        <w:rPr>
          <w:rFonts w:eastAsia="Arial" w:cs="Arial"/>
        </w:rPr>
        <w:t xml:space="preserve"> associated with Government COVID orders, such as PPE gear, and testing, have now dissipated. </w:t>
      </w:r>
      <w:r w:rsidR="03B72F8C" w:rsidRPr="00EE5F04">
        <w:t>Nevertheless</w:t>
      </w:r>
      <w:r w:rsidR="00206F91">
        <w:t>,</w:t>
      </w:r>
      <w:r w:rsidR="439110AD" w:rsidRPr="00EE5F04">
        <w:t xml:space="preserve"> an ongoing cost, referred to in </w:t>
      </w:r>
      <w:r w:rsidR="34F2CEE3" w:rsidRPr="00EE5F04">
        <w:t>several</w:t>
      </w:r>
      <w:r w:rsidR="439110AD" w:rsidRPr="00EE5F04">
        <w:t xml:space="preserve"> submissions from </w:t>
      </w:r>
      <w:r w:rsidR="439110AD" w:rsidRPr="00BC3B97">
        <w:t>the public consultation</w:t>
      </w:r>
      <w:r w:rsidR="00206F91">
        <w:t xml:space="preserve"> </w:t>
      </w:r>
      <w:r w:rsidR="391161C5" w:rsidRPr="00BC3B97">
        <w:t>is</w:t>
      </w:r>
      <w:r w:rsidR="439110AD" w:rsidRPr="00BC3B97">
        <w:t xml:space="preserve"> </w:t>
      </w:r>
      <w:r w:rsidR="439110AD" w:rsidRPr="00EE5F04">
        <w:t xml:space="preserve">the cost of sick leave associated with staff contracting </w:t>
      </w:r>
      <w:r w:rsidR="439110AD" w:rsidRPr="00BC3B97">
        <w:t>COVID and rostering to cover sick staff</w:t>
      </w:r>
      <w:r w:rsidR="439110AD" w:rsidRPr="00EE5F04">
        <w:t>. </w:t>
      </w:r>
    </w:p>
    <w:p w14:paraId="5529096F" w14:textId="32B66F19" w:rsidR="0067148F" w:rsidRPr="00E26105" w:rsidRDefault="5EA7B804" w:rsidP="00E26105">
      <w:r w:rsidRPr="00E26105">
        <w:t>Although s</w:t>
      </w:r>
      <w:r w:rsidR="5FBBF8D5" w:rsidRPr="00E26105">
        <w:t>ome providers experienced supply chain disruptions</w:t>
      </w:r>
      <w:r w:rsidRPr="00E26105">
        <w:t xml:space="preserve">, </w:t>
      </w:r>
      <w:bookmarkStart w:id="59" w:name="_Int_mP9pWL1W"/>
      <w:proofErr w:type="gramStart"/>
      <w:r w:rsidR="5FBBF8D5" w:rsidRPr="00E26105">
        <w:t>the major</w:t>
      </w:r>
      <w:r w:rsidRPr="00E26105">
        <w:t>ity</w:t>
      </w:r>
      <w:r w:rsidR="5FBBF8D5" w:rsidRPr="00E26105">
        <w:t xml:space="preserve"> of</w:t>
      </w:r>
      <w:bookmarkEnd w:id="59"/>
      <w:proofErr w:type="gramEnd"/>
      <w:r w:rsidR="5FBBF8D5" w:rsidRPr="00E26105">
        <w:t xml:space="preserve"> </w:t>
      </w:r>
      <w:r w:rsidRPr="00E26105">
        <w:t>NDIS</w:t>
      </w:r>
      <w:r w:rsidR="5FBBF8D5" w:rsidRPr="00E26105">
        <w:t xml:space="preserve"> services </w:t>
      </w:r>
      <w:r w:rsidR="44F1A483" w:rsidRPr="00E26105">
        <w:t>are</w:t>
      </w:r>
      <w:r w:rsidR="5FBBF8D5" w:rsidRPr="00E26105">
        <w:t xml:space="preserve"> labour intensive (</w:t>
      </w:r>
      <w:r w:rsidR="000A275E">
        <w:t>that is,</w:t>
      </w:r>
      <w:r w:rsidR="5FBBF8D5" w:rsidRPr="00E26105">
        <w:t xml:space="preserve"> not reliant upon goods and capital equipment), hence a modest 11% of Healthcare &amp; Social Assistance businesses reported supply chain </w:t>
      </w:r>
      <w:r w:rsidR="5FBBF8D5" w:rsidRPr="00E26105">
        <w:lastRenderedPageBreak/>
        <w:t>disruptions, compared to 41% of all businesses</w:t>
      </w:r>
      <w:r w:rsidR="00D55FA3">
        <w:rPr>
          <w:rStyle w:val="FootnoteReference"/>
        </w:rPr>
        <w:footnoteReference w:id="20"/>
      </w:r>
      <w:r w:rsidR="208D33DB" w:rsidRPr="00E26105">
        <w:t>.</w:t>
      </w:r>
      <w:r w:rsidR="1CF1DB00" w:rsidRPr="00E26105">
        <w:t xml:space="preserve"> </w:t>
      </w:r>
      <w:r w:rsidR="5FBBF8D5" w:rsidRPr="00E26105">
        <w:t xml:space="preserve">However, many care economy businesses reported having difficulty finding staff, 26% at both June 2021 and June 2022. The most common factors were lack of job applicants (79%) and applicants not having the relevant experience and qualifications (59%). This trend was </w:t>
      </w:r>
      <w:bookmarkStart w:id="60" w:name="_Int_ZK0kT8Jk"/>
      <w:r w:rsidR="5FBBF8D5" w:rsidRPr="00E26105">
        <w:t>likely driven</w:t>
      </w:r>
      <w:bookmarkEnd w:id="60"/>
      <w:r w:rsidR="5FBBF8D5" w:rsidRPr="00E26105">
        <w:t xml:space="preserve"> by the </w:t>
      </w:r>
      <w:r w:rsidR="79B46054" w:rsidRPr="00E26105">
        <w:t xml:space="preserve">decrease </w:t>
      </w:r>
      <w:r w:rsidR="5FBBF8D5" w:rsidRPr="00E26105">
        <w:t xml:space="preserve">in migration over 2020 and 2021, which is an important source of disability workers, but also </w:t>
      </w:r>
      <w:r w:rsidR="79B46054" w:rsidRPr="00E26105">
        <w:t xml:space="preserve">the </w:t>
      </w:r>
      <w:r w:rsidR="5FBBF8D5" w:rsidRPr="00E26105">
        <w:t>decline in workforce participation. However, both migration and participation ha</w:t>
      </w:r>
      <w:r w:rsidR="69D04608" w:rsidRPr="00E26105">
        <w:t>ve</w:t>
      </w:r>
      <w:r w:rsidR="5FBBF8D5" w:rsidRPr="00E26105">
        <w:t xml:space="preserve"> since rebounded close to pre-pandemic levels. </w:t>
      </w:r>
    </w:p>
    <w:p w14:paraId="174D1785" w14:textId="651BD5CF" w:rsidR="00086618" w:rsidRPr="0087242D" w:rsidRDefault="006F6EA8" w:rsidP="0063698B">
      <w:pPr>
        <w:pStyle w:val="Heading41"/>
        <w:rPr>
          <w:rFonts w:cs="Arial"/>
          <w:color w:val="auto"/>
        </w:rPr>
      </w:pPr>
      <w:r w:rsidRPr="602134DC">
        <w:rPr>
          <w:lang w:val="en-GB"/>
        </w:rPr>
        <w:t xml:space="preserve">Ability Roundtable survey </w:t>
      </w:r>
      <w:r w:rsidR="00686AC4" w:rsidRPr="602134DC">
        <w:rPr>
          <w:lang w:val="en-GB"/>
        </w:rPr>
        <w:t>on c</w:t>
      </w:r>
      <w:r w:rsidR="00086618" w:rsidRPr="0088343E">
        <w:rPr>
          <w:lang w:val="en-GB"/>
        </w:rPr>
        <w:t>ontinuing impact of COVID on provider costs.</w:t>
      </w:r>
    </w:p>
    <w:p w14:paraId="305EBC07" w14:textId="0AB0D284" w:rsidR="00086618" w:rsidRDefault="00A43636" w:rsidP="00086618">
      <w:r>
        <w:t>Most</w:t>
      </w:r>
      <w:r w:rsidR="00086618">
        <w:t xml:space="preserve"> providers </w:t>
      </w:r>
      <w:r w:rsidR="00477066">
        <w:t xml:space="preserve">responding to </w:t>
      </w:r>
      <w:r w:rsidR="235E1F88">
        <w:t>t</w:t>
      </w:r>
      <w:r w:rsidR="3F8C4E62">
        <w:t>h</w:t>
      </w:r>
      <w:r w:rsidR="488820BB">
        <w:t xml:space="preserve">e Ability Roundtable </w:t>
      </w:r>
      <w:r w:rsidR="00477066">
        <w:t xml:space="preserve">survey </w:t>
      </w:r>
      <w:r w:rsidR="00086618">
        <w:t xml:space="preserve">(71%) reported that COVID was still impacting on their costs in 2022. </w:t>
      </w:r>
      <w:r w:rsidR="003F1D30">
        <w:t>The other</w:t>
      </w:r>
      <w:r w:rsidR="00086618">
        <w:t xml:space="preserve"> 29% reported that COVID was no longer affecting the</w:t>
      </w:r>
      <w:r w:rsidR="003F1D30">
        <w:t>ir businesses</w:t>
      </w:r>
      <w:r w:rsidR="00086618">
        <w:t>.</w:t>
      </w:r>
    </w:p>
    <w:p w14:paraId="2A5ABABD" w14:textId="49035AA8" w:rsidR="00086618" w:rsidRDefault="00086618" w:rsidP="00086618">
      <w:r>
        <w:t xml:space="preserve">For providers </w:t>
      </w:r>
      <w:r w:rsidR="003F1D30">
        <w:t xml:space="preserve">who were </w:t>
      </w:r>
      <w:r>
        <w:t>reporting COVID was still impacting their costs, the average increase was 2.5% (median 2.0%).</w:t>
      </w:r>
      <w:r w:rsidR="009646AD">
        <w:t xml:space="preserve"> However, a</w:t>
      </w:r>
      <w:r>
        <w:t>cross all respondents providing estimates of cost impacts</w:t>
      </w:r>
      <w:r w:rsidR="002D4459">
        <w:t xml:space="preserve">, </w:t>
      </w:r>
      <w:r>
        <w:t>the average increase in costs was 1.7%, and the median was 1.0%.</w:t>
      </w:r>
    </w:p>
    <w:p w14:paraId="75BAA7F1" w14:textId="0224D124" w:rsidR="00086618" w:rsidRDefault="00086618" w:rsidP="00086618">
      <w:r>
        <w:t xml:space="preserve">Unlike the impacts of SCHADS Award changes and </w:t>
      </w:r>
      <w:r w:rsidR="002D4459">
        <w:t>Quality and Safeguarding</w:t>
      </w:r>
      <w:r>
        <w:t xml:space="preserve"> compliance</w:t>
      </w:r>
      <w:r w:rsidR="002D4459">
        <w:t xml:space="preserve"> costs</w:t>
      </w:r>
      <w:r>
        <w:t xml:space="preserve">, which are </w:t>
      </w:r>
      <w:r w:rsidR="002D4459">
        <w:t xml:space="preserve">more </w:t>
      </w:r>
      <w:r>
        <w:t xml:space="preserve">likely to be ongoing, qualitative responses indicated that </w:t>
      </w:r>
      <w:r w:rsidR="002D4459">
        <w:t xml:space="preserve">COVID </w:t>
      </w:r>
      <w:r>
        <w:t>impacts are mostly temporary.</w:t>
      </w:r>
    </w:p>
    <w:p w14:paraId="13988506" w14:textId="373BA26A" w:rsidR="00086618" w:rsidRDefault="76418F47" w:rsidP="004C7508">
      <w:r>
        <w:t xml:space="preserve">The most common reported cause of cost increases (30%) was </w:t>
      </w:r>
      <w:r w:rsidR="5E0F8D2F">
        <w:t>PPE</w:t>
      </w:r>
      <w:r>
        <w:t>,</w:t>
      </w:r>
      <w:r w:rsidR="5E0F8D2F">
        <w:t xml:space="preserve"> </w:t>
      </w:r>
      <w:bookmarkStart w:id="61" w:name="_Int_unkMPIuR"/>
      <w:proofErr w:type="gramStart"/>
      <w:r>
        <w:t>RATs</w:t>
      </w:r>
      <w:bookmarkEnd w:id="61"/>
      <w:proofErr w:type="gramEnd"/>
      <w:r>
        <w:t xml:space="preserve"> and other consumables.</w:t>
      </w:r>
      <w:r w:rsidR="5E0F8D2F">
        <w:t xml:space="preserve"> </w:t>
      </w:r>
      <w:r>
        <w:t>This was closely followed by staff sick leave costs (20%)</w:t>
      </w:r>
      <w:r w:rsidR="5E0F8D2F">
        <w:t>.</w:t>
      </w:r>
      <w:r w:rsidR="6B7EAECE">
        <w:t xml:space="preserve"> </w:t>
      </w:r>
      <w:r>
        <w:t>Administrative, cleaning, agency staff</w:t>
      </w:r>
      <w:r w:rsidR="6B7EAECE">
        <w:t xml:space="preserve">, </w:t>
      </w:r>
      <w:r>
        <w:t>allowances and penalties accounted for 5 to 10%.</w:t>
      </w:r>
      <w:r w:rsidR="7A7529AB">
        <w:t xml:space="preserve"> </w:t>
      </w:r>
      <w:r w:rsidR="26CE2258">
        <w:t>Around a</w:t>
      </w:r>
      <w:r w:rsidR="7A7529AB">
        <w:t xml:space="preserve">nother 10% </w:t>
      </w:r>
      <w:r w:rsidR="26CE2258">
        <w:t>was accounted for in commentary on t</w:t>
      </w:r>
      <w:r>
        <w:t xml:space="preserve">raining, </w:t>
      </w:r>
      <w:r w:rsidR="26CE2258">
        <w:t>quality and sa</w:t>
      </w:r>
      <w:r w:rsidR="171AA95A">
        <w:t xml:space="preserve">feguarding </w:t>
      </w:r>
      <w:r>
        <w:t>and reporting costs, which are more likely to be ongoing.</w:t>
      </w:r>
    </w:p>
    <w:p w14:paraId="2D928BA0" w14:textId="45291E38" w:rsidR="00086618" w:rsidRDefault="00086618" w:rsidP="00086618">
      <w:r>
        <w:t xml:space="preserve">In summary, the estimated cost impacts of </w:t>
      </w:r>
      <w:r w:rsidR="008351EA">
        <w:t>COVID</w:t>
      </w:r>
      <w:r>
        <w:t xml:space="preserve"> </w:t>
      </w:r>
      <w:r w:rsidR="008351EA">
        <w:t xml:space="preserve">in </w:t>
      </w:r>
      <w:r>
        <w:t xml:space="preserve">2022 </w:t>
      </w:r>
      <w:r w:rsidR="008351EA">
        <w:t xml:space="preserve">by these providers surveyed </w:t>
      </w:r>
      <w:r>
        <w:t>was 1.7%</w:t>
      </w:r>
      <w:r w:rsidR="008351EA">
        <w:t xml:space="preserve">. </w:t>
      </w:r>
      <w:r>
        <w:t>This is slightly higher than the last APR’s estimate of 1.5%.</w:t>
      </w:r>
      <w:r w:rsidR="00387A34">
        <w:t xml:space="preserve"> </w:t>
      </w:r>
    </w:p>
    <w:p w14:paraId="03A913BB" w14:textId="3AB04FA0" w:rsidR="007F5EEB" w:rsidRDefault="7881264D" w:rsidP="00086618">
      <w:bookmarkStart w:id="62" w:name="_Int_8lyijMeo"/>
      <w:r>
        <w:t xml:space="preserve">It appears that </w:t>
      </w:r>
      <w:r w:rsidR="747AC65C">
        <w:t>many costs</w:t>
      </w:r>
      <w:bookmarkEnd w:id="62"/>
      <w:r w:rsidR="747AC65C">
        <w:t xml:space="preserve"> associated with COVID </w:t>
      </w:r>
      <w:r w:rsidR="18A6D300">
        <w:t>are</w:t>
      </w:r>
      <w:r w:rsidR="747AC65C">
        <w:t xml:space="preserve"> </w:t>
      </w:r>
      <w:r w:rsidR="62570139">
        <w:t>fading post</w:t>
      </w:r>
      <w:r w:rsidR="308243F8">
        <w:t>-</w:t>
      </w:r>
      <w:r w:rsidR="62570139">
        <w:t xml:space="preserve">pandemic and </w:t>
      </w:r>
      <w:r w:rsidR="308243F8">
        <w:t>have</w:t>
      </w:r>
      <w:r w:rsidR="62570139">
        <w:t xml:space="preserve"> more likely </w:t>
      </w:r>
      <w:r w:rsidR="308243F8">
        <w:t>been</w:t>
      </w:r>
      <w:r w:rsidR="62570139">
        <w:t xml:space="preserve"> </w:t>
      </w:r>
      <w:r w:rsidR="68FC4175">
        <w:t>temporary in nature</w:t>
      </w:r>
      <w:r w:rsidR="62570139">
        <w:t xml:space="preserve">. However, </w:t>
      </w:r>
      <w:r w:rsidR="3E2D85B8">
        <w:t xml:space="preserve">it should be acknowledged that COVID is still present in Australian </w:t>
      </w:r>
      <w:r w:rsidR="3141238A">
        <w:t>but</w:t>
      </w:r>
      <w:r w:rsidR="3E2D85B8">
        <w:t xml:space="preserve"> to a lesser degree than what it was this time last year.</w:t>
      </w:r>
    </w:p>
    <w:p w14:paraId="4F272978" w14:textId="7661BBB1" w:rsidR="001D6AE4" w:rsidRPr="00E30916" w:rsidRDefault="001D6AE4" w:rsidP="00D9646F">
      <w:pPr>
        <w:pStyle w:val="Heading3"/>
      </w:pPr>
      <w:r w:rsidRPr="00E30916">
        <w:t>4.7</w:t>
      </w:r>
      <w:r w:rsidRPr="00E30916">
        <w:tab/>
        <w:t>Impact of SCHADS Award changes</w:t>
      </w:r>
    </w:p>
    <w:p w14:paraId="309043FF" w14:textId="150DD814" w:rsidR="00086618" w:rsidRDefault="0BF2BE43" w:rsidP="00086618">
      <w:r>
        <w:t xml:space="preserve">On 1 July 2022, </w:t>
      </w:r>
      <w:r w:rsidR="37EF589D">
        <w:t>several</w:t>
      </w:r>
      <w:r>
        <w:t xml:space="preserve"> significant changes to the SCHADS Award were implemented. </w:t>
      </w:r>
      <w:bookmarkStart w:id="63" w:name="_Int_98hrD1BL"/>
      <w:proofErr w:type="gramStart"/>
      <w:r>
        <w:t>In particular, casual</w:t>
      </w:r>
      <w:bookmarkEnd w:id="63"/>
      <w:proofErr w:type="gramEnd"/>
      <w:r>
        <w:t xml:space="preserve"> </w:t>
      </w:r>
      <w:r w:rsidR="007F57D4">
        <w:t xml:space="preserve">and part-time </w:t>
      </w:r>
      <w:r>
        <w:t xml:space="preserve">workers </w:t>
      </w:r>
      <w:r w:rsidR="23D16A7B">
        <w:t>were</w:t>
      </w:r>
      <w:r w:rsidR="22FD8352">
        <w:t xml:space="preserve"> </w:t>
      </w:r>
      <w:r>
        <w:t xml:space="preserve">granted a minimum </w:t>
      </w:r>
      <w:r w:rsidR="32F77E27">
        <w:t>two-hour</w:t>
      </w:r>
      <w:r>
        <w:t xml:space="preserve"> shift</w:t>
      </w:r>
      <w:r w:rsidR="32F77E27">
        <w:t xml:space="preserve"> </w:t>
      </w:r>
      <w:r w:rsidR="7007A715">
        <w:t>with</w:t>
      </w:r>
      <w:r w:rsidR="32F77E27">
        <w:t xml:space="preserve"> o</w:t>
      </w:r>
      <w:r>
        <w:t xml:space="preserve">ther changes </w:t>
      </w:r>
      <w:r w:rsidR="22FD8352">
        <w:t>includ</w:t>
      </w:r>
      <w:r w:rsidR="377BD7B9">
        <w:t>ing</w:t>
      </w:r>
      <w:r>
        <w:t xml:space="preserve"> increases in broken shift allowances, and on call and remote allowances.</w:t>
      </w:r>
      <w:r w:rsidR="74C74719">
        <w:t xml:space="preserve"> Information on the impacts of the SCHADS Award changes are still currently limited</w:t>
      </w:r>
      <w:r w:rsidR="36B76C2F">
        <w:t xml:space="preserve"> outside of qualitative feedback received and </w:t>
      </w:r>
      <w:r w:rsidR="5E38D5A6">
        <w:t>the</w:t>
      </w:r>
      <w:r w:rsidR="0E6D000B">
        <w:t xml:space="preserve"> </w:t>
      </w:r>
      <w:r w:rsidR="36B76C2F">
        <w:t>benchmarking survey conducted by Ability Roundtable</w:t>
      </w:r>
      <w:r w:rsidR="74C74719">
        <w:t>.</w:t>
      </w:r>
    </w:p>
    <w:p w14:paraId="2EB3BCEB" w14:textId="445C7749" w:rsidR="00086618" w:rsidRDefault="00086618" w:rsidP="0088343E">
      <w:r>
        <w:t xml:space="preserve">Most respondents </w:t>
      </w:r>
      <w:r w:rsidR="0088343E">
        <w:t xml:space="preserve">to the survey </w:t>
      </w:r>
      <w:r>
        <w:t xml:space="preserve">(62%) reported that responding to the SCHADS Award changes had necessitated staffing number increases. However, a minority (24%) reported that the changes had </w:t>
      </w:r>
      <w:r w:rsidR="00A43636">
        <w:t>resulted</w:t>
      </w:r>
      <w:r>
        <w:t xml:space="preserve"> in decreased staffing. </w:t>
      </w:r>
    </w:p>
    <w:p w14:paraId="3E2F9B79" w14:textId="33D592A5" w:rsidR="00086618" w:rsidRDefault="00086618" w:rsidP="00086618">
      <w:r>
        <w:t xml:space="preserve">Two thirds of respondents reported that their </w:t>
      </w:r>
      <w:r w:rsidR="00EC210E">
        <w:t>bottom-line</w:t>
      </w:r>
      <w:r>
        <w:t xml:space="preserve"> costs had increased </w:t>
      </w:r>
      <w:r w:rsidR="00EC210E">
        <w:t>because of</w:t>
      </w:r>
      <w:r>
        <w:t xml:space="preserve"> the SCHADS </w:t>
      </w:r>
      <w:r w:rsidR="00EC210E">
        <w:t xml:space="preserve">Award </w:t>
      </w:r>
      <w:r>
        <w:t xml:space="preserve">changes. Although it is worth noting that one third also reported that their costs had not increased </w:t>
      </w:r>
      <w:proofErr w:type="gramStart"/>
      <w:r w:rsidR="73DBC4E8" w:rsidDel="00DD3296">
        <w:t>as a result of</w:t>
      </w:r>
      <w:proofErr w:type="gramEnd"/>
      <w:r w:rsidR="73DBC4E8">
        <w:t xml:space="preserve"> </w:t>
      </w:r>
      <w:r>
        <w:t>the changes.</w:t>
      </w:r>
    </w:p>
    <w:p w14:paraId="09AEF9A0" w14:textId="77777777" w:rsidR="00030406" w:rsidRDefault="00030406" w:rsidP="00030406">
      <w:r>
        <w:lastRenderedPageBreak/>
        <w:t>For those respondents reporting cost increases from the SCHADS Award changes, the average cost increase was 2.4%, and the median 2.0%. (One statistical outlier was removed.)</w:t>
      </w:r>
    </w:p>
    <w:p w14:paraId="60CF3EF4" w14:textId="4CB5C672" w:rsidR="00030406" w:rsidRDefault="00030406" w:rsidP="00086618">
      <w:r>
        <w:t xml:space="preserve">Across all respondents, the average cost increase was 1.5% (median 0.5%). It should be considered </w:t>
      </w:r>
      <w:r w:rsidR="516FB094">
        <w:t xml:space="preserve">in the context of these </w:t>
      </w:r>
      <w:r>
        <w:t xml:space="preserve">survey </w:t>
      </w:r>
      <w:r w:rsidR="0512C381">
        <w:t>respondents,</w:t>
      </w:r>
      <w:r w:rsidR="2B068A25">
        <w:t xml:space="preserve"> </w:t>
      </w:r>
      <w:r>
        <w:t xml:space="preserve">as they may not be an accurate representation of the overall NDIS market. However, this information is still valuable for the Agency to understand the cost drivers, and how this might impact providers in general. </w:t>
      </w:r>
    </w:p>
    <w:p w14:paraId="231BF5BE" w14:textId="74F96104" w:rsidR="00EC210E" w:rsidRDefault="00086618" w:rsidP="00EC210E">
      <w:r>
        <w:t xml:space="preserve">40% of those who said their staff numbers had decreased </w:t>
      </w:r>
      <w:r w:rsidR="00EC210E">
        <w:t xml:space="preserve">also </w:t>
      </w:r>
      <w:r>
        <w:t xml:space="preserve">reported that their costs had increased. This implies that the </w:t>
      </w:r>
      <w:r w:rsidR="00EC210E">
        <w:t xml:space="preserve">SCHADS Award </w:t>
      </w:r>
      <w:r>
        <w:t xml:space="preserve">changes also increased costs other than those directly related to staff costs. For example, </w:t>
      </w:r>
      <w:r w:rsidR="00A43636">
        <w:t>a few</w:t>
      </w:r>
      <w:r>
        <w:t xml:space="preserve"> respondents indicated having to spend more on software for new rostering systems.</w:t>
      </w:r>
    </w:p>
    <w:p w14:paraId="27186696" w14:textId="605F1A75" w:rsidR="00086618" w:rsidRDefault="005A35DF" w:rsidP="00EC210E">
      <w:r>
        <w:t xml:space="preserve">A total of </w:t>
      </w:r>
      <w:r w:rsidR="00086618">
        <w:t>60% of those who reported that staffing numbers had decreased also reported that bottom line costs had not increased.  However, it is not possible to</w:t>
      </w:r>
      <w:r w:rsidR="00EC210E">
        <w:t xml:space="preserve"> determine</w:t>
      </w:r>
      <w:r w:rsidR="00086618">
        <w:t xml:space="preserve"> whether decreased staffing numbers translated into net cost savings, as the survey question only asked if costs had increased, not whether they had decreased.</w:t>
      </w:r>
    </w:p>
    <w:p w14:paraId="78640611" w14:textId="7DDD1906" w:rsidR="00086618" w:rsidRDefault="634F8DAE" w:rsidP="00086618">
      <w:r>
        <w:t>I</w:t>
      </w:r>
      <w:r w:rsidR="00086618">
        <w:t>t is important to distinguish between one-</w:t>
      </w:r>
      <w:r w:rsidR="6C9FDCFB">
        <w:t xml:space="preserve">off </w:t>
      </w:r>
      <w:r w:rsidR="00086618">
        <w:t xml:space="preserve">adjustment costs from implementing a change, and on-going costs </w:t>
      </w:r>
      <w:r w:rsidR="14D45DEE">
        <w:t>incurred</w:t>
      </w:r>
      <w:r w:rsidR="18AD0F8C">
        <w:t xml:space="preserve"> </w:t>
      </w:r>
      <w:r w:rsidR="00086618">
        <w:t xml:space="preserve">thereafter. The most common comment (33%) on why costs had increased following the </w:t>
      </w:r>
      <w:r w:rsidR="00A425B5">
        <w:t xml:space="preserve">SCHADS </w:t>
      </w:r>
      <w:r w:rsidR="00086618">
        <w:t>Award changes were one-offs. These included matters such as purchasing new software, retraining current employees on the new rules, and changing rosters. Conversely, only a small minority (18%) of explanations of cost increases mentioned the new minimum two</w:t>
      </w:r>
      <w:r w:rsidR="00A425B5">
        <w:t>-</w:t>
      </w:r>
      <w:r w:rsidR="00086618">
        <w:t>hour shift requirement, which is a permanent change.</w:t>
      </w:r>
    </w:p>
    <w:p w14:paraId="14E0F079" w14:textId="78A9D9F3" w:rsidR="00086618" w:rsidRDefault="0BF2BE43">
      <w:r>
        <w:t>In summary, data-based analysis from Ability Roundtable indicates that the estimated impact of SCHAD</w:t>
      </w:r>
      <w:r w:rsidR="7805FB2D">
        <w:t>S Award</w:t>
      </w:r>
      <w:r>
        <w:t xml:space="preserve"> changes on provider costs</w:t>
      </w:r>
      <w:r w:rsidR="55290D54">
        <w:t>, average impact is 1.5% of total costs,</w:t>
      </w:r>
      <w:r>
        <w:t xml:space="preserve"> was </w:t>
      </w:r>
      <w:bookmarkStart w:id="64" w:name="_Int_2VNeC6zc"/>
      <w:proofErr w:type="gramStart"/>
      <w:r w:rsidR="7805FB2D">
        <w:t>similar to</w:t>
      </w:r>
      <w:bookmarkEnd w:id="64"/>
      <w:proofErr w:type="gramEnd"/>
      <w:r w:rsidR="7805FB2D">
        <w:t xml:space="preserve"> what was anticipated </w:t>
      </w:r>
      <w:r>
        <w:t xml:space="preserve">by </w:t>
      </w:r>
      <w:r w:rsidR="7805FB2D">
        <w:t>the 2021-22</w:t>
      </w:r>
      <w:r>
        <w:t xml:space="preserve"> APR.</w:t>
      </w:r>
      <w:r w:rsidR="60E36AED">
        <w:t xml:space="preserve"> </w:t>
      </w:r>
      <w:r w:rsidR="193DC943">
        <w:t>It is also considered that much of</w:t>
      </w:r>
      <w:r w:rsidR="5DA0DB86">
        <w:t xml:space="preserve"> these costs </w:t>
      </w:r>
      <w:r w:rsidR="2C990600">
        <w:t xml:space="preserve">borne by providers are </w:t>
      </w:r>
      <w:bookmarkStart w:id="65" w:name="_Int_n3t7Ii1x"/>
      <w:r w:rsidR="2C990600">
        <w:t>likely</w:t>
      </w:r>
      <w:r w:rsidR="5DA0DB86">
        <w:t xml:space="preserve"> one-off</w:t>
      </w:r>
      <w:bookmarkEnd w:id="65"/>
      <w:r w:rsidR="5DA0DB86">
        <w:t xml:space="preserve"> adjust</w:t>
      </w:r>
      <w:r w:rsidR="2C990600">
        <w:t>ments</w:t>
      </w:r>
      <w:r w:rsidR="5DA0DB86">
        <w:t xml:space="preserve"> to the SCHADS Award</w:t>
      </w:r>
      <w:r w:rsidR="193DC943">
        <w:t xml:space="preserve"> changes.</w:t>
      </w:r>
      <w:r w:rsidR="5DA0DB86">
        <w:t xml:space="preserve"> </w:t>
      </w:r>
    </w:p>
    <w:p w14:paraId="4D0D56EF" w14:textId="3D87DCA1" w:rsidR="00FA277D" w:rsidRPr="00AB5934" w:rsidRDefault="00FA277D" w:rsidP="00D9646F">
      <w:pPr>
        <w:pStyle w:val="Heading3"/>
      </w:pPr>
      <w:r w:rsidRPr="00AB5934">
        <w:t>4.8</w:t>
      </w:r>
      <w:r w:rsidRPr="00AB5934">
        <w:tab/>
      </w:r>
      <w:r w:rsidRPr="00AB5934">
        <w:t>Increases</w:t>
      </w:r>
      <w:r w:rsidRPr="00AB5934">
        <w:t xml:space="preserve"> to superannuation contributions</w:t>
      </w:r>
    </w:p>
    <w:p w14:paraId="10258C6E" w14:textId="1B37F70C" w:rsidR="008E0CE2" w:rsidRPr="00013EEE" w:rsidRDefault="13481892" w:rsidP="008E0CE2">
      <w:r w:rsidRPr="00013EEE">
        <w:t xml:space="preserve">From 1 July 2023, employer superannuation contributions will rise from 10.5% of wages to </w:t>
      </w:r>
      <w:r w:rsidRPr="00EA574E">
        <w:t>11.0</w:t>
      </w:r>
      <w:r w:rsidR="56BD121C" w:rsidRPr="00EA574E">
        <w:t>%</w:t>
      </w:r>
      <w:r w:rsidR="56BD121C" w:rsidRPr="00013EEE">
        <w:t>.</w:t>
      </w:r>
      <w:r w:rsidR="00D55FA3">
        <w:rPr>
          <w:rStyle w:val="FootnoteReference"/>
        </w:rPr>
        <w:footnoteReference w:id="21"/>
      </w:r>
    </w:p>
    <w:p w14:paraId="735AC386" w14:textId="76F97B28" w:rsidR="00042297" w:rsidRPr="00D9646F" w:rsidRDefault="008E0CE2" w:rsidP="00A13748">
      <w:r w:rsidRPr="00013EEE">
        <w:rPr>
          <w:rFonts w:asciiTheme="majorHAnsi" w:eastAsia="Calibri" w:hAnsiTheme="majorHAnsi" w:cstheme="majorHAnsi"/>
          <w:szCs w:val="22"/>
          <w:lang w:val="en-US"/>
        </w:rPr>
        <w:t xml:space="preserve">Using the 2022-23 DSW Cost Model, the NDIA estimates this </w:t>
      </w:r>
      <w:r w:rsidRPr="00013EEE">
        <w:t xml:space="preserve">superannuation contribution </w:t>
      </w:r>
      <w:r w:rsidRPr="00013EEE">
        <w:t>increase</w:t>
      </w:r>
      <w:r w:rsidRPr="00013EEE">
        <w:t xml:space="preserve"> </w:t>
      </w:r>
      <w:r w:rsidRPr="00013EEE">
        <w:rPr>
          <w:rFonts w:asciiTheme="majorHAnsi" w:eastAsia="Calibri" w:hAnsiTheme="majorHAnsi" w:cstheme="majorHAnsi"/>
          <w:szCs w:val="22"/>
          <w:lang w:val="en-US"/>
        </w:rPr>
        <w:t xml:space="preserve">to be, holding everything else constant, a </w:t>
      </w:r>
      <w:r w:rsidRPr="00013EEE">
        <w:t xml:space="preserve">raise to the cost of a standard hour of disability support worker supports from $62.17 to $62.45, or </w:t>
      </w:r>
      <w:r w:rsidRPr="00EA574E">
        <w:t>a</w:t>
      </w:r>
      <w:r w:rsidRPr="00EA574E">
        <w:t>n increase</w:t>
      </w:r>
      <w:r w:rsidRPr="00EA574E">
        <w:t xml:space="preserve"> of 0.45%</w:t>
      </w:r>
    </w:p>
    <w:p w14:paraId="6DCFEC97" w14:textId="73350F2C" w:rsidR="00042297" w:rsidRPr="00DE5F50" w:rsidRDefault="00042297" w:rsidP="00D9646F">
      <w:pPr>
        <w:pStyle w:val="Heading3"/>
      </w:pPr>
      <w:r w:rsidRPr="00DE5F50">
        <w:t>4.9</w:t>
      </w:r>
      <w:r w:rsidRPr="00DE5F50">
        <w:tab/>
        <w:t>Impact of the new domestic and family leave reforms</w:t>
      </w:r>
    </w:p>
    <w:p w14:paraId="171F04D7" w14:textId="7C0BDAA5" w:rsidR="00E94826" w:rsidRPr="00666EC6" w:rsidRDefault="00E94826" w:rsidP="00A13748">
      <w:pPr>
        <w:rPr>
          <w:rFonts w:asciiTheme="majorHAnsi" w:hAnsiTheme="majorHAnsi" w:cstheme="majorBidi"/>
        </w:rPr>
      </w:pPr>
      <w:r w:rsidRPr="65FF07DD">
        <w:rPr>
          <w:rFonts w:asciiTheme="majorHAnsi" w:eastAsia="Calibri" w:hAnsiTheme="majorHAnsi" w:cstheme="majorBidi"/>
          <w:lang w:val="en-US"/>
        </w:rPr>
        <w:t xml:space="preserve">The Australian Government has introduced paid family and domestic violence leave for all employees. Across Australia from 1 February 2023, employees of non-small business employers (15 or more employees) can access a minimum of 10 days of paid family and domestic violence leave in a 12-month period. Employees of small businesses will be able to access the same family and domestic violence leave entitlements from 1 August 2023. This is available to full-time, </w:t>
      </w:r>
      <w:proofErr w:type="gramStart"/>
      <w:r w:rsidRPr="65FF07DD">
        <w:rPr>
          <w:rFonts w:asciiTheme="majorHAnsi" w:eastAsia="Calibri" w:hAnsiTheme="majorHAnsi" w:cstheme="majorBidi"/>
          <w:lang w:val="en-US"/>
        </w:rPr>
        <w:t>part-time</w:t>
      </w:r>
      <w:proofErr w:type="gramEnd"/>
      <w:r w:rsidRPr="65FF07DD">
        <w:rPr>
          <w:rFonts w:asciiTheme="majorHAnsi" w:eastAsia="Calibri" w:hAnsiTheme="majorHAnsi" w:cstheme="majorBidi"/>
          <w:lang w:val="en-US"/>
        </w:rPr>
        <w:t xml:space="preserve"> and casual employees but will not be pro-rated for part-time or casual employees.</w:t>
      </w:r>
      <w:r w:rsidR="00666EC6" w:rsidRPr="65FF07DD">
        <w:rPr>
          <w:rFonts w:asciiTheme="majorHAnsi" w:hAnsiTheme="majorHAnsi" w:cstheme="majorBidi"/>
        </w:rPr>
        <w:t xml:space="preserve"> </w:t>
      </w:r>
      <w:r w:rsidRPr="65FF07DD">
        <w:rPr>
          <w:rFonts w:asciiTheme="majorHAnsi" w:eastAsia="Calibri" w:hAnsiTheme="majorHAnsi" w:cstheme="majorBidi"/>
          <w:lang w:val="en-US"/>
        </w:rPr>
        <w:t xml:space="preserve">For more information see the Fair Work Ombudsman’s </w:t>
      </w:r>
      <w:hyperlink r:id="rId29">
        <w:r w:rsidRPr="65FF07DD">
          <w:rPr>
            <w:rStyle w:val="Hyperlink"/>
            <w:rFonts w:asciiTheme="majorHAnsi" w:eastAsia="Calibri" w:hAnsiTheme="majorHAnsi" w:cstheme="majorBidi"/>
            <w:lang w:val="en-US"/>
          </w:rPr>
          <w:t>Family and Domestic Violence Leave page</w:t>
        </w:r>
      </w:hyperlink>
      <w:r w:rsidRPr="65FF07DD">
        <w:rPr>
          <w:rFonts w:asciiTheme="majorHAnsi" w:eastAsia="Calibri" w:hAnsiTheme="majorHAnsi" w:cstheme="majorBidi"/>
          <w:lang w:val="en-US"/>
        </w:rPr>
        <w:t>.</w:t>
      </w:r>
    </w:p>
    <w:p w14:paraId="706E554B" w14:textId="6CEDF592" w:rsidR="008E0CE2" w:rsidRPr="00455C66" w:rsidRDefault="00E94826" w:rsidP="008E0CE2">
      <w:pPr>
        <w:rPr>
          <w:rFonts w:asciiTheme="majorHAnsi" w:eastAsia="Calibri" w:hAnsiTheme="majorHAnsi" w:cstheme="majorHAnsi"/>
          <w:szCs w:val="22"/>
          <w:lang w:val="en-US"/>
        </w:rPr>
      </w:pPr>
      <w:r w:rsidRPr="4596552B">
        <w:rPr>
          <w:rFonts w:asciiTheme="majorHAnsi" w:eastAsia="Calibri" w:hAnsiTheme="majorHAnsi" w:cstheme="majorBidi"/>
          <w:lang w:val="en-US"/>
        </w:rPr>
        <w:lastRenderedPageBreak/>
        <w:t xml:space="preserve">Previous surveys and studies provide a useful reference point, </w:t>
      </w:r>
      <w:r w:rsidRPr="4596552B">
        <w:rPr>
          <w:rFonts w:asciiTheme="majorHAnsi" w:eastAsia="Arial" w:hAnsiTheme="majorHAnsi" w:cstheme="majorBidi"/>
          <w:lang w:val="en-US"/>
        </w:rPr>
        <w:t>with an estimate take up of family and domestic violence leave of 0.</w:t>
      </w:r>
      <w:r w:rsidR="00AA08AD" w:rsidRPr="4596552B">
        <w:rPr>
          <w:rFonts w:asciiTheme="majorHAnsi" w:eastAsia="Arial" w:hAnsiTheme="majorHAnsi" w:cstheme="majorBidi"/>
          <w:lang w:val="en-US"/>
        </w:rPr>
        <w:t>0</w:t>
      </w:r>
      <w:r w:rsidRPr="4596552B">
        <w:rPr>
          <w:rFonts w:asciiTheme="majorHAnsi" w:eastAsia="Arial" w:hAnsiTheme="majorHAnsi" w:cstheme="majorBidi"/>
          <w:lang w:val="en-US"/>
        </w:rPr>
        <w:t xml:space="preserve">5% to 0.8% of employees. </w:t>
      </w:r>
      <w:r w:rsidR="008E0CE2">
        <w:rPr>
          <w:rFonts w:asciiTheme="majorHAnsi" w:eastAsia="Calibri" w:hAnsiTheme="majorHAnsi" w:cstheme="majorHAnsi"/>
          <w:szCs w:val="22"/>
          <w:lang w:val="en-US"/>
        </w:rPr>
        <w:t>See Appendix B for more information on NDIA review of information on prevalence of domestic violence and surveys conducted on the utilisation of this leave in Australia.</w:t>
      </w:r>
    </w:p>
    <w:p w14:paraId="1353649F" w14:textId="4C75F136" w:rsidR="00805C45" w:rsidRDefault="36C27BCB" w:rsidP="45B7FFF7">
      <w:pPr>
        <w:rPr>
          <w:rFonts w:asciiTheme="majorHAnsi" w:eastAsia="Arial" w:hAnsiTheme="majorHAnsi" w:cstheme="majorBidi"/>
          <w:lang w:val="en-US"/>
        </w:rPr>
      </w:pPr>
      <w:r w:rsidRPr="45B7FFF7">
        <w:rPr>
          <w:rFonts w:asciiTheme="majorHAnsi" w:eastAsia="Arial" w:hAnsiTheme="majorHAnsi" w:cstheme="majorBidi"/>
          <w:lang w:val="en-US"/>
        </w:rPr>
        <w:t xml:space="preserve">In their submission the </w:t>
      </w:r>
      <w:r w:rsidR="01C55CB3" w:rsidRPr="45B7FFF7">
        <w:rPr>
          <w:rFonts w:asciiTheme="majorHAnsi" w:eastAsia="Arial" w:hAnsiTheme="majorHAnsi" w:cstheme="majorBidi"/>
          <w:lang w:val="en-US"/>
        </w:rPr>
        <w:t>Australian Services Union</w:t>
      </w:r>
      <w:r w:rsidRPr="45B7FFF7">
        <w:rPr>
          <w:rFonts w:asciiTheme="majorHAnsi" w:eastAsia="Arial" w:hAnsiTheme="majorHAnsi" w:cstheme="majorBidi"/>
          <w:lang w:val="en-US"/>
        </w:rPr>
        <w:t xml:space="preserve"> suggested </w:t>
      </w:r>
      <w:r w:rsidR="47814AD7" w:rsidRPr="45B7FFF7">
        <w:rPr>
          <w:rFonts w:asciiTheme="majorHAnsi" w:eastAsia="Arial" w:hAnsiTheme="majorHAnsi" w:cstheme="majorBidi"/>
          <w:lang w:val="en-US"/>
        </w:rPr>
        <w:t xml:space="preserve">the use of a take up rate of 0.05% of employees, referencing </w:t>
      </w:r>
      <w:r w:rsidR="0800DB27" w:rsidRPr="45B7FFF7">
        <w:rPr>
          <w:rFonts w:asciiTheme="majorHAnsi" w:eastAsia="Arial" w:hAnsiTheme="majorHAnsi" w:cstheme="majorBidi"/>
          <w:lang w:val="en-US"/>
        </w:rPr>
        <w:t>the</w:t>
      </w:r>
      <w:r w:rsidR="47814AD7" w:rsidRPr="45B7FFF7">
        <w:rPr>
          <w:rFonts w:asciiTheme="majorHAnsi" w:eastAsia="Arial" w:hAnsiTheme="majorHAnsi" w:cstheme="majorBidi"/>
          <w:lang w:val="en-US"/>
        </w:rPr>
        <w:t xml:space="preserve"> </w:t>
      </w:r>
      <w:r w:rsidR="6A305998" w:rsidRPr="45B7FFF7">
        <w:rPr>
          <w:rFonts w:asciiTheme="majorHAnsi" w:eastAsia="Arial" w:hAnsiTheme="majorHAnsi" w:cstheme="majorBidi"/>
          <w:lang w:val="en-US"/>
        </w:rPr>
        <w:t>Fair Work Commission</w:t>
      </w:r>
      <w:r w:rsidR="0800DB27" w:rsidRPr="45B7FFF7">
        <w:rPr>
          <w:rFonts w:asciiTheme="majorHAnsi" w:eastAsia="Arial" w:hAnsiTheme="majorHAnsi" w:cstheme="majorBidi"/>
          <w:lang w:val="en-US"/>
        </w:rPr>
        <w:t>’s</w:t>
      </w:r>
      <w:r w:rsidR="6A305998" w:rsidRPr="45B7FFF7">
        <w:rPr>
          <w:rFonts w:asciiTheme="majorHAnsi" w:eastAsia="Arial" w:hAnsiTheme="majorHAnsi" w:cstheme="majorBidi"/>
          <w:lang w:val="en-US"/>
        </w:rPr>
        <w:t xml:space="preserve"> Survey</w:t>
      </w:r>
      <w:r w:rsidR="00E46059">
        <w:rPr>
          <w:rStyle w:val="FootnoteReference"/>
          <w:rFonts w:asciiTheme="majorHAnsi" w:eastAsia="Arial" w:hAnsiTheme="majorHAnsi" w:cstheme="majorBidi"/>
          <w:lang w:val="en-US"/>
        </w:rPr>
        <w:footnoteReference w:id="22"/>
      </w:r>
      <w:r w:rsidR="0B0D619B" w:rsidRPr="45B7FFF7">
        <w:rPr>
          <w:rFonts w:asciiTheme="majorHAnsi" w:eastAsia="Arial" w:hAnsiTheme="majorHAnsi" w:cstheme="majorBidi"/>
          <w:lang w:val="en-US"/>
        </w:rPr>
        <w:t xml:space="preserve">. </w:t>
      </w:r>
      <w:r w:rsidR="31D0A9BE" w:rsidRPr="45B7FFF7">
        <w:rPr>
          <w:rFonts w:asciiTheme="majorHAnsi" w:eastAsia="Arial" w:hAnsiTheme="majorHAnsi" w:cstheme="majorBidi"/>
          <w:lang w:val="en-US"/>
        </w:rPr>
        <w:t xml:space="preserve">Note, </w:t>
      </w:r>
      <w:r w:rsidR="0B0D619B" w:rsidRPr="45B7FFF7">
        <w:rPr>
          <w:rFonts w:asciiTheme="majorHAnsi" w:eastAsia="Arial" w:hAnsiTheme="majorHAnsi" w:cstheme="majorBidi"/>
          <w:lang w:val="en-US"/>
        </w:rPr>
        <w:t xml:space="preserve">this figure </w:t>
      </w:r>
      <w:r w:rsidR="0E126378" w:rsidRPr="45B7FFF7">
        <w:rPr>
          <w:rFonts w:asciiTheme="majorHAnsi" w:eastAsia="Arial" w:hAnsiTheme="majorHAnsi" w:cstheme="majorBidi"/>
          <w:lang w:val="en-US"/>
        </w:rPr>
        <w:t>considers</w:t>
      </w:r>
      <w:r w:rsidR="48BCFA70" w:rsidRPr="45B7FFF7">
        <w:rPr>
          <w:rFonts w:asciiTheme="majorHAnsi" w:eastAsia="Arial" w:hAnsiTheme="majorHAnsi" w:cstheme="majorBidi"/>
          <w:lang w:val="en-US"/>
        </w:rPr>
        <w:t xml:space="preserve"> the </w:t>
      </w:r>
      <w:r w:rsidR="69180C54" w:rsidRPr="45B7FFF7">
        <w:rPr>
          <w:rFonts w:asciiTheme="majorHAnsi" w:eastAsia="Arial" w:hAnsiTheme="majorHAnsi" w:cstheme="majorBidi"/>
          <w:lang w:val="en-US"/>
        </w:rPr>
        <w:t>take-up</w:t>
      </w:r>
      <w:r w:rsidR="48BCFA70" w:rsidRPr="45B7FFF7">
        <w:rPr>
          <w:rFonts w:asciiTheme="majorHAnsi" w:eastAsia="Arial" w:hAnsiTheme="majorHAnsi" w:cstheme="majorBidi"/>
          <w:lang w:val="en-US"/>
        </w:rPr>
        <w:t xml:space="preserve"> of </w:t>
      </w:r>
      <w:r w:rsidR="050104EF" w:rsidRPr="45B7FFF7">
        <w:rPr>
          <w:rFonts w:asciiTheme="majorHAnsi" w:eastAsia="Arial" w:hAnsiTheme="majorHAnsi" w:cstheme="majorBidi"/>
          <w:lang w:val="en-US"/>
        </w:rPr>
        <w:t xml:space="preserve">unpaid leave, which may not be </w:t>
      </w:r>
      <w:r w:rsidR="0E126378" w:rsidRPr="45B7FFF7">
        <w:rPr>
          <w:rFonts w:asciiTheme="majorHAnsi" w:eastAsia="Arial" w:hAnsiTheme="majorHAnsi" w:cstheme="majorBidi"/>
          <w:lang w:val="en-US"/>
        </w:rPr>
        <w:t>reflective of</w:t>
      </w:r>
      <w:r w:rsidR="5B2E9840" w:rsidRPr="45B7FFF7">
        <w:rPr>
          <w:rFonts w:asciiTheme="majorHAnsi" w:eastAsia="Arial" w:hAnsiTheme="majorHAnsi" w:cstheme="majorBidi"/>
          <w:lang w:val="en-US"/>
        </w:rPr>
        <w:t xml:space="preserve"> </w:t>
      </w:r>
      <w:r w:rsidR="014C64BB" w:rsidRPr="45B7FFF7">
        <w:rPr>
          <w:rFonts w:asciiTheme="majorHAnsi" w:eastAsia="Arial" w:hAnsiTheme="majorHAnsi" w:cstheme="majorBidi"/>
          <w:lang w:val="en-US"/>
        </w:rPr>
        <w:t>take-up</w:t>
      </w:r>
      <w:r w:rsidR="5B2E9840" w:rsidRPr="45B7FFF7">
        <w:rPr>
          <w:rFonts w:asciiTheme="majorHAnsi" w:eastAsia="Arial" w:hAnsiTheme="majorHAnsi" w:cstheme="majorBidi"/>
          <w:lang w:val="en-US"/>
        </w:rPr>
        <w:t xml:space="preserve"> </w:t>
      </w:r>
      <w:r w:rsidR="0F27A690" w:rsidRPr="45B7FFF7">
        <w:rPr>
          <w:rFonts w:asciiTheme="majorHAnsi" w:eastAsia="Arial" w:hAnsiTheme="majorHAnsi" w:cstheme="majorBidi"/>
          <w:lang w:val="en-US"/>
        </w:rPr>
        <w:t>for</w:t>
      </w:r>
      <w:r w:rsidR="050104EF" w:rsidRPr="45B7FFF7">
        <w:rPr>
          <w:rFonts w:asciiTheme="majorHAnsi" w:eastAsia="Arial" w:hAnsiTheme="majorHAnsi" w:cstheme="majorBidi"/>
          <w:lang w:val="en-US"/>
        </w:rPr>
        <w:t xml:space="preserve"> paid </w:t>
      </w:r>
      <w:r w:rsidR="0F27A690" w:rsidRPr="45B7FFF7">
        <w:rPr>
          <w:rFonts w:asciiTheme="majorHAnsi" w:eastAsia="Arial" w:hAnsiTheme="majorHAnsi" w:cstheme="majorBidi"/>
          <w:lang w:val="en-US"/>
        </w:rPr>
        <w:t>leave</w:t>
      </w:r>
      <w:r w:rsidR="050104EF" w:rsidRPr="45B7FFF7">
        <w:rPr>
          <w:rFonts w:asciiTheme="majorHAnsi" w:eastAsia="Arial" w:hAnsiTheme="majorHAnsi" w:cstheme="majorBidi"/>
          <w:lang w:val="en-US"/>
        </w:rPr>
        <w:t xml:space="preserve">. </w:t>
      </w:r>
    </w:p>
    <w:p w14:paraId="5FBB01FC" w14:textId="7A19993D" w:rsidR="00E94826" w:rsidRPr="008E0CE2" w:rsidRDefault="2A8A738F" w:rsidP="24862EB2">
      <w:pPr>
        <w:rPr>
          <w:rFonts w:asciiTheme="majorHAnsi" w:eastAsia="Calibri" w:hAnsiTheme="majorHAnsi" w:cstheme="majorBidi"/>
          <w:lang w:val="en-US"/>
        </w:rPr>
      </w:pPr>
      <w:r w:rsidRPr="24862EB2">
        <w:rPr>
          <w:rFonts w:asciiTheme="majorHAnsi" w:eastAsia="Arial" w:hAnsiTheme="majorHAnsi" w:cstheme="majorBidi"/>
          <w:lang w:val="en-US"/>
        </w:rPr>
        <w:t>T</w:t>
      </w:r>
      <w:r w:rsidRPr="24862EB2">
        <w:rPr>
          <w:rFonts w:asciiTheme="majorHAnsi" w:eastAsia="Calibri" w:hAnsiTheme="majorHAnsi" w:cstheme="majorBidi"/>
          <w:lang w:val="en-US"/>
        </w:rPr>
        <w:t xml:space="preserve">here is consideration that reported figures may be an </w:t>
      </w:r>
      <w:r w:rsidR="4FCD40A3" w:rsidRPr="24862EB2">
        <w:rPr>
          <w:rFonts w:asciiTheme="majorHAnsi" w:eastAsia="Calibri" w:hAnsiTheme="majorHAnsi" w:cstheme="majorBidi"/>
          <w:lang w:val="en-US"/>
        </w:rPr>
        <w:t>underestimate</w:t>
      </w:r>
      <w:r w:rsidRPr="24862EB2">
        <w:rPr>
          <w:rFonts w:asciiTheme="majorHAnsi" w:eastAsia="Calibri" w:hAnsiTheme="majorHAnsi" w:cstheme="majorBidi"/>
          <w:lang w:val="en-US"/>
        </w:rPr>
        <w:t xml:space="preserve"> of future adoption of the family and domestic violence leave by workers. </w:t>
      </w:r>
      <w:r w:rsidR="1F7BD762" w:rsidRPr="24862EB2">
        <w:rPr>
          <w:rFonts w:asciiTheme="majorHAnsi" w:eastAsia="Calibri" w:hAnsiTheme="majorHAnsi" w:cstheme="majorBidi"/>
          <w:lang w:val="en-US"/>
        </w:rPr>
        <w:t>Country wide</w:t>
      </w:r>
      <w:r w:rsidRPr="24862EB2">
        <w:rPr>
          <w:rFonts w:asciiTheme="majorHAnsi" w:eastAsia="Calibri" w:hAnsiTheme="majorHAnsi" w:cstheme="majorBidi"/>
          <w:lang w:val="en-US"/>
        </w:rPr>
        <w:t xml:space="preserve"> adoption of family and domestic violence leave will </w:t>
      </w:r>
      <w:bookmarkStart w:id="66" w:name="_Int_GLK55cxV"/>
      <w:r w:rsidRPr="24862EB2">
        <w:rPr>
          <w:rFonts w:asciiTheme="majorHAnsi" w:eastAsia="Calibri" w:hAnsiTheme="majorHAnsi" w:cstheme="majorBidi"/>
          <w:lang w:val="en-US"/>
        </w:rPr>
        <w:t>likely result</w:t>
      </w:r>
      <w:bookmarkEnd w:id="66"/>
      <w:r w:rsidRPr="24862EB2">
        <w:rPr>
          <w:rFonts w:asciiTheme="majorHAnsi" w:eastAsia="Calibri" w:hAnsiTheme="majorHAnsi" w:cstheme="majorBidi"/>
          <w:lang w:val="en-US"/>
        </w:rPr>
        <w:t xml:space="preserve"> in </w:t>
      </w:r>
      <w:r w:rsidR="1F7BD762" w:rsidRPr="24862EB2">
        <w:rPr>
          <w:rFonts w:asciiTheme="majorHAnsi" w:eastAsia="Calibri" w:hAnsiTheme="majorHAnsi" w:cstheme="majorBidi"/>
          <w:lang w:val="en-US"/>
        </w:rPr>
        <w:t>Domestic and Family Violence</w:t>
      </w:r>
      <w:r w:rsidRPr="24862EB2">
        <w:rPr>
          <w:rFonts w:asciiTheme="majorHAnsi" w:eastAsia="Calibri" w:hAnsiTheme="majorHAnsi" w:cstheme="majorBidi"/>
          <w:lang w:val="en-US"/>
        </w:rPr>
        <w:t xml:space="preserve"> leave being more widely known and better understood, </w:t>
      </w:r>
      <w:r w:rsidR="1F7BD762" w:rsidRPr="24862EB2">
        <w:rPr>
          <w:rFonts w:asciiTheme="majorHAnsi" w:eastAsia="Calibri" w:hAnsiTheme="majorHAnsi" w:cstheme="majorBidi"/>
          <w:lang w:val="en-US"/>
        </w:rPr>
        <w:t xml:space="preserve">which may </w:t>
      </w:r>
      <w:r w:rsidR="5CC9D76C" w:rsidRPr="24862EB2">
        <w:rPr>
          <w:rFonts w:asciiTheme="majorHAnsi" w:eastAsia="Calibri" w:hAnsiTheme="majorHAnsi" w:cstheme="majorBidi"/>
          <w:lang w:val="en-US"/>
        </w:rPr>
        <w:t>reduc</w:t>
      </w:r>
      <w:r w:rsidR="1F7BD762" w:rsidRPr="24862EB2">
        <w:rPr>
          <w:rFonts w:asciiTheme="majorHAnsi" w:eastAsia="Calibri" w:hAnsiTheme="majorHAnsi" w:cstheme="majorBidi"/>
          <w:lang w:val="en-US"/>
        </w:rPr>
        <w:t>e</w:t>
      </w:r>
      <w:r w:rsidR="5CC9D76C" w:rsidRPr="24862EB2">
        <w:rPr>
          <w:rFonts w:asciiTheme="majorHAnsi" w:eastAsia="Calibri" w:hAnsiTheme="majorHAnsi" w:cstheme="majorBidi"/>
          <w:lang w:val="en-US"/>
        </w:rPr>
        <w:t xml:space="preserve"> the</w:t>
      </w:r>
      <w:r w:rsidRPr="24862EB2">
        <w:rPr>
          <w:rFonts w:asciiTheme="majorHAnsi" w:eastAsia="Calibri" w:hAnsiTheme="majorHAnsi" w:cstheme="majorBidi"/>
          <w:lang w:val="en-US"/>
        </w:rPr>
        <w:t xml:space="preserve"> stigma associated with accessing this type of leave. </w:t>
      </w:r>
    </w:p>
    <w:p w14:paraId="7D3908DD" w14:textId="66C715D8" w:rsidR="00E94826" w:rsidRPr="008E0CE2" w:rsidRDefault="00E94826" w:rsidP="00A13748">
      <w:pPr>
        <w:rPr>
          <w:rFonts w:asciiTheme="majorHAnsi" w:eastAsia="Calibri" w:hAnsiTheme="majorHAnsi" w:cstheme="majorBidi"/>
          <w:lang w:val="en-US"/>
        </w:rPr>
      </w:pPr>
      <w:r w:rsidRPr="07E4116E">
        <w:rPr>
          <w:rFonts w:asciiTheme="majorHAnsi" w:eastAsia="Calibri" w:hAnsiTheme="majorHAnsi" w:cstheme="majorBidi"/>
          <w:lang w:val="en-US"/>
        </w:rPr>
        <w:t>Additionally, given the NDIS workforce is highly skewed toward</w:t>
      </w:r>
      <w:r w:rsidR="00C80294">
        <w:rPr>
          <w:rFonts w:asciiTheme="majorHAnsi" w:eastAsia="Calibri" w:hAnsiTheme="majorHAnsi" w:cstheme="majorBidi"/>
          <w:lang w:val="en-US"/>
        </w:rPr>
        <w:t xml:space="preserve"> </w:t>
      </w:r>
      <w:r w:rsidR="05A30957" w:rsidRPr="07E4116E">
        <w:rPr>
          <w:rFonts w:asciiTheme="majorHAnsi" w:eastAsia="Calibri" w:hAnsiTheme="majorHAnsi" w:cstheme="majorBidi"/>
          <w:lang w:val="en-US"/>
        </w:rPr>
        <w:t xml:space="preserve">female </w:t>
      </w:r>
      <w:r w:rsidRPr="07E4116E">
        <w:rPr>
          <w:rFonts w:asciiTheme="majorHAnsi" w:eastAsia="Calibri" w:hAnsiTheme="majorHAnsi" w:cstheme="majorBidi"/>
          <w:lang w:val="en-US"/>
        </w:rPr>
        <w:t xml:space="preserve">employees (77% from the 2021 Australian Census survey), consideration is given </w:t>
      </w:r>
      <w:r w:rsidR="00840CB5" w:rsidRPr="07E4116E">
        <w:rPr>
          <w:rFonts w:asciiTheme="majorHAnsi" w:eastAsia="Calibri" w:hAnsiTheme="majorHAnsi" w:cstheme="majorBidi"/>
          <w:lang w:val="en-US"/>
        </w:rPr>
        <w:t>to the</w:t>
      </w:r>
      <w:r w:rsidRPr="07E4116E">
        <w:rPr>
          <w:rFonts w:asciiTheme="majorHAnsi" w:eastAsia="Calibri" w:hAnsiTheme="majorHAnsi" w:cstheme="majorBidi"/>
          <w:lang w:val="en-US"/>
        </w:rPr>
        <w:t xml:space="preserve"> higher likelihood of those identifying as women experiencing violence and/or abuse.</w:t>
      </w:r>
    </w:p>
    <w:p w14:paraId="755EF4D4" w14:textId="6B61B327" w:rsidR="00E94826" w:rsidRPr="0000066D" w:rsidRDefault="00E94826" w:rsidP="00A13748">
      <w:pPr>
        <w:rPr>
          <w:rFonts w:asciiTheme="majorHAnsi" w:eastAsia="Arial" w:hAnsiTheme="majorHAnsi" w:cstheme="majorHAnsi"/>
          <w:szCs w:val="22"/>
          <w:lang w:val="en-US"/>
        </w:rPr>
      </w:pPr>
      <w:r w:rsidRPr="0000066D">
        <w:rPr>
          <w:rFonts w:asciiTheme="majorHAnsi" w:eastAsia="Arial" w:hAnsiTheme="majorHAnsi" w:cstheme="majorHAnsi"/>
          <w:szCs w:val="22"/>
          <w:lang w:val="en-US"/>
        </w:rPr>
        <w:t xml:space="preserve">On balance, the NDIA estimates an </w:t>
      </w:r>
      <w:r w:rsidR="001D4DD0" w:rsidRPr="0000066D">
        <w:rPr>
          <w:rFonts w:asciiTheme="majorHAnsi" w:eastAsia="Arial" w:hAnsiTheme="majorHAnsi" w:cstheme="majorHAnsi"/>
          <w:szCs w:val="22"/>
          <w:lang w:val="en-US"/>
        </w:rPr>
        <w:t xml:space="preserve">upper bound </w:t>
      </w:r>
      <w:r w:rsidR="00AB0CA0" w:rsidRPr="0000066D">
        <w:rPr>
          <w:rFonts w:asciiTheme="majorHAnsi" w:eastAsia="Arial" w:hAnsiTheme="majorHAnsi" w:cstheme="majorHAnsi"/>
          <w:szCs w:val="22"/>
          <w:lang w:val="en-US"/>
        </w:rPr>
        <w:t>on the</w:t>
      </w:r>
      <w:r w:rsidR="001D4DD0" w:rsidRPr="0000066D">
        <w:rPr>
          <w:rFonts w:asciiTheme="majorHAnsi" w:eastAsia="Arial" w:hAnsiTheme="majorHAnsi" w:cstheme="majorHAnsi"/>
          <w:szCs w:val="22"/>
          <w:lang w:val="en-US"/>
        </w:rPr>
        <w:t xml:space="preserve"> </w:t>
      </w:r>
      <w:r w:rsidRPr="0000066D">
        <w:rPr>
          <w:rFonts w:asciiTheme="majorHAnsi" w:eastAsia="Arial" w:hAnsiTheme="majorHAnsi" w:cstheme="majorHAnsi"/>
          <w:szCs w:val="22"/>
          <w:lang w:val="en-US"/>
        </w:rPr>
        <w:t xml:space="preserve">average number of workers accessing family and domestic violence leave to be </w:t>
      </w:r>
      <w:r w:rsidRPr="00EA574E">
        <w:rPr>
          <w:rFonts w:asciiTheme="majorHAnsi" w:eastAsia="Arial" w:hAnsiTheme="majorHAnsi" w:cstheme="majorHAnsi"/>
          <w:szCs w:val="22"/>
          <w:lang w:val="en-US"/>
        </w:rPr>
        <w:t>2.3%</w:t>
      </w:r>
      <w:r w:rsidRPr="0000066D">
        <w:rPr>
          <w:rFonts w:asciiTheme="majorHAnsi" w:eastAsia="Arial" w:hAnsiTheme="majorHAnsi" w:cstheme="majorHAnsi"/>
          <w:szCs w:val="22"/>
          <w:lang w:val="en-US"/>
        </w:rPr>
        <w:t xml:space="preserve">, with those accessing the leave assumed to be accessing the entire minimum entitlement. </w:t>
      </w:r>
    </w:p>
    <w:p w14:paraId="2F6ACB2B" w14:textId="6BC62FE8" w:rsidR="00E94826" w:rsidRPr="0000066D" w:rsidRDefault="00E94826" w:rsidP="00A13748">
      <w:pPr>
        <w:rPr>
          <w:rFonts w:asciiTheme="majorHAnsi" w:eastAsia="Calibri" w:hAnsiTheme="majorHAnsi" w:cstheme="majorHAnsi"/>
          <w:szCs w:val="22"/>
          <w:lang w:val="en-US"/>
        </w:rPr>
      </w:pPr>
      <w:r w:rsidRPr="0000066D">
        <w:rPr>
          <w:rFonts w:asciiTheme="majorHAnsi" w:eastAsia="Calibri" w:hAnsiTheme="majorHAnsi" w:cstheme="majorHAnsi"/>
          <w:szCs w:val="22"/>
          <w:lang w:val="en-US"/>
        </w:rPr>
        <w:t>Using the 2022-23 DSW Cost Model, the NDIA estimates</w:t>
      </w:r>
      <w:r w:rsidR="00700CD8" w:rsidRPr="0000066D">
        <w:rPr>
          <w:rFonts w:asciiTheme="majorHAnsi" w:eastAsia="Calibri" w:hAnsiTheme="majorHAnsi" w:cstheme="majorHAnsi"/>
          <w:szCs w:val="22"/>
          <w:lang w:val="en-US"/>
        </w:rPr>
        <w:t xml:space="preserve"> this to be</w:t>
      </w:r>
      <w:r w:rsidR="00D51A44" w:rsidRPr="0000066D">
        <w:rPr>
          <w:rFonts w:asciiTheme="majorHAnsi" w:eastAsia="Calibri" w:hAnsiTheme="majorHAnsi" w:cstheme="majorHAnsi"/>
          <w:szCs w:val="22"/>
          <w:lang w:val="en-US"/>
        </w:rPr>
        <w:t>, holding everything else constant,</w:t>
      </w:r>
      <w:r w:rsidRPr="0000066D">
        <w:rPr>
          <w:rFonts w:asciiTheme="majorHAnsi" w:eastAsia="Calibri" w:hAnsiTheme="majorHAnsi" w:cstheme="majorHAnsi"/>
          <w:szCs w:val="22"/>
          <w:lang w:val="en-US"/>
        </w:rPr>
        <w:t xml:space="preserve"> a</w:t>
      </w:r>
      <w:r w:rsidRPr="0000066D">
        <w:rPr>
          <w:rFonts w:asciiTheme="majorHAnsi" w:eastAsia="Calibri" w:hAnsiTheme="majorHAnsi" w:cstheme="majorHAnsi"/>
          <w:szCs w:val="22"/>
          <w:lang w:val="en-US"/>
        </w:rPr>
        <w:t>n increase</w:t>
      </w:r>
      <w:r w:rsidRPr="0000066D">
        <w:rPr>
          <w:rFonts w:asciiTheme="majorHAnsi" w:eastAsia="Calibri" w:hAnsiTheme="majorHAnsi" w:cstheme="majorHAnsi"/>
          <w:szCs w:val="22"/>
          <w:lang w:val="en-US"/>
        </w:rPr>
        <w:t xml:space="preserve"> of </w:t>
      </w:r>
      <w:r w:rsidRPr="00EA574E">
        <w:rPr>
          <w:rFonts w:asciiTheme="majorHAnsi" w:eastAsia="Calibri" w:hAnsiTheme="majorHAnsi" w:cstheme="majorHAnsi"/>
          <w:szCs w:val="22"/>
          <w:lang w:val="en-US"/>
        </w:rPr>
        <w:t xml:space="preserve">7 cents, or a 0.1% </w:t>
      </w:r>
      <w:r w:rsidRPr="00EA574E">
        <w:rPr>
          <w:rFonts w:asciiTheme="majorHAnsi" w:eastAsia="Calibri" w:hAnsiTheme="majorHAnsi" w:cstheme="majorHAnsi"/>
          <w:szCs w:val="22"/>
          <w:lang w:val="en-US"/>
        </w:rPr>
        <w:t>increase</w:t>
      </w:r>
      <w:r w:rsidRPr="0000066D">
        <w:rPr>
          <w:rFonts w:asciiTheme="majorHAnsi" w:eastAsia="Calibri" w:hAnsiTheme="majorHAnsi" w:cstheme="majorHAnsi"/>
          <w:szCs w:val="22"/>
          <w:lang w:val="en-US"/>
        </w:rPr>
        <w:t xml:space="preserve"> to the hourly standard, weekday daytime disability support.</w:t>
      </w:r>
    </w:p>
    <w:p w14:paraId="1C3104C9" w14:textId="63D9ED10" w:rsidR="005E0098" w:rsidRPr="00884F18" w:rsidRDefault="6CA57CAD" w:rsidP="00677979">
      <w:pPr>
        <w:rPr>
          <w:rFonts w:asciiTheme="majorHAnsi" w:eastAsia="Calibri" w:hAnsiTheme="majorHAnsi" w:cstheme="majorBidi"/>
          <w:lang w:val="en-US"/>
        </w:rPr>
      </w:pPr>
      <w:r w:rsidRPr="19AAF43B">
        <w:rPr>
          <w:rFonts w:asciiTheme="majorHAnsi" w:eastAsia="Arial" w:hAnsiTheme="majorHAnsi" w:cstheme="majorBidi"/>
          <w:lang w:val="en-US"/>
        </w:rPr>
        <w:t xml:space="preserve">The NDIA acknowledges this may be </w:t>
      </w:r>
      <w:r w:rsidR="32468BDA" w:rsidRPr="19AAF43B">
        <w:rPr>
          <w:rFonts w:asciiTheme="majorHAnsi" w:eastAsia="Arial" w:hAnsiTheme="majorHAnsi" w:cstheme="majorBidi"/>
          <w:lang w:val="en-US"/>
        </w:rPr>
        <w:t>an overestimation of</w:t>
      </w:r>
      <w:r w:rsidRPr="19AAF43B">
        <w:rPr>
          <w:rFonts w:asciiTheme="majorHAnsi" w:eastAsia="Arial" w:hAnsiTheme="majorHAnsi" w:cstheme="majorBidi"/>
          <w:lang w:val="en-US"/>
        </w:rPr>
        <w:t xml:space="preserve"> the actual up-take of this leave in the sector as it is implemented and will continue monitoring this into the future.</w:t>
      </w:r>
    </w:p>
    <w:p w14:paraId="076DAC29" w14:textId="2808525D" w:rsidR="00524892" w:rsidRPr="00A10B2B" w:rsidRDefault="00524892" w:rsidP="00D9646F">
      <w:pPr>
        <w:pStyle w:val="Heading3"/>
      </w:pPr>
      <w:r w:rsidRPr="00A10B2B">
        <w:t>4.10</w:t>
      </w:r>
      <w:r w:rsidRPr="00A10B2B">
        <w:tab/>
        <w:t>Anticipated Impact of Aged Care Award Change</w:t>
      </w:r>
    </w:p>
    <w:p w14:paraId="0A1F76C4" w14:textId="1E697BA6" w:rsidR="00E94826" w:rsidRDefault="00E94826">
      <w:pPr>
        <w:rPr>
          <w:rFonts w:eastAsia="Arial" w:cs="Arial"/>
        </w:rPr>
      </w:pPr>
      <w:r w:rsidRPr="07E4116E">
        <w:rPr>
          <w:rFonts w:eastAsia="Arial" w:cs="Arial"/>
        </w:rPr>
        <w:t xml:space="preserve">The Fair Work Commission’s decision to lift the Aged Care Award and relevant workers’ wages by 15% will impact wages to workers in the Aged Care sector from July 2023 onwards. </w:t>
      </w:r>
      <w:r w:rsidR="00383CA1" w:rsidRPr="07E4116E">
        <w:rPr>
          <w:rFonts w:eastAsia="Arial" w:cs="Arial"/>
        </w:rPr>
        <w:t xml:space="preserve">Given there are some skills overlaps between aged care and disability support, </w:t>
      </w:r>
      <w:r w:rsidRPr="07E4116E">
        <w:rPr>
          <w:rFonts w:eastAsia="Arial" w:cs="Arial"/>
        </w:rPr>
        <w:t xml:space="preserve">the NDIA </w:t>
      </w:r>
      <w:r w:rsidR="00493FEE" w:rsidRPr="07E4116E">
        <w:rPr>
          <w:rFonts w:eastAsia="Arial" w:cs="Arial"/>
        </w:rPr>
        <w:t>anticipate</w:t>
      </w:r>
      <w:r w:rsidR="00383CA1" w:rsidRPr="07E4116E">
        <w:rPr>
          <w:rFonts w:eastAsia="Arial" w:cs="Arial"/>
        </w:rPr>
        <w:t>s a</w:t>
      </w:r>
      <w:r w:rsidRPr="07E4116E">
        <w:rPr>
          <w:rFonts w:eastAsia="Arial" w:cs="Arial"/>
        </w:rPr>
        <w:t xml:space="preserve"> flow</w:t>
      </w:r>
      <w:r w:rsidR="27083E10" w:rsidRPr="07E4116E">
        <w:rPr>
          <w:rFonts w:eastAsia="Arial" w:cs="Arial"/>
        </w:rPr>
        <w:t>-</w:t>
      </w:r>
      <w:r w:rsidRPr="07E4116E">
        <w:rPr>
          <w:rFonts w:eastAsia="Arial" w:cs="Arial"/>
        </w:rPr>
        <w:t xml:space="preserve">on </w:t>
      </w:r>
      <w:r w:rsidR="00493FEE" w:rsidRPr="07E4116E">
        <w:rPr>
          <w:rFonts w:eastAsia="Arial" w:cs="Arial"/>
        </w:rPr>
        <w:t>impact</w:t>
      </w:r>
      <w:r w:rsidRPr="07E4116E">
        <w:rPr>
          <w:rFonts w:eastAsia="Arial" w:cs="Arial"/>
        </w:rPr>
        <w:t xml:space="preserve"> to the cost of disability support workers in the disability sector, and </w:t>
      </w:r>
      <w:r w:rsidR="00410620" w:rsidRPr="07E4116E">
        <w:rPr>
          <w:rFonts w:eastAsia="Arial" w:cs="Arial"/>
        </w:rPr>
        <w:t>the</w:t>
      </w:r>
      <w:r w:rsidR="00493FEE" w:rsidRPr="07E4116E">
        <w:rPr>
          <w:rFonts w:eastAsia="Arial" w:cs="Arial"/>
        </w:rPr>
        <w:t xml:space="preserve"> NDIS</w:t>
      </w:r>
      <w:r w:rsidR="003F4B77" w:rsidRPr="07E4116E">
        <w:rPr>
          <w:rFonts w:eastAsia="Arial" w:cs="Arial"/>
        </w:rPr>
        <w:t>. However</w:t>
      </w:r>
      <w:r w:rsidR="00B601E1" w:rsidRPr="07E4116E">
        <w:rPr>
          <w:rFonts w:eastAsia="Arial" w:cs="Arial"/>
        </w:rPr>
        <w:t>,</w:t>
      </w:r>
      <w:r w:rsidR="003F4B77" w:rsidRPr="07E4116E">
        <w:rPr>
          <w:rFonts w:eastAsia="Arial" w:cs="Arial"/>
        </w:rPr>
        <w:t xml:space="preserve"> we expect the impact to limited. </w:t>
      </w:r>
    </w:p>
    <w:p w14:paraId="6DEA6085" w14:textId="49E1FB32" w:rsidR="00E94826" w:rsidRDefault="00E94826">
      <w:r w:rsidRPr="55DA9532">
        <w:rPr>
          <w:rFonts w:eastAsia="Arial" w:cs="Arial"/>
          <w:szCs w:val="22"/>
        </w:rPr>
        <w:t xml:space="preserve">The Award system is a substantial driver of wages, and thus </w:t>
      </w:r>
      <w:r w:rsidR="00235DE0">
        <w:rPr>
          <w:rFonts w:eastAsia="Arial" w:cs="Arial"/>
          <w:szCs w:val="22"/>
        </w:rPr>
        <w:t xml:space="preserve">the </w:t>
      </w:r>
      <w:r w:rsidRPr="55DA9532">
        <w:rPr>
          <w:rFonts w:eastAsia="Arial" w:cs="Arial"/>
          <w:szCs w:val="22"/>
        </w:rPr>
        <w:t xml:space="preserve">cost of support in the sector, by setting the minimum wages for the relevant industry. Many of the disability support workers delivering NDIS supports are paid under Schedule B of the SCHADS Award, which is a higher rate than aged care workers (even with the 15% increase). The NDIA’s DSW Cost Model uses a SCHADS Award, social and community services employee, Level 2, pay point 3 as the basis of setting the Standard disability support worker. </w:t>
      </w:r>
    </w:p>
    <w:p w14:paraId="049586D4" w14:textId="1DE26543" w:rsidR="004F14BA" w:rsidRDefault="00330BF2">
      <w:pPr>
        <w:rPr>
          <w:rFonts w:eastAsia="Arial" w:cs="Arial"/>
          <w:szCs w:val="22"/>
        </w:rPr>
      </w:pPr>
      <w:r>
        <w:rPr>
          <w:rFonts w:eastAsia="Arial" w:cs="Arial"/>
          <w:szCs w:val="22"/>
        </w:rPr>
        <w:t>I</w:t>
      </w:r>
      <w:r w:rsidR="00E94826" w:rsidRPr="55DA9532">
        <w:rPr>
          <w:rFonts w:eastAsia="Arial" w:cs="Arial"/>
          <w:szCs w:val="22"/>
        </w:rPr>
        <w:t xml:space="preserve">t is reasonable to consider this to be appropriately matched with the Aged Care Award Level 4 worker. </w:t>
      </w:r>
      <w:r w:rsidR="004F14BA">
        <w:rPr>
          <w:rFonts w:eastAsia="Arial" w:cs="Arial"/>
          <w:szCs w:val="22"/>
        </w:rPr>
        <w:t xml:space="preserve">The NDIA does acknowledge some supports delivered to NDIS participants could be delivered by other types of workers classified across other types of </w:t>
      </w:r>
      <w:r w:rsidR="007C4745">
        <w:rPr>
          <w:rFonts w:eastAsia="Arial" w:cs="Arial"/>
          <w:szCs w:val="22"/>
        </w:rPr>
        <w:t>aged</w:t>
      </w:r>
      <w:r w:rsidR="004F14BA">
        <w:rPr>
          <w:rFonts w:eastAsia="Arial" w:cs="Arial"/>
          <w:szCs w:val="22"/>
        </w:rPr>
        <w:t xml:space="preserve"> care employees, such as level 3 or level 5.</w:t>
      </w:r>
    </w:p>
    <w:p w14:paraId="5385C155" w14:textId="759BFC3E" w:rsidR="00E94826" w:rsidRDefault="29EA160D" w:rsidP="24862EB2">
      <w:pPr>
        <w:rPr>
          <w:rFonts w:eastAsia="Arial" w:cs="Arial"/>
        </w:rPr>
      </w:pPr>
      <w:r w:rsidRPr="4596552B">
        <w:rPr>
          <w:rFonts w:eastAsia="Arial" w:cs="Arial"/>
        </w:rPr>
        <w:lastRenderedPageBreak/>
        <w:t xml:space="preserve">This </w:t>
      </w:r>
      <w:r w:rsidR="56FDE6D7" w:rsidRPr="4596552B">
        <w:rPr>
          <w:rFonts w:eastAsia="Arial" w:cs="Arial"/>
        </w:rPr>
        <w:t xml:space="preserve">matching </w:t>
      </w:r>
      <w:r w:rsidRPr="4596552B">
        <w:rPr>
          <w:rFonts w:eastAsia="Arial" w:cs="Arial"/>
        </w:rPr>
        <w:t>is based on</w:t>
      </w:r>
      <w:r w:rsidR="5FBBF8D5" w:rsidRPr="4596552B">
        <w:rPr>
          <w:rFonts w:eastAsia="Arial" w:cs="Arial"/>
        </w:rPr>
        <w:t xml:space="preserve"> the </w:t>
      </w:r>
      <w:r w:rsidRPr="4596552B">
        <w:rPr>
          <w:rFonts w:eastAsia="Arial" w:cs="Arial"/>
        </w:rPr>
        <w:t xml:space="preserve">type of work </w:t>
      </w:r>
      <w:bookmarkStart w:id="67" w:name="_Int_FpgXQ3ld"/>
      <w:r w:rsidRPr="4596552B">
        <w:rPr>
          <w:rFonts w:eastAsia="Arial" w:cs="Arial"/>
        </w:rPr>
        <w:t xml:space="preserve">generally </w:t>
      </w:r>
      <w:r w:rsidR="7496EFC8" w:rsidRPr="4596552B">
        <w:rPr>
          <w:rFonts w:eastAsia="Arial" w:cs="Arial"/>
        </w:rPr>
        <w:t>performed</w:t>
      </w:r>
      <w:bookmarkEnd w:id="67"/>
      <w:r w:rsidR="7496EFC8" w:rsidRPr="4596552B">
        <w:rPr>
          <w:rFonts w:eastAsia="Arial" w:cs="Arial"/>
        </w:rPr>
        <w:t xml:space="preserve"> by </w:t>
      </w:r>
      <w:r w:rsidRPr="4596552B">
        <w:rPr>
          <w:rFonts w:eastAsia="Arial" w:cs="Arial"/>
        </w:rPr>
        <w:t>this type of worker</w:t>
      </w:r>
      <w:r w:rsidR="7496EFC8" w:rsidRPr="4596552B">
        <w:rPr>
          <w:rFonts w:eastAsia="Arial" w:cs="Arial"/>
        </w:rPr>
        <w:t xml:space="preserve"> (</w:t>
      </w:r>
      <w:r w:rsidR="5FBBF8D5" w:rsidRPr="4596552B">
        <w:rPr>
          <w:rFonts w:eastAsia="Arial" w:cs="Arial"/>
        </w:rPr>
        <w:t>personal care</w:t>
      </w:r>
      <w:r w:rsidR="7496EFC8" w:rsidRPr="4596552B">
        <w:rPr>
          <w:rFonts w:eastAsia="Arial" w:cs="Arial"/>
        </w:rPr>
        <w:t xml:space="preserve"> tasks by a “personal care worker grade 3”)</w:t>
      </w:r>
      <w:r w:rsidR="3E98E5EB" w:rsidRPr="4596552B">
        <w:rPr>
          <w:rFonts w:eastAsia="Arial" w:cs="Arial"/>
        </w:rPr>
        <w:t xml:space="preserve"> and </w:t>
      </w:r>
      <w:r w:rsidR="5FBBF8D5" w:rsidRPr="4596552B">
        <w:rPr>
          <w:rFonts w:eastAsia="Arial" w:cs="Arial"/>
        </w:rPr>
        <w:t>personal care</w:t>
      </w:r>
      <w:r w:rsidR="3733785D" w:rsidRPr="4596552B">
        <w:rPr>
          <w:rFonts w:eastAsia="Arial" w:cs="Arial"/>
        </w:rPr>
        <w:t xml:space="preserve"> support provided </w:t>
      </w:r>
      <w:r w:rsidR="5FBBF8D5" w:rsidRPr="4596552B">
        <w:rPr>
          <w:rFonts w:eastAsia="Arial" w:cs="Arial"/>
        </w:rPr>
        <w:t>require work</w:t>
      </w:r>
      <w:r w:rsidR="3E98E5EB" w:rsidRPr="4596552B">
        <w:rPr>
          <w:rFonts w:eastAsia="Arial" w:cs="Arial"/>
        </w:rPr>
        <w:t>ing</w:t>
      </w:r>
      <w:r w:rsidR="5FBBF8D5" w:rsidRPr="4596552B">
        <w:rPr>
          <w:rFonts w:eastAsia="Arial" w:cs="Arial"/>
        </w:rPr>
        <w:t xml:space="preserve"> under limited supervision</w:t>
      </w:r>
      <w:r w:rsidR="3733785D" w:rsidRPr="4596552B">
        <w:rPr>
          <w:rFonts w:eastAsia="Arial" w:cs="Arial"/>
        </w:rPr>
        <w:t xml:space="preserve">. Further </w:t>
      </w:r>
      <w:r w:rsidR="5FBBF8D5" w:rsidRPr="4596552B">
        <w:rPr>
          <w:rFonts w:eastAsia="Arial" w:cs="Arial"/>
        </w:rPr>
        <w:t xml:space="preserve">the Aged Care Award level 4 worker </w:t>
      </w:r>
      <w:r w:rsidR="323DFB51" w:rsidRPr="4596552B">
        <w:rPr>
          <w:rFonts w:eastAsia="Arial" w:cs="Arial"/>
        </w:rPr>
        <w:t xml:space="preserve">can </w:t>
      </w:r>
      <w:r w:rsidR="5FBBF8D5" w:rsidRPr="4596552B">
        <w:rPr>
          <w:rFonts w:eastAsia="Arial" w:cs="Arial"/>
        </w:rPr>
        <w:t>require a Certificate 3 or higher, while the SCHADS Award Level 2 worker requires a certificate 4 or higher.</w:t>
      </w:r>
      <w:r w:rsidR="00E46059">
        <w:rPr>
          <w:rStyle w:val="FootnoteReference"/>
          <w:rFonts w:eastAsia="Arial" w:cs="Arial"/>
        </w:rPr>
        <w:footnoteReference w:id="23"/>
      </w:r>
    </w:p>
    <w:p w14:paraId="4D56ACD3" w14:textId="6240D966" w:rsidR="00E94826" w:rsidRDefault="1E1E79A5" w:rsidP="19AAF43B">
      <w:pPr>
        <w:rPr>
          <w:rFonts w:eastAsia="Arial" w:cs="Arial"/>
        </w:rPr>
      </w:pPr>
      <w:r w:rsidRPr="4596552B">
        <w:rPr>
          <w:rFonts w:eastAsia="Arial" w:cs="Arial"/>
        </w:rPr>
        <w:t>Comparison of these Award worker wages highlights the difference that exists between the two Awards. From 1 July 2022, for a weekday daytime hourly wage, the full and part time SCHADS Award Level 2, pay point 3 is $32.37 per hour while the full and part time Aged Care Award Level 4 is $24.76 per hour</w:t>
      </w:r>
      <w:r w:rsidR="507BD12E" w:rsidRPr="4596552B">
        <w:rPr>
          <w:rFonts w:eastAsia="Arial" w:cs="Arial"/>
        </w:rPr>
        <w:t>.</w:t>
      </w:r>
      <w:r w:rsidR="00E46059">
        <w:rPr>
          <w:rStyle w:val="FootnoteReference"/>
          <w:rFonts w:eastAsia="Arial" w:cs="Arial"/>
        </w:rPr>
        <w:footnoteReference w:id="24"/>
      </w:r>
      <w:r w:rsidRPr="4596552B">
        <w:rPr>
          <w:rFonts w:eastAsia="Arial" w:cs="Arial"/>
        </w:rPr>
        <w:t xml:space="preserve"> This currently equates to a difference of $7.61 per hour, or the SCHADS Level 2.3 worker </w:t>
      </w:r>
      <w:r w:rsidR="5701EA7A" w:rsidRPr="4596552B">
        <w:rPr>
          <w:rFonts w:eastAsia="Arial" w:cs="Arial"/>
        </w:rPr>
        <w:t>rate</w:t>
      </w:r>
      <w:r w:rsidR="007F57D4">
        <w:rPr>
          <w:rFonts w:eastAsia="Arial" w:cs="Arial"/>
        </w:rPr>
        <w:t xml:space="preserve"> </w:t>
      </w:r>
      <w:r w:rsidR="50240DDD" w:rsidRPr="4596552B">
        <w:rPr>
          <w:rFonts w:eastAsia="Arial" w:cs="Arial"/>
        </w:rPr>
        <w:t>to be</w:t>
      </w:r>
      <w:r w:rsidR="5FEDE5A5" w:rsidRPr="4596552B">
        <w:rPr>
          <w:rFonts w:eastAsia="Arial" w:cs="Arial"/>
        </w:rPr>
        <w:t>ing</w:t>
      </w:r>
      <w:r w:rsidRPr="4596552B">
        <w:rPr>
          <w:rFonts w:eastAsia="Arial" w:cs="Arial"/>
        </w:rPr>
        <w:t xml:space="preserve"> 31% higher.  </w:t>
      </w:r>
    </w:p>
    <w:p w14:paraId="1130F76B" w14:textId="08DD1770" w:rsidR="00E94826" w:rsidRDefault="2DE606FE" w:rsidP="24862EB2">
      <w:pPr>
        <w:rPr>
          <w:rFonts w:eastAsia="Arial" w:cs="Arial"/>
        </w:rPr>
      </w:pPr>
      <w:r w:rsidRPr="24862EB2">
        <w:rPr>
          <w:rFonts w:eastAsia="Arial" w:cs="Arial"/>
        </w:rPr>
        <w:t xml:space="preserve">This current wage differential means with the 15% increase to the Aged Care workers, it will </w:t>
      </w:r>
      <w:bookmarkStart w:id="68" w:name="_Int_CiGfLI1T"/>
      <w:r w:rsidRPr="24862EB2">
        <w:rPr>
          <w:rFonts w:eastAsia="Arial" w:cs="Arial"/>
        </w:rPr>
        <w:t>likely see</w:t>
      </w:r>
      <w:bookmarkEnd w:id="68"/>
      <w:r w:rsidRPr="24862EB2">
        <w:rPr>
          <w:rFonts w:eastAsia="Arial" w:cs="Arial"/>
        </w:rPr>
        <w:t xml:space="preserve"> the gap </w:t>
      </w:r>
      <w:r w:rsidR="11FAA1E9" w:rsidRPr="3F94D265">
        <w:rPr>
          <w:rFonts w:eastAsia="Arial" w:cs="Arial"/>
        </w:rPr>
        <w:t xml:space="preserve">narrow </w:t>
      </w:r>
      <w:r w:rsidR="1ECC4652" w:rsidRPr="3F94D265">
        <w:rPr>
          <w:rFonts w:eastAsia="Arial" w:cs="Arial"/>
        </w:rPr>
        <w:t>between</w:t>
      </w:r>
      <w:r w:rsidRPr="24862EB2">
        <w:rPr>
          <w:rFonts w:eastAsia="Arial" w:cs="Arial"/>
        </w:rPr>
        <w:t xml:space="preserve"> the two sectors</w:t>
      </w:r>
      <w:r w:rsidR="0D549AC1" w:rsidRPr="3F94D265">
        <w:rPr>
          <w:rFonts w:eastAsia="Arial" w:cs="Arial"/>
        </w:rPr>
        <w:t xml:space="preserve"> </w:t>
      </w:r>
      <w:r w:rsidRPr="24862EB2">
        <w:rPr>
          <w:rFonts w:eastAsia="Arial" w:cs="Arial"/>
        </w:rPr>
        <w:t xml:space="preserve">with disability workers still higher by $3.90 </w:t>
      </w:r>
      <w:r w:rsidR="32EBAA4E" w:rsidRPr="24862EB2">
        <w:rPr>
          <w:rFonts w:eastAsia="Arial" w:cs="Arial"/>
        </w:rPr>
        <w:t>per hour</w:t>
      </w:r>
      <w:r w:rsidR="58F98FBF" w:rsidRPr="24862EB2">
        <w:rPr>
          <w:rFonts w:eastAsia="Arial" w:cs="Arial"/>
        </w:rPr>
        <w:t xml:space="preserve"> </w:t>
      </w:r>
      <w:r w:rsidRPr="24862EB2">
        <w:rPr>
          <w:rFonts w:eastAsia="Arial" w:cs="Arial"/>
        </w:rPr>
        <w:t xml:space="preserve">or 14%. </w:t>
      </w:r>
    </w:p>
    <w:p w14:paraId="143DDD6F" w14:textId="125678C1" w:rsidR="00A96EF8" w:rsidRPr="00A70AF0" w:rsidRDefault="4635E373">
      <w:pPr>
        <w:rPr>
          <w:rFonts w:eastAsia="Arial" w:cs="Arial"/>
        </w:rPr>
      </w:pPr>
      <w:r w:rsidRPr="00A70AF0">
        <w:rPr>
          <w:rFonts w:eastAsia="Arial" w:cs="Arial"/>
        </w:rPr>
        <w:t>There are also non-wage reforms</w:t>
      </w:r>
      <w:r w:rsidR="00E46059">
        <w:rPr>
          <w:rStyle w:val="FootnoteReference"/>
          <w:rFonts w:eastAsia="Arial" w:cs="Arial"/>
        </w:rPr>
        <w:footnoteReference w:id="25"/>
      </w:r>
      <w:r w:rsidRPr="00A70AF0">
        <w:rPr>
          <w:rFonts w:eastAsia="Arial" w:cs="Arial"/>
        </w:rPr>
        <w:t xml:space="preserve"> </w:t>
      </w:r>
      <w:r w:rsidR="51A0CA2B">
        <w:rPr>
          <w:rFonts w:eastAsia="Arial" w:cs="Arial"/>
        </w:rPr>
        <w:t>ongoing in</w:t>
      </w:r>
      <w:r w:rsidR="6C2DFDB1" w:rsidRPr="00A70AF0">
        <w:rPr>
          <w:rFonts w:eastAsia="Arial" w:cs="Arial"/>
        </w:rPr>
        <w:t xml:space="preserve"> </w:t>
      </w:r>
      <w:r w:rsidRPr="00A70AF0">
        <w:rPr>
          <w:rFonts w:eastAsia="Arial" w:cs="Arial"/>
        </w:rPr>
        <w:t>the Aged Care</w:t>
      </w:r>
      <w:r w:rsidR="07F2D061">
        <w:rPr>
          <w:rFonts w:eastAsia="Arial" w:cs="Arial"/>
        </w:rPr>
        <w:t xml:space="preserve"> sector aimed at improving</w:t>
      </w:r>
      <w:r w:rsidRPr="00A70AF0">
        <w:rPr>
          <w:rFonts w:eastAsia="Arial" w:cs="Arial"/>
        </w:rPr>
        <w:t xml:space="preserve"> the quality of care</w:t>
      </w:r>
      <w:r w:rsidR="6C2DFDB1" w:rsidRPr="00A70AF0">
        <w:rPr>
          <w:rFonts w:eastAsia="Arial" w:cs="Arial"/>
        </w:rPr>
        <w:t>.</w:t>
      </w:r>
      <w:r w:rsidRPr="00A70AF0">
        <w:rPr>
          <w:rFonts w:eastAsia="Arial" w:cs="Arial"/>
        </w:rPr>
        <w:t xml:space="preserve"> These may have flow on impacts upon the available workforce for NDIS participants and </w:t>
      </w:r>
      <w:r w:rsidR="30892ED7" w:rsidRPr="00A70AF0">
        <w:rPr>
          <w:rFonts w:eastAsia="Arial" w:cs="Arial"/>
        </w:rPr>
        <w:t xml:space="preserve">the </w:t>
      </w:r>
      <w:r w:rsidR="22931409" w:rsidRPr="00A70AF0">
        <w:rPr>
          <w:rFonts w:eastAsia="Arial" w:cs="Arial"/>
        </w:rPr>
        <w:t>disability</w:t>
      </w:r>
      <w:r w:rsidRPr="00A70AF0">
        <w:rPr>
          <w:rFonts w:eastAsia="Arial" w:cs="Arial"/>
        </w:rPr>
        <w:t xml:space="preserve"> sector more broadly</w:t>
      </w:r>
      <w:r w:rsidR="4A3300C7">
        <w:rPr>
          <w:rFonts w:eastAsia="Arial" w:cs="Arial"/>
        </w:rPr>
        <w:t xml:space="preserve">, but again the NDIA </w:t>
      </w:r>
      <w:r w:rsidR="075215C5">
        <w:rPr>
          <w:rFonts w:eastAsia="Arial" w:cs="Arial"/>
        </w:rPr>
        <w:t>expect</w:t>
      </w:r>
      <w:r w:rsidR="53A0A58E">
        <w:rPr>
          <w:rFonts w:eastAsia="Arial" w:cs="Arial"/>
        </w:rPr>
        <w:t>s</w:t>
      </w:r>
      <w:r w:rsidR="4A3300C7">
        <w:rPr>
          <w:rFonts w:eastAsia="Arial" w:cs="Arial"/>
        </w:rPr>
        <w:t xml:space="preserve"> the impact to be limited</w:t>
      </w:r>
      <w:r w:rsidR="0CAECB6B">
        <w:rPr>
          <w:rFonts w:eastAsia="Arial" w:cs="Arial"/>
        </w:rPr>
        <w:t>.</w:t>
      </w:r>
      <w:r w:rsidRPr="00A70AF0">
        <w:rPr>
          <w:rFonts w:eastAsia="Arial" w:cs="Arial"/>
        </w:rPr>
        <w:t xml:space="preserve"> </w:t>
      </w:r>
      <w:r w:rsidR="7F6A5850" w:rsidRPr="00A70AF0">
        <w:rPr>
          <w:rFonts w:eastAsia="Arial" w:cs="Arial"/>
        </w:rPr>
        <w:t xml:space="preserve">More information </w:t>
      </w:r>
      <w:r w:rsidR="70F4CCD9" w:rsidRPr="00A70AF0">
        <w:rPr>
          <w:rFonts w:eastAsia="Arial" w:cs="Arial"/>
        </w:rPr>
        <w:t xml:space="preserve">about these </w:t>
      </w:r>
      <w:r w:rsidR="2D0EB2B8" w:rsidRPr="00A70AF0">
        <w:rPr>
          <w:rFonts w:eastAsia="Arial" w:cs="Arial"/>
        </w:rPr>
        <w:t xml:space="preserve">potential </w:t>
      </w:r>
      <w:r w:rsidR="70F4CCD9" w:rsidRPr="00A70AF0">
        <w:rPr>
          <w:rFonts w:eastAsia="Arial" w:cs="Arial"/>
        </w:rPr>
        <w:t xml:space="preserve">impacts on the NDIS </w:t>
      </w:r>
      <w:r w:rsidR="2D0EB2B8" w:rsidRPr="00A70AF0">
        <w:rPr>
          <w:rFonts w:eastAsia="Arial" w:cs="Arial"/>
        </w:rPr>
        <w:t xml:space="preserve">can be found in Appendix </w:t>
      </w:r>
      <w:r w:rsidR="63FF6999">
        <w:rPr>
          <w:rFonts w:eastAsia="Arial" w:cs="Arial"/>
        </w:rPr>
        <w:t>C</w:t>
      </w:r>
      <w:r w:rsidR="2D0EB2B8" w:rsidRPr="00A70AF0">
        <w:rPr>
          <w:rFonts w:eastAsia="Arial" w:cs="Arial"/>
        </w:rPr>
        <w:t>.</w:t>
      </w:r>
    </w:p>
    <w:p w14:paraId="6E292962" w14:textId="68114B30" w:rsidR="00B86B86" w:rsidRPr="00A70AF0" w:rsidRDefault="7617EC6F">
      <w:pPr>
        <w:rPr>
          <w:rFonts w:eastAsia="Arial" w:cs="Arial"/>
        </w:rPr>
      </w:pPr>
      <w:r w:rsidRPr="24862EB2">
        <w:rPr>
          <w:rFonts w:eastAsia="Arial" w:cs="Arial"/>
        </w:rPr>
        <w:t>Overall, t</w:t>
      </w:r>
      <w:r w:rsidR="58F98FBF" w:rsidRPr="24862EB2">
        <w:rPr>
          <w:rFonts w:eastAsia="Arial" w:cs="Arial"/>
        </w:rPr>
        <w:t>he</w:t>
      </w:r>
      <w:r w:rsidR="2DE606FE" w:rsidRPr="24862EB2">
        <w:rPr>
          <w:rFonts w:eastAsia="Arial" w:cs="Arial"/>
        </w:rPr>
        <w:t xml:space="preserve"> NDIA acknowledges that the 15% increase to Aged Care worker wages and other reforms being undertaken </w:t>
      </w:r>
      <w:r w:rsidR="6D9382D0" w:rsidRPr="24862EB2">
        <w:rPr>
          <w:rFonts w:eastAsia="Arial" w:cs="Arial"/>
        </w:rPr>
        <w:t xml:space="preserve">in aged care </w:t>
      </w:r>
      <w:r w:rsidR="37DF3F79" w:rsidRPr="49C47399">
        <w:rPr>
          <w:rFonts w:eastAsia="Arial" w:cs="Arial"/>
        </w:rPr>
        <w:t>are</w:t>
      </w:r>
      <w:r w:rsidR="2DE606FE" w:rsidRPr="24862EB2">
        <w:rPr>
          <w:rFonts w:eastAsia="Arial" w:cs="Arial"/>
        </w:rPr>
        <w:t xml:space="preserve"> expected to make working in the aged care sector relatively more attractive than previously. On balance, the NDIA anticipates this </w:t>
      </w:r>
      <w:r w:rsidR="72EBF42F" w:rsidRPr="5E4626F5">
        <w:rPr>
          <w:rFonts w:eastAsia="Arial" w:cs="Arial"/>
        </w:rPr>
        <w:t>is</w:t>
      </w:r>
      <w:r w:rsidR="2BC60384" w:rsidRPr="24862EB2">
        <w:rPr>
          <w:rFonts w:eastAsia="Arial" w:cs="Arial"/>
        </w:rPr>
        <w:t xml:space="preserve"> </w:t>
      </w:r>
      <w:r w:rsidR="2DE606FE" w:rsidRPr="24862EB2">
        <w:rPr>
          <w:rFonts w:eastAsia="Arial" w:cs="Arial"/>
        </w:rPr>
        <w:t xml:space="preserve">unlikely to have a major impact on the cost </w:t>
      </w:r>
      <w:r w:rsidR="4F824877" w:rsidRPr="5E4626F5">
        <w:rPr>
          <w:rFonts w:eastAsia="Arial" w:cs="Arial"/>
        </w:rPr>
        <w:t>o</w:t>
      </w:r>
      <w:r w:rsidR="37BA4AD2" w:rsidRPr="5E4626F5">
        <w:rPr>
          <w:rFonts w:eastAsia="Arial" w:cs="Arial"/>
        </w:rPr>
        <w:t>f</w:t>
      </w:r>
      <w:r w:rsidR="2DE606FE" w:rsidRPr="24862EB2">
        <w:rPr>
          <w:rFonts w:eastAsia="Arial" w:cs="Arial"/>
        </w:rPr>
        <w:t xml:space="preserve"> similarly skilled workers, but workforce availability should continue to be monitored as these reforms are rolled out.</w:t>
      </w:r>
    </w:p>
    <w:p w14:paraId="07A89006" w14:textId="638931D3" w:rsidR="00787442" w:rsidRPr="00CA5484" w:rsidRDefault="00787442" w:rsidP="00D9646F">
      <w:pPr>
        <w:pStyle w:val="Heading3"/>
      </w:pPr>
      <w:r w:rsidRPr="00CA5484">
        <w:t>4.11</w:t>
      </w:r>
      <w:r w:rsidRPr="00CA5484">
        <w:tab/>
        <w:t>Impact of quality, safeguarding and compliance costs</w:t>
      </w:r>
    </w:p>
    <w:p w14:paraId="61A6C6E5" w14:textId="4EF0D1AC" w:rsidR="00086618" w:rsidRPr="007F2874" w:rsidRDefault="0BF2BE43" w:rsidP="00086618">
      <w:r>
        <w:t xml:space="preserve">The Ability Roundtable survey asked </w:t>
      </w:r>
      <w:r w:rsidR="0F7543F7">
        <w:t xml:space="preserve">whether ‘the </w:t>
      </w:r>
      <w:r>
        <w:t>costs of complying with NDIS Quality and Safeguards Commission (</w:t>
      </w:r>
      <w:r w:rsidR="00B40F57">
        <w:t>NDIS Commission</w:t>
      </w:r>
      <w:r>
        <w:t>) regulations increased over the last 12 months</w:t>
      </w:r>
      <w:r w:rsidR="71ABC73F">
        <w:t xml:space="preserve"> and i</w:t>
      </w:r>
      <w:r>
        <w:t xml:space="preserve">f so, by </w:t>
      </w:r>
      <w:bookmarkStart w:id="69" w:name="_Int_SnjF4DbP"/>
      <w:r>
        <w:t>approximately what</w:t>
      </w:r>
      <w:bookmarkEnd w:id="69"/>
      <w:r>
        <w:t xml:space="preserve"> percent</w:t>
      </w:r>
      <w:r w:rsidR="0F7543F7">
        <w:t>’</w:t>
      </w:r>
      <w:r>
        <w:t>. The majority (80%) of respondents reported that operating under the NQSC had raised their compliance costs over the past year.</w:t>
      </w:r>
    </w:p>
    <w:p w14:paraId="046C9A28" w14:textId="19701C47" w:rsidR="00086618" w:rsidRPr="007F2874" w:rsidRDefault="00086618" w:rsidP="00094510">
      <w:r w:rsidRPr="007F2874">
        <w:t>For respondents reporting an increase in compliance costs, the average increase was 24% (median</w:t>
      </w:r>
      <w:r w:rsidR="00094510" w:rsidRPr="007F2874">
        <w:t xml:space="preserve"> </w:t>
      </w:r>
      <w:r w:rsidRPr="007F2874">
        <w:t>21%).</w:t>
      </w:r>
      <w:r w:rsidR="00094510" w:rsidRPr="007F2874">
        <w:t xml:space="preserve"> </w:t>
      </w:r>
      <w:r w:rsidRPr="007F2874">
        <w:t>Across all respondents providing numerical estimates of cost increases</w:t>
      </w:r>
      <w:r w:rsidR="00094510" w:rsidRPr="007F2874">
        <w:t>,</w:t>
      </w:r>
      <w:r w:rsidRPr="007F2874">
        <w:t xml:space="preserve"> the average increase was 18% </w:t>
      </w:r>
      <w:r w:rsidR="00094510" w:rsidRPr="007F2874">
        <w:t>(</w:t>
      </w:r>
      <w:r w:rsidRPr="007F2874">
        <w:t>median increase was 10%</w:t>
      </w:r>
      <w:r w:rsidR="00094510" w:rsidRPr="007F2874">
        <w:t>)</w:t>
      </w:r>
      <w:r w:rsidRPr="007F2874">
        <w:t>.</w:t>
      </w:r>
    </w:p>
    <w:p w14:paraId="14BEE2B8" w14:textId="1EAC13FC" w:rsidR="003A5C87" w:rsidRDefault="00322402" w:rsidP="00086618">
      <w:r w:rsidRPr="007F2874">
        <w:t>In summary, evidence from</w:t>
      </w:r>
      <w:r w:rsidR="00086618" w:rsidRPr="007F2874">
        <w:t xml:space="preserve"> the </w:t>
      </w:r>
      <w:r w:rsidRPr="007F2874">
        <w:t xml:space="preserve">Ability Roundtable indicates that </w:t>
      </w:r>
      <w:r w:rsidR="003D4255" w:rsidRPr="007F2874">
        <w:t xml:space="preserve">compliance related </w:t>
      </w:r>
      <w:r w:rsidR="00086618" w:rsidRPr="007F2874">
        <w:t xml:space="preserve">costs </w:t>
      </w:r>
      <w:r w:rsidR="007C11B2" w:rsidRPr="007F2874">
        <w:t>are</w:t>
      </w:r>
      <w:r w:rsidR="00086618" w:rsidRPr="007F2874">
        <w:t xml:space="preserve"> not a one-off </w:t>
      </w:r>
      <w:r w:rsidR="003D4255" w:rsidRPr="007F2874">
        <w:t xml:space="preserve">and </w:t>
      </w:r>
      <w:r w:rsidR="3418092E">
        <w:t>ha</w:t>
      </w:r>
      <w:r w:rsidR="3D45B164">
        <w:t>ve</w:t>
      </w:r>
      <w:r w:rsidR="003D4255" w:rsidRPr="007F2874" w:rsidDel="00C80294">
        <w:t xml:space="preserve"> been </w:t>
      </w:r>
      <w:r w:rsidR="003D4255" w:rsidRPr="007F2874">
        <w:t>increasing over time</w:t>
      </w:r>
      <w:r w:rsidR="00086618" w:rsidRPr="007F2874">
        <w:t>.</w:t>
      </w:r>
    </w:p>
    <w:p w14:paraId="61413650" w14:textId="0EA0C439" w:rsidR="00D202F3" w:rsidRPr="00664A4E" w:rsidRDefault="00D202F3" w:rsidP="00D9646F">
      <w:pPr>
        <w:pStyle w:val="Heading3"/>
      </w:pPr>
      <w:r w:rsidRPr="00664A4E">
        <w:t>4.12</w:t>
      </w:r>
      <w:r w:rsidRPr="00664A4E">
        <w:tab/>
        <w:t>Temporary Transformation Payment</w:t>
      </w:r>
    </w:p>
    <w:p w14:paraId="3671D905" w14:textId="7021F1AC" w:rsidR="000D3F11" w:rsidRPr="00E679CA" w:rsidRDefault="2813A9A6" w:rsidP="24862EB2">
      <w:pPr>
        <w:rPr>
          <w:rFonts w:asciiTheme="minorHAnsi" w:hAnsiTheme="minorHAnsi"/>
          <w:lang w:eastAsia="en-US"/>
        </w:rPr>
      </w:pPr>
      <w:r w:rsidRPr="5742800C">
        <w:rPr>
          <w:rFonts w:eastAsia="Arial" w:cs="Arial"/>
        </w:rPr>
        <w:t xml:space="preserve">The </w:t>
      </w:r>
      <w:r w:rsidR="21F9CE1F" w:rsidRPr="24862EB2">
        <w:rPr>
          <w:rFonts w:eastAsia="Arial" w:cs="Arial"/>
        </w:rPr>
        <w:t xml:space="preserve">Temporary Transformation Payment (TTP) for many </w:t>
      </w:r>
      <w:bookmarkStart w:id="70" w:name="_Int_oJPVH7YS"/>
      <w:r w:rsidR="21F9CE1F" w:rsidRPr="24862EB2">
        <w:rPr>
          <w:rFonts w:eastAsia="Arial" w:cs="Arial"/>
        </w:rPr>
        <w:t>disability</w:t>
      </w:r>
      <w:bookmarkEnd w:id="70"/>
      <w:r w:rsidR="21F9CE1F" w:rsidRPr="24862EB2">
        <w:rPr>
          <w:rFonts w:eastAsia="Arial" w:cs="Arial"/>
        </w:rPr>
        <w:t xml:space="preserve"> support worker-related supports </w:t>
      </w:r>
      <w:bookmarkStart w:id="71" w:name="_Int_KcWnZU2Z"/>
      <w:r w:rsidR="195FE692" w:rsidRPr="24862EB2">
        <w:rPr>
          <w:rFonts w:eastAsia="Arial" w:cs="Arial"/>
        </w:rPr>
        <w:t>was</w:t>
      </w:r>
      <w:bookmarkEnd w:id="71"/>
      <w:r w:rsidR="21F9CE1F" w:rsidRPr="24862EB2">
        <w:rPr>
          <w:rFonts w:eastAsia="Arial" w:cs="Arial"/>
        </w:rPr>
        <w:t xml:space="preserve"> introduced 1 July 2019 to assist providers with transitioning their businesses into the NDIS. Transitional price levels represent the price necessary to attract new </w:t>
      </w:r>
      <w:r w:rsidR="21F9CE1F" w:rsidRPr="24862EB2">
        <w:rPr>
          <w:rFonts w:eastAsia="Arial" w:cs="Arial"/>
        </w:rPr>
        <w:lastRenderedPageBreak/>
        <w:t>providers to enter the market or to reduce exits from the market. They represent the price required to attract economic resources to expand supply. Transitional price levels are above sustainable price levels but should only be adopted where a significant expansion of supply is required.</w:t>
      </w:r>
    </w:p>
    <w:p w14:paraId="489F6C8F" w14:textId="77777777" w:rsidR="000D3F11" w:rsidRPr="00E679CA" w:rsidRDefault="000D3F11" w:rsidP="000D3F11">
      <w:pPr>
        <w:rPr>
          <w:rFonts w:cs="Arial"/>
        </w:rPr>
      </w:pPr>
      <w:r w:rsidRPr="00E679CA">
        <w:rPr>
          <w:rFonts w:eastAsia="Arial" w:cs="Arial"/>
        </w:rPr>
        <w:t>In line with the NDIS Pricing Strategy, the base price limits for supports delivered by disability support workers have, since 1 July 2019, been set in line with the estimated efficient costs of delivery. The TTP loading has been used to adjust these efficient prices to transition levels. The level of the loading was initially set at an amount equal to the difference between the estimated efficient cost of delivery and the estimated average cost of delivery. It was always intended that this amount would decrease over time as providers became more efficient.</w:t>
      </w:r>
    </w:p>
    <w:p w14:paraId="27147853" w14:textId="77777777" w:rsidR="000D3F11" w:rsidRPr="00E679CA" w:rsidRDefault="000D3F11" w:rsidP="000D3F11">
      <w:pPr>
        <w:rPr>
          <w:rFonts w:cs="Arial"/>
        </w:rPr>
      </w:pPr>
      <w:r w:rsidRPr="00E679CA">
        <w:rPr>
          <w:rFonts w:eastAsia="Arial" w:cs="Arial"/>
        </w:rPr>
        <w:t>Providers can claim for TTP under following groups of supports:</w:t>
      </w:r>
    </w:p>
    <w:p w14:paraId="5758E1D7" w14:textId="6CE33881" w:rsidR="000D3F11" w:rsidRPr="00E679CA" w:rsidRDefault="00EC4267" w:rsidP="00F317CA">
      <w:pPr>
        <w:pStyle w:val="ListParagraph"/>
        <w:numPr>
          <w:ilvl w:val="0"/>
          <w:numId w:val="17"/>
        </w:numPr>
        <w:spacing w:before="0" w:after="160" w:line="264" w:lineRule="auto"/>
        <w:contextualSpacing/>
        <w:rPr>
          <w:rFonts w:eastAsia="Calibri" w:cs="Arial"/>
        </w:rPr>
      </w:pPr>
      <w:r>
        <w:rPr>
          <w:rFonts w:eastAsia="Calibri" w:cs="Arial"/>
        </w:rPr>
        <w:t>A</w:t>
      </w:r>
      <w:r w:rsidR="000D3F11" w:rsidRPr="00E679CA">
        <w:rPr>
          <w:rFonts w:eastAsia="Calibri" w:cs="Arial"/>
        </w:rPr>
        <w:t>ccess Community Social and Recreational Activities</w:t>
      </w:r>
    </w:p>
    <w:p w14:paraId="07DCDF35" w14:textId="48F4994E" w:rsidR="000D3F11" w:rsidRPr="00E679CA" w:rsidRDefault="00EC4267" w:rsidP="00F317CA">
      <w:pPr>
        <w:pStyle w:val="ListParagraph"/>
        <w:numPr>
          <w:ilvl w:val="0"/>
          <w:numId w:val="17"/>
        </w:numPr>
        <w:spacing w:before="0" w:after="160" w:line="264" w:lineRule="auto"/>
        <w:contextualSpacing/>
        <w:rPr>
          <w:rFonts w:eastAsia="Calibri" w:cs="Arial"/>
        </w:rPr>
      </w:pPr>
      <w:r>
        <w:rPr>
          <w:rFonts w:eastAsia="Calibri" w:cs="Arial"/>
        </w:rPr>
        <w:t>A</w:t>
      </w:r>
      <w:r w:rsidR="000D3F11" w:rsidRPr="00E679CA">
        <w:rPr>
          <w:rFonts w:eastAsia="Calibri" w:cs="Arial"/>
        </w:rPr>
        <w:t>ssistance With Self-Care Activities</w:t>
      </w:r>
    </w:p>
    <w:p w14:paraId="3F6BAF86" w14:textId="1BA5F115" w:rsidR="000D3F11" w:rsidRPr="00E679CA" w:rsidRDefault="00EC4267" w:rsidP="00F317CA">
      <w:pPr>
        <w:pStyle w:val="ListParagraph"/>
        <w:numPr>
          <w:ilvl w:val="0"/>
          <w:numId w:val="17"/>
        </w:numPr>
        <w:spacing w:before="0" w:after="160" w:line="264" w:lineRule="auto"/>
        <w:contextualSpacing/>
        <w:rPr>
          <w:rFonts w:eastAsia="Calibri" w:cs="Arial"/>
        </w:rPr>
      </w:pPr>
      <w:r>
        <w:rPr>
          <w:rFonts w:eastAsia="Calibri" w:cs="Arial"/>
        </w:rPr>
        <w:t>G</w:t>
      </w:r>
      <w:r w:rsidR="000D3F11" w:rsidRPr="00E679CA">
        <w:rPr>
          <w:rFonts w:eastAsia="Calibri" w:cs="Arial"/>
        </w:rPr>
        <w:t>roup Activities</w:t>
      </w:r>
    </w:p>
    <w:p w14:paraId="21397528" w14:textId="536AB285" w:rsidR="000D3F11" w:rsidRPr="00E679CA" w:rsidRDefault="00EC4267" w:rsidP="00F317CA">
      <w:pPr>
        <w:pStyle w:val="ListParagraph"/>
        <w:numPr>
          <w:ilvl w:val="0"/>
          <w:numId w:val="17"/>
        </w:numPr>
        <w:spacing w:before="0" w:after="160" w:line="264" w:lineRule="auto"/>
        <w:contextualSpacing/>
        <w:rPr>
          <w:rFonts w:eastAsia="Calibri" w:cs="Arial"/>
        </w:rPr>
      </w:pPr>
      <w:r>
        <w:rPr>
          <w:rFonts w:eastAsia="Calibri" w:cs="Arial"/>
        </w:rPr>
        <w:t>S</w:t>
      </w:r>
      <w:r w:rsidR="000D3F11" w:rsidRPr="00E679CA">
        <w:rPr>
          <w:rFonts w:eastAsia="Calibri" w:cs="Arial"/>
        </w:rPr>
        <w:t>upports in Employment</w:t>
      </w:r>
      <w:r w:rsidR="46FE5253" w:rsidRPr="12AD47C0">
        <w:rPr>
          <w:rFonts w:eastAsia="Calibri" w:cs="Arial"/>
        </w:rPr>
        <w:t>.</w:t>
      </w:r>
      <w:r w:rsidR="000D3F11" w:rsidRPr="00E679CA">
        <w:rPr>
          <w:rFonts w:eastAsia="Calibri" w:cs="Arial"/>
        </w:rPr>
        <w:t xml:space="preserve">  </w:t>
      </w:r>
    </w:p>
    <w:p w14:paraId="6AD6BAA9" w14:textId="6B6F8442" w:rsidR="00664A4E" w:rsidRPr="00E927EC" w:rsidRDefault="000D3F11" w:rsidP="000D3F11">
      <w:pPr>
        <w:rPr>
          <w:rFonts w:asciiTheme="minorHAnsi" w:eastAsiaTheme="minorHAnsi" w:hAnsiTheme="minorHAnsi"/>
        </w:rPr>
      </w:pPr>
      <w:r w:rsidRPr="00E679CA">
        <w:rPr>
          <w:rFonts w:eastAsia="Arial" w:cs="Arial"/>
        </w:rPr>
        <w:t>Given there are more than 150 different lines of supports related to TTP, more information on the specific price limits for the TTP loadings can be found in the current version of the Pricing Arrangements and Price Limits published on the NDIS website.</w:t>
      </w:r>
    </w:p>
    <w:p w14:paraId="08732F58" w14:textId="55EC71CD" w:rsidR="000D3F11" w:rsidRPr="00E679CA" w:rsidRDefault="000D3F11" w:rsidP="00E927EC">
      <w:pPr>
        <w:spacing w:before="240"/>
        <w:rPr>
          <w:rFonts w:eastAsia="Arial" w:cs="Arial"/>
          <w:u w:val="single"/>
        </w:rPr>
      </w:pPr>
      <w:r w:rsidRPr="00E679CA">
        <w:rPr>
          <w:rFonts w:eastAsia="Arial" w:cs="Arial"/>
          <w:b/>
          <w:bCs/>
          <w:u w:val="single"/>
        </w:rPr>
        <w:t xml:space="preserve">Scheme </w:t>
      </w:r>
      <w:r w:rsidR="00B916DD">
        <w:rPr>
          <w:rFonts w:eastAsia="Arial" w:cs="Arial"/>
          <w:b/>
          <w:bCs/>
          <w:u w:val="single"/>
        </w:rPr>
        <w:t>s</w:t>
      </w:r>
      <w:r w:rsidRPr="00E679CA">
        <w:rPr>
          <w:rFonts w:eastAsia="Arial" w:cs="Arial"/>
          <w:b/>
          <w:bCs/>
          <w:u w:val="single"/>
        </w:rPr>
        <w:t xml:space="preserve">tatistics </w:t>
      </w:r>
    </w:p>
    <w:p w14:paraId="45EBF9BE" w14:textId="5C4A0AF5" w:rsidR="000D3F11" w:rsidRPr="00E679CA" w:rsidRDefault="000D3F11" w:rsidP="000D3F11">
      <w:r w:rsidRPr="00E679CA">
        <w:rPr>
          <w:rFonts w:eastAsia="Arial" w:cs="Arial"/>
        </w:rPr>
        <w:t xml:space="preserve">In the six months to December 2022, there were 8,287 active providers servicing over 107,480 participants (19% of the 573,342 active participants as of 31 December 2022), claiming over $1.84 billion in funding. </w:t>
      </w:r>
      <w:r w:rsidR="00CE4C27">
        <w:rPr>
          <w:rFonts w:eastAsia="Arial" w:cs="Arial"/>
        </w:rPr>
        <w:t xml:space="preserve">Over </w:t>
      </w:r>
      <w:r w:rsidRPr="00E679CA">
        <w:rPr>
          <w:rFonts w:eastAsia="Arial" w:cs="Arial"/>
        </w:rPr>
        <w:t xml:space="preserve">the six months to December 2021, payments were made to 7,189 providers (15% less </w:t>
      </w:r>
      <w:r w:rsidR="00007412">
        <w:rPr>
          <w:rFonts w:eastAsia="Arial" w:cs="Arial"/>
        </w:rPr>
        <w:t>compared to the six months to</w:t>
      </w:r>
      <w:r w:rsidRPr="00E679CA">
        <w:rPr>
          <w:rFonts w:eastAsia="Arial" w:cs="Arial"/>
        </w:rPr>
        <w:t xml:space="preserve"> December 2022) and amounted to $1.7 billion to pay services of 107,067 participants. The average amount claimed per provider </w:t>
      </w:r>
      <w:r w:rsidR="6755C949" w:rsidRPr="6887DC9B">
        <w:rPr>
          <w:rFonts w:eastAsia="Arial" w:cs="Arial"/>
        </w:rPr>
        <w:t>decreas</w:t>
      </w:r>
      <w:r w:rsidR="064C3620" w:rsidRPr="6887DC9B">
        <w:rPr>
          <w:rFonts w:eastAsia="Arial" w:cs="Arial"/>
        </w:rPr>
        <w:t>ed</w:t>
      </w:r>
      <w:r w:rsidRPr="00E679CA">
        <w:rPr>
          <w:rFonts w:eastAsia="Arial" w:cs="Arial"/>
        </w:rPr>
        <w:t xml:space="preserve"> from $230k in the six months to December 2021 to $222k per provider in the six months to December 2022. </w:t>
      </w:r>
    </w:p>
    <w:p w14:paraId="08D8BF66" w14:textId="4759BF54" w:rsidR="000D3F11" w:rsidRPr="00E679CA" w:rsidRDefault="000D3F11" w:rsidP="000D3F11">
      <w:r w:rsidRPr="00E679CA">
        <w:rPr>
          <w:rFonts w:eastAsia="Arial" w:cs="Arial"/>
        </w:rPr>
        <w:fldChar w:fldCharType="begin"/>
      </w:r>
      <w:r w:rsidRPr="00E679CA">
        <w:rPr>
          <w:rFonts w:eastAsia="Arial" w:cs="Arial"/>
        </w:rPr>
        <w:instrText xml:space="preserve"> REF _Ref135043721 \h  \* MERGEFORMAT </w:instrText>
      </w:r>
      <w:r w:rsidRPr="00E679CA">
        <w:rPr>
          <w:rFonts w:eastAsia="Arial" w:cs="Arial"/>
        </w:rPr>
      </w:r>
      <w:r w:rsidRPr="00E679CA">
        <w:rPr>
          <w:rFonts w:eastAsia="Arial" w:cs="Arial"/>
        </w:rPr>
        <w:fldChar w:fldCharType="separate"/>
      </w:r>
      <w:r w:rsidR="00D64E4C" w:rsidRPr="00D95364">
        <w:t xml:space="preserve">Table </w:t>
      </w:r>
      <w:r w:rsidR="00D64E4C">
        <w:rPr>
          <w:noProof/>
        </w:rPr>
        <w:t>4</w:t>
      </w:r>
      <w:r w:rsidRPr="00E679CA">
        <w:rPr>
          <w:rFonts w:eastAsia="Arial" w:cs="Arial"/>
        </w:rPr>
        <w:fldChar w:fldCharType="end"/>
      </w:r>
      <w:r w:rsidRPr="00E679CA">
        <w:rPr>
          <w:rFonts w:eastAsia="Arial" w:cs="Arial"/>
        </w:rPr>
        <w:t xml:space="preserve"> below illustrates TTP </w:t>
      </w:r>
      <w:r w:rsidR="0D8E3E2C" w:rsidRPr="00E679CA">
        <w:rPr>
          <w:rFonts w:eastAsia="Arial" w:cs="Arial"/>
        </w:rPr>
        <w:t>S</w:t>
      </w:r>
      <w:r w:rsidRPr="00E679CA">
        <w:rPr>
          <w:rFonts w:eastAsia="Arial" w:cs="Arial"/>
        </w:rPr>
        <w:t>cheme statistics.</w:t>
      </w:r>
    </w:p>
    <w:p w14:paraId="7E336991" w14:textId="2665DDAB" w:rsidR="000D3F11" w:rsidRPr="00D95364" w:rsidRDefault="000D3F11" w:rsidP="000D3F11">
      <w:pPr>
        <w:pStyle w:val="Caption"/>
      </w:pPr>
      <w:bookmarkStart w:id="72" w:name="_Ref135043721"/>
      <w:r w:rsidRPr="00D95364">
        <w:t xml:space="preserve">Table </w:t>
      </w:r>
      <w:fldSimple w:instr=" SEQ Table \* ARABIC ">
        <w:r w:rsidR="00D64E4C">
          <w:rPr>
            <w:noProof/>
          </w:rPr>
          <w:t>4</w:t>
        </w:r>
      </w:fldSimple>
      <w:bookmarkEnd w:id="72"/>
      <w:r w:rsidRPr="00D95364">
        <w:t>: TEMPORARY TRANSFORMATION PAYMENT SCHEME STATISTICS</w:t>
      </w:r>
    </w:p>
    <w:tbl>
      <w:tblPr>
        <w:tblW w:w="0" w:type="auto"/>
        <w:tblInd w:w="285" w:type="dxa"/>
        <w:tblLayout w:type="fixed"/>
        <w:tblLook w:val="04A0" w:firstRow="1" w:lastRow="0" w:firstColumn="1" w:lastColumn="0" w:noHBand="0" w:noVBand="1"/>
        <w:tblCaption w:val="TABLE 4: TEMPORARY TRANSFORMATION PAYMENT SCHEME STATISTICS"/>
        <w:tblDescription w:val="In the six months to 31 December 2022, there were 8,287 active providers servicing over 107,480 participants (19% of the 573,342 active participants as of 31 December 2022), claiming over $1.84 billion in funding. For the six months to 31 December 2021, payments were made to some 7,189 providers (15% less than the same period to 31 December 2022) and amounted to $1.7 billion to pay services of 107,067 participants. The average amount claimed per provider is decreasing from $230k in the six months to 31 December 2021 to $222k per provider in the six months to 31 December 2022. "/>
      </w:tblPr>
      <w:tblGrid>
        <w:gridCol w:w="3405"/>
        <w:gridCol w:w="1695"/>
        <w:gridCol w:w="1695"/>
        <w:gridCol w:w="1695"/>
      </w:tblGrid>
      <w:tr w:rsidR="000D3F11" w:rsidRPr="00D95364" w14:paraId="490A56D6" w14:textId="77777777" w:rsidTr="002919AC">
        <w:trPr>
          <w:trHeight w:val="570"/>
          <w:tblHeader/>
        </w:trPr>
        <w:tc>
          <w:tcPr>
            <w:tcW w:w="3405"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shd w:val="clear" w:color="auto" w:fill="6B2976" w:themeFill="accent1"/>
            <w:hideMark/>
          </w:tcPr>
          <w:p w14:paraId="1565E4C0" w14:textId="77777777" w:rsidR="000D3F11" w:rsidRPr="00D95364" w:rsidRDefault="000D3F11" w:rsidP="00D608D6">
            <w:pPr>
              <w:spacing w:before="60" w:after="60" w:line="240" w:lineRule="auto"/>
            </w:pPr>
            <w:r w:rsidRPr="00D95364">
              <w:rPr>
                <w:rFonts w:eastAsia="Arial" w:cs="Arial"/>
                <w:b/>
                <w:bCs/>
                <w:color w:val="FEFFFF"/>
                <w:sz w:val="18"/>
                <w:szCs w:val="18"/>
              </w:rPr>
              <w:t>Statistics</w:t>
            </w:r>
          </w:p>
        </w:tc>
        <w:tc>
          <w:tcPr>
            <w:tcW w:w="1695"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themeFill="accent1"/>
            <w:hideMark/>
          </w:tcPr>
          <w:p w14:paraId="46DA546D" w14:textId="67747106" w:rsidR="000D3F11" w:rsidRPr="00D95364" w:rsidRDefault="000D3F11" w:rsidP="00D608D6">
            <w:pPr>
              <w:spacing w:before="60" w:after="60" w:line="240" w:lineRule="auto"/>
              <w:jc w:val="center"/>
            </w:pPr>
            <w:r w:rsidRPr="00D95364">
              <w:rPr>
                <w:rFonts w:eastAsia="Arial" w:cs="Arial"/>
                <w:b/>
                <w:bCs/>
                <w:color w:val="FEFFFF"/>
                <w:sz w:val="18"/>
                <w:szCs w:val="18"/>
              </w:rPr>
              <w:t xml:space="preserve">July </w:t>
            </w:r>
            <w:r w:rsidR="00651F9F">
              <w:rPr>
                <w:rFonts w:eastAsia="Arial" w:cs="Arial"/>
                <w:b/>
                <w:bCs/>
                <w:color w:val="FEFFFF"/>
                <w:sz w:val="18"/>
                <w:szCs w:val="18"/>
              </w:rPr>
              <w:t>–</w:t>
            </w:r>
            <w:r w:rsidRPr="00D95364">
              <w:rPr>
                <w:rFonts w:eastAsia="Arial" w:cs="Arial"/>
                <w:b/>
                <w:bCs/>
                <w:color w:val="FEFFFF"/>
                <w:sz w:val="18"/>
                <w:szCs w:val="18"/>
              </w:rPr>
              <w:t xml:space="preserve"> December 2021</w:t>
            </w:r>
          </w:p>
        </w:tc>
        <w:tc>
          <w:tcPr>
            <w:tcW w:w="1695"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themeFill="accent1"/>
          </w:tcPr>
          <w:p w14:paraId="16E7B546" w14:textId="20F2885E" w:rsidR="00651F9F" w:rsidRPr="00D95364" w:rsidRDefault="00651F9F" w:rsidP="00D608D6">
            <w:pPr>
              <w:spacing w:before="60" w:after="60" w:line="240" w:lineRule="auto"/>
              <w:jc w:val="center"/>
              <w:rPr>
                <w:rFonts w:eastAsia="Arial" w:cs="Arial"/>
                <w:b/>
                <w:bCs/>
                <w:color w:val="FEFFFF"/>
                <w:sz w:val="18"/>
                <w:szCs w:val="18"/>
              </w:rPr>
            </w:pPr>
            <w:r w:rsidRPr="00D95364">
              <w:rPr>
                <w:rFonts w:eastAsia="Arial" w:cs="Arial"/>
                <w:b/>
                <w:bCs/>
                <w:color w:val="FEFFFF"/>
                <w:sz w:val="18"/>
                <w:szCs w:val="18"/>
              </w:rPr>
              <w:t xml:space="preserve">July </w:t>
            </w:r>
            <w:r>
              <w:rPr>
                <w:rFonts w:eastAsia="Arial" w:cs="Arial"/>
                <w:b/>
                <w:bCs/>
                <w:color w:val="FEFFFF"/>
                <w:sz w:val="18"/>
                <w:szCs w:val="18"/>
              </w:rPr>
              <w:t>–</w:t>
            </w:r>
            <w:r w:rsidRPr="00D95364">
              <w:rPr>
                <w:rFonts w:eastAsia="Arial" w:cs="Arial"/>
                <w:b/>
                <w:bCs/>
                <w:color w:val="FEFFFF"/>
                <w:sz w:val="18"/>
                <w:szCs w:val="18"/>
              </w:rPr>
              <w:t xml:space="preserve"> December 2022</w:t>
            </w:r>
          </w:p>
        </w:tc>
        <w:tc>
          <w:tcPr>
            <w:tcW w:w="1695"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shd w:val="clear" w:color="auto" w:fill="6B2976" w:themeFill="accent1"/>
            <w:hideMark/>
          </w:tcPr>
          <w:p w14:paraId="40E5C02D" w14:textId="6115A855" w:rsidR="000D3F11" w:rsidRPr="00D95364" w:rsidRDefault="000D3F11" w:rsidP="00D608D6">
            <w:pPr>
              <w:spacing w:before="60" w:after="60" w:line="240" w:lineRule="auto"/>
              <w:jc w:val="center"/>
            </w:pPr>
            <w:r w:rsidRPr="00D95364">
              <w:rPr>
                <w:rFonts w:eastAsia="Arial" w:cs="Arial"/>
                <w:b/>
                <w:bCs/>
                <w:color w:val="FEFFFF"/>
                <w:sz w:val="18"/>
                <w:szCs w:val="18"/>
              </w:rPr>
              <w:t>Percentage Change</w:t>
            </w:r>
          </w:p>
        </w:tc>
      </w:tr>
      <w:tr w:rsidR="000D3F11" w:rsidRPr="00D95364" w14:paraId="1E222521" w14:textId="77777777" w:rsidTr="002919AC">
        <w:trPr>
          <w:trHeight w:val="284"/>
          <w:tblHeader/>
        </w:trPr>
        <w:tc>
          <w:tcPr>
            <w:tcW w:w="3405" w:type="dxa"/>
            <w:tcBorders>
              <w:top w:val="single" w:sz="4" w:space="0" w:color="4F1E58" w:themeColor="accent1" w:themeShade="BF"/>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2CB23D70" w14:textId="77777777" w:rsidR="000D3F11" w:rsidRPr="00D95364" w:rsidRDefault="000D3F11" w:rsidP="00FF11C1">
            <w:pPr>
              <w:spacing w:before="60" w:after="60"/>
            </w:pPr>
            <w:r w:rsidRPr="00D95364">
              <w:rPr>
                <w:rFonts w:eastAsia="Arial" w:cs="Arial"/>
                <w:sz w:val="18"/>
                <w:szCs w:val="18"/>
              </w:rPr>
              <w:t>Total number of NDIS participants</w:t>
            </w:r>
          </w:p>
        </w:tc>
        <w:tc>
          <w:tcPr>
            <w:tcW w:w="1695" w:type="dxa"/>
            <w:tcBorders>
              <w:top w:val="single" w:sz="4" w:space="0" w:color="4F1E58" w:themeColor="accent1" w:themeShade="BF"/>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0C78D0E4" w14:textId="77777777" w:rsidR="000D3F11" w:rsidRPr="00D95364" w:rsidRDefault="000D3F11" w:rsidP="00503EE1">
            <w:pPr>
              <w:spacing w:before="60" w:after="60"/>
              <w:ind w:right="284"/>
              <w:jc w:val="right"/>
            </w:pPr>
            <w:r w:rsidRPr="00D95364">
              <w:rPr>
                <w:rFonts w:eastAsia="Arial" w:cs="Arial"/>
                <w:sz w:val="18"/>
                <w:szCs w:val="18"/>
              </w:rPr>
              <w:t>107,067</w:t>
            </w:r>
          </w:p>
        </w:tc>
        <w:tc>
          <w:tcPr>
            <w:tcW w:w="1695" w:type="dxa"/>
            <w:tcBorders>
              <w:top w:val="single" w:sz="4" w:space="0" w:color="4F1E58" w:themeColor="accent1" w:themeShade="BF"/>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tcPr>
          <w:p w14:paraId="4266250F" w14:textId="13663CB7" w:rsidR="00651F9F" w:rsidRPr="00D95364" w:rsidRDefault="00651F9F" w:rsidP="00503EE1">
            <w:pPr>
              <w:spacing w:before="60" w:after="60"/>
              <w:ind w:right="284"/>
              <w:jc w:val="right"/>
              <w:rPr>
                <w:rFonts w:eastAsia="Arial" w:cs="Arial"/>
                <w:sz w:val="18"/>
                <w:szCs w:val="18"/>
              </w:rPr>
            </w:pPr>
            <w:r w:rsidRPr="00D95364">
              <w:rPr>
                <w:rFonts w:eastAsia="Arial" w:cs="Arial"/>
                <w:sz w:val="18"/>
                <w:szCs w:val="18"/>
              </w:rPr>
              <w:t>107,480</w:t>
            </w:r>
          </w:p>
        </w:tc>
        <w:tc>
          <w:tcPr>
            <w:tcW w:w="1695" w:type="dxa"/>
            <w:tcBorders>
              <w:top w:val="single" w:sz="4" w:space="0" w:color="4F1E58" w:themeColor="accent1" w:themeShade="BF"/>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11F2793F" w14:textId="0F15623B" w:rsidR="000D3F11" w:rsidRPr="00D95364" w:rsidRDefault="37F64B84" w:rsidP="00FF11C1">
            <w:pPr>
              <w:spacing w:before="60" w:after="60"/>
              <w:jc w:val="center"/>
            </w:pPr>
            <w:r w:rsidRPr="24862EB2">
              <w:rPr>
                <w:rFonts w:eastAsia="Arial" w:cs="Arial"/>
                <w:sz w:val="18"/>
                <w:szCs w:val="18"/>
              </w:rPr>
              <w:t>+0%</w:t>
            </w:r>
          </w:p>
        </w:tc>
      </w:tr>
      <w:tr w:rsidR="000D3F11" w:rsidRPr="00D95364" w14:paraId="0E7AC46B" w14:textId="77777777" w:rsidTr="002919AC">
        <w:trPr>
          <w:trHeight w:val="284"/>
          <w:tblHeader/>
        </w:trPr>
        <w:tc>
          <w:tcPr>
            <w:tcW w:w="340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1EF72228" w14:textId="77777777" w:rsidR="000D3F11" w:rsidRPr="00D95364" w:rsidRDefault="000D3F11" w:rsidP="00FF11C1">
            <w:pPr>
              <w:spacing w:before="60" w:after="60"/>
            </w:pPr>
            <w:r w:rsidRPr="00D95364">
              <w:rPr>
                <w:rFonts w:eastAsia="Arial" w:cs="Arial"/>
                <w:sz w:val="18"/>
                <w:szCs w:val="18"/>
              </w:rPr>
              <w:t>Total number of active providers</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5A1C9240" w14:textId="77777777" w:rsidR="000D3F11" w:rsidRPr="00D95364" w:rsidRDefault="000D3F11" w:rsidP="00503EE1">
            <w:pPr>
              <w:spacing w:before="60" w:after="60"/>
              <w:ind w:right="284"/>
              <w:jc w:val="right"/>
            </w:pPr>
            <w:r w:rsidRPr="00D95364">
              <w:rPr>
                <w:rFonts w:eastAsia="Arial" w:cs="Arial"/>
                <w:sz w:val="18"/>
                <w:szCs w:val="18"/>
              </w:rPr>
              <w:t>7,189</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tcPr>
          <w:p w14:paraId="6573DEA8" w14:textId="543405A8" w:rsidR="00651F9F" w:rsidRPr="00D95364" w:rsidRDefault="00651F9F" w:rsidP="00503EE1">
            <w:pPr>
              <w:spacing w:before="60" w:after="60"/>
              <w:ind w:right="284"/>
              <w:jc w:val="right"/>
              <w:rPr>
                <w:rFonts w:eastAsia="Arial" w:cs="Arial"/>
                <w:sz w:val="18"/>
                <w:szCs w:val="18"/>
              </w:rPr>
            </w:pPr>
            <w:r w:rsidRPr="00D95364">
              <w:rPr>
                <w:rFonts w:eastAsia="Arial" w:cs="Arial"/>
                <w:sz w:val="18"/>
                <w:szCs w:val="18"/>
              </w:rPr>
              <w:t>8,287</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1523838F" w14:textId="4DA59C8E" w:rsidR="000D3F11" w:rsidRPr="00D95364" w:rsidRDefault="000D3F11" w:rsidP="00FF11C1">
            <w:pPr>
              <w:spacing w:before="60" w:after="60"/>
              <w:jc w:val="center"/>
            </w:pPr>
            <w:r w:rsidRPr="00D95364">
              <w:rPr>
                <w:rFonts w:eastAsia="Arial" w:cs="Arial"/>
                <w:sz w:val="18"/>
                <w:szCs w:val="18"/>
              </w:rPr>
              <w:t>+15%</w:t>
            </w:r>
          </w:p>
        </w:tc>
      </w:tr>
      <w:tr w:rsidR="000D3F11" w:rsidRPr="00D95364" w14:paraId="2B688EF2" w14:textId="77777777" w:rsidTr="002919AC">
        <w:trPr>
          <w:trHeight w:val="284"/>
          <w:tblHeader/>
        </w:trPr>
        <w:tc>
          <w:tcPr>
            <w:tcW w:w="340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16CDEA95" w14:textId="77777777" w:rsidR="000D3F11" w:rsidRPr="00D95364" w:rsidRDefault="000D3F11" w:rsidP="00FF11C1">
            <w:pPr>
              <w:spacing w:before="60" w:after="60"/>
            </w:pPr>
            <w:r w:rsidRPr="00D95364">
              <w:rPr>
                <w:rFonts w:eastAsia="Arial" w:cs="Arial"/>
                <w:sz w:val="18"/>
                <w:szCs w:val="18"/>
              </w:rPr>
              <w:t>Total amount claimed</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2C311E2C" w14:textId="77777777" w:rsidR="000D3F11" w:rsidRPr="00D95364" w:rsidRDefault="000D3F11" w:rsidP="00503EE1">
            <w:pPr>
              <w:spacing w:before="60" w:after="60"/>
              <w:ind w:right="284"/>
              <w:jc w:val="right"/>
            </w:pPr>
            <w:r w:rsidRPr="00D95364">
              <w:rPr>
                <w:rFonts w:eastAsia="Arial" w:cs="Arial"/>
                <w:sz w:val="18"/>
                <w:szCs w:val="18"/>
              </w:rPr>
              <w:t>$1.65 billion</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tcPr>
          <w:p w14:paraId="1C275EB5" w14:textId="6AC9DB51" w:rsidR="00651F9F" w:rsidRPr="00D95364" w:rsidRDefault="00651F9F" w:rsidP="00503EE1">
            <w:pPr>
              <w:spacing w:before="60" w:after="60"/>
              <w:ind w:right="284"/>
              <w:jc w:val="right"/>
              <w:rPr>
                <w:rFonts w:eastAsia="Arial" w:cs="Arial"/>
                <w:sz w:val="18"/>
                <w:szCs w:val="18"/>
              </w:rPr>
            </w:pPr>
            <w:r w:rsidRPr="00D95364">
              <w:rPr>
                <w:rFonts w:eastAsia="Arial" w:cs="Arial"/>
                <w:sz w:val="18"/>
                <w:szCs w:val="18"/>
              </w:rPr>
              <w:t>$1.84 billion</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shd w:val="clear" w:color="auto" w:fill="E8CAED" w:themeFill="accent1" w:themeFillTint="33"/>
            <w:vAlign w:val="center"/>
            <w:hideMark/>
          </w:tcPr>
          <w:p w14:paraId="735F55B9" w14:textId="2D54755E" w:rsidR="000D3F11" w:rsidRPr="00D95364" w:rsidRDefault="000D3F11" w:rsidP="00FF11C1">
            <w:pPr>
              <w:spacing w:before="60" w:after="60"/>
              <w:jc w:val="center"/>
            </w:pPr>
            <w:r w:rsidRPr="00D95364">
              <w:rPr>
                <w:rFonts w:eastAsia="Arial" w:cs="Arial"/>
                <w:sz w:val="18"/>
                <w:szCs w:val="18"/>
              </w:rPr>
              <w:t>+11%</w:t>
            </w:r>
          </w:p>
        </w:tc>
      </w:tr>
      <w:tr w:rsidR="000D3F11" w:rsidRPr="005E568E" w14:paraId="431C9636" w14:textId="77777777" w:rsidTr="002919AC">
        <w:trPr>
          <w:trHeight w:val="284"/>
          <w:tblHeader/>
        </w:trPr>
        <w:tc>
          <w:tcPr>
            <w:tcW w:w="340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6540B3C0" w14:textId="77777777" w:rsidR="000D3F11" w:rsidRPr="00D95364" w:rsidRDefault="000D3F11" w:rsidP="00FF11C1">
            <w:pPr>
              <w:spacing w:before="60" w:after="60"/>
            </w:pPr>
            <w:r w:rsidRPr="00D95364">
              <w:rPr>
                <w:rFonts w:eastAsia="Arial" w:cs="Arial"/>
                <w:sz w:val="18"/>
                <w:szCs w:val="18"/>
              </w:rPr>
              <w:t>Average amount claimed per provider</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7C562C68" w14:textId="77777777" w:rsidR="000D3F11" w:rsidRPr="00D95364" w:rsidRDefault="000D3F11" w:rsidP="00503EE1">
            <w:pPr>
              <w:spacing w:before="60" w:after="60"/>
              <w:ind w:right="284"/>
              <w:jc w:val="right"/>
            </w:pPr>
            <w:r w:rsidRPr="00D95364">
              <w:rPr>
                <w:rFonts w:eastAsia="Arial" w:cs="Arial"/>
                <w:sz w:val="18"/>
                <w:szCs w:val="18"/>
              </w:rPr>
              <w:t>$229,617</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tcPr>
          <w:p w14:paraId="7FD01236" w14:textId="5CEF91BC" w:rsidR="00651F9F" w:rsidRPr="00D95364" w:rsidRDefault="00651F9F" w:rsidP="00503EE1">
            <w:pPr>
              <w:spacing w:before="60" w:after="60"/>
              <w:ind w:right="284"/>
              <w:jc w:val="right"/>
              <w:rPr>
                <w:rFonts w:eastAsia="Arial" w:cs="Arial"/>
                <w:sz w:val="18"/>
                <w:szCs w:val="18"/>
              </w:rPr>
            </w:pPr>
            <w:r w:rsidRPr="00D95364">
              <w:rPr>
                <w:rFonts w:eastAsia="Arial" w:cs="Arial"/>
                <w:sz w:val="18"/>
                <w:szCs w:val="18"/>
              </w:rPr>
              <w:t>$221,540</w:t>
            </w:r>
          </w:p>
        </w:tc>
        <w:tc>
          <w:tcPr>
            <w:tcW w:w="1695" w:type="dxa"/>
            <w:tcBorders>
              <w:top w:val="single" w:sz="8" w:space="0" w:color="B962C8" w:themeColor="accent1" w:themeTint="99"/>
              <w:left w:val="single" w:sz="8" w:space="0" w:color="B962C8" w:themeColor="accent1" w:themeTint="99"/>
              <w:bottom w:val="single" w:sz="8" w:space="0" w:color="B962C8" w:themeColor="accent1" w:themeTint="99"/>
              <w:right w:val="single" w:sz="8" w:space="0" w:color="B962C8" w:themeColor="accent1" w:themeTint="99"/>
            </w:tcBorders>
            <w:vAlign w:val="center"/>
            <w:hideMark/>
          </w:tcPr>
          <w:p w14:paraId="10F28673" w14:textId="0B02A712" w:rsidR="000D3F11" w:rsidRPr="00D95364" w:rsidRDefault="000D3F11" w:rsidP="00FF11C1">
            <w:pPr>
              <w:spacing w:before="60" w:after="60"/>
              <w:jc w:val="center"/>
            </w:pPr>
            <w:r w:rsidRPr="00D95364">
              <w:rPr>
                <w:rFonts w:eastAsia="Arial" w:cs="Arial"/>
                <w:sz w:val="18"/>
                <w:szCs w:val="18"/>
              </w:rPr>
              <w:t>-4%</w:t>
            </w:r>
          </w:p>
        </w:tc>
      </w:tr>
    </w:tbl>
    <w:p w14:paraId="3ABB6471" w14:textId="77777777" w:rsidR="000D3F11" w:rsidRPr="00FF11C1" w:rsidRDefault="000D3F11" w:rsidP="000D3F11">
      <w:pPr>
        <w:pStyle w:val="Footnote"/>
        <w:ind w:left="0" w:firstLine="0"/>
        <w:rPr>
          <w:b/>
          <w:i/>
          <w:sz w:val="16"/>
          <w:szCs w:val="16"/>
        </w:rPr>
      </w:pPr>
      <w:r w:rsidRPr="00FF11C1">
        <w:rPr>
          <w:b/>
          <w:i/>
          <w:sz w:val="16"/>
          <w:szCs w:val="16"/>
        </w:rPr>
        <w:t>Source: NDIS internal administrative data</w:t>
      </w:r>
    </w:p>
    <w:p w14:paraId="1387FFF1" w14:textId="39E28FE7" w:rsidR="00115066" w:rsidRPr="00115066" w:rsidRDefault="1E4C0C0E" w:rsidP="00FB06F9">
      <w:r>
        <w:t>As reported in the 2021-22 APR report, a significant number of providers who claim</w:t>
      </w:r>
      <w:r w:rsidR="3CA1F243">
        <w:t>ed</w:t>
      </w:r>
      <w:r>
        <w:t xml:space="preserve"> for the TTP </w:t>
      </w:r>
      <w:r w:rsidR="01285006">
        <w:t>did not meet</w:t>
      </w:r>
      <w:r>
        <w:t xml:space="preserve"> the TTP eligibility requirements. Only 64.1% of providers who claimed the TTP in 2020-21 completed the benchmarking survey for the 2019-20 financial year, and only 37.1% of providers who claimed TTP in the first half of 2021-22 completed the benchmarking survey for the 2020-21 financial year. </w:t>
      </w:r>
    </w:p>
    <w:p w14:paraId="05700685" w14:textId="30AD62A0" w:rsidR="00E94826" w:rsidRDefault="003D084F">
      <w:r w:rsidRPr="00115066">
        <w:lastRenderedPageBreak/>
        <w:t>These numbers signalled there was a low response rat</w:t>
      </w:r>
      <w:r w:rsidR="00AB4615">
        <w:t>e</w:t>
      </w:r>
      <w:r w:rsidR="00C32B1B">
        <w:t xml:space="preserve">. The results </w:t>
      </w:r>
      <w:r w:rsidR="00AB4615">
        <w:t xml:space="preserve">suggest that using </w:t>
      </w:r>
      <w:r w:rsidR="00486140">
        <w:t xml:space="preserve">TTP </w:t>
      </w:r>
      <w:r w:rsidR="00AB0741">
        <w:t xml:space="preserve">in current form </w:t>
      </w:r>
      <w:r w:rsidR="00486140">
        <w:t xml:space="preserve">to encourage </w:t>
      </w:r>
      <w:r w:rsidR="001928ED">
        <w:t xml:space="preserve">take up of the financial benchmarking survey has not been </w:t>
      </w:r>
      <w:r w:rsidR="00FF0C2D">
        <w:t xml:space="preserve">as </w:t>
      </w:r>
      <w:r w:rsidR="00B94AEF">
        <w:t xml:space="preserve">successful as </w:t>
      </w:r>
      <w:r w:rsidR="00FF0C2D">
        <w:t xml:space="preserve">anticipated </w:t>
      </w:r>
      <w:r w:rsidR="00B94AEF">
        <w:t xml:space="preserve">to collate information on providers’ </w:t>
      </w:r>
      <w:r w:rsidR="00E76FC7">
        <w:t>financial bottom li</w:t>
      </w:r>
      <w:r w:rsidR="00DB41F2">
        <w:t>ne.</w:t>
      </w:r>
    </w:p>
    <w:p w14:paraId="2BFC6662" w14:textId="7254B026" w:rsidR="006A7331" w:rsidRPr="0032745D" w:rsidRDefault="006A7331" w:rsidP="00D9646F">
      <w:pPr>
        <w:pStyle w:val="Heading3"/>
      </w:pPr>
      <w:r w:rsidRPr="0032745D">
        <w:t>4.13</w:t>
      </w:r>
      <w:r w:rsidRPr="0032745D">
        <w:tab/>
        <w:t>Feedback from consultations</w:t>
      </w:r>
    </w:p>
    <w:p w14:paraId="7AA5F6AE" w14:textId="0B03CDD7" w:rsidR="008328AB" w:rsidRPr="008328AB" w:rsidRDefault="4C520A88" w:rsidP="19AAF43B">
      <w:pPr>
        <w:rPr>
          <w:rFonts w:eastAsia="Arial" w:cs="Arial"/>
        </w:rPr>
      </w:pPr>
      <w:r>
        <w:t xml:space="preserve">Of 304 submissions received, 19% (59) discussed disability support worker related supports. One of main themes raised was </w:t>
      </w:r>
      <w:r w:rsidR="4FA075E6">
        <w:t xml:space="preserve">that </w:t>
      </w:r>
      <w:r>
        <w:t xml:space="preserve">there is still ongoing adjustment for many providers on costs related to quality, safeguards, and compliance, COVID and SCHADS Award changes. Participants also felt that there was a wide variance of skills among support workers delivering supports, </w:t>
      </w:r>
      <w:r w:rsidR="00320411">
        <w:t xml:space="preserve">and </w:t>
      </w:r>
      <w:r>
        <w:t xml:space="preserve">that these workers were </w:t>
      </w:r>
      <w:bookmarkStart w:id="73" w:name="_Int_4uReqSN2"/>
      <w:r>
        <w:t>generally paid</w:t>
      </w:r>
      <w:bookmarkEnd w:id="73"/>
      <w:r>
        <w:t xml:space="preserve"> at the NDIS price limit.</w:t>
      </w:r>
    </w:p>
    <w:p w14:paraId="4DEE9B92" w14:textId="72F5CA7C" w:rsidR="00E94826" w:rsidRPr="00E927EC" w:rsidRDefault="008328AB">
      <w:pPr>
        <w:rPr>
          <w:szCs w:val="22"/>
        </w:rPr>
      </w:pPr>
      <w:r>
        <w:t>See Appendix A for more details on common themes raised in submissions to the 2022-23 APR Consultation Paper.</w:t>
      </w:r>
    </w:p>
    <w:p w14:paraId="7B10FD58" w14:textId="73574C50" w:rsidR="003A6631" w:rsidRPr="00935CB0" w:rsidRDefault="003A6631" w:rsidP="00D9646F">
      <w:pPr>
        <w:pStyle w:val="Heading3"/>
      </w:pPr>
      <w:r w:rsidRPr="00935CB0">
        <w:t>4.14</w:t>
      </w:r>
      <w:r w:rsidRPr="00935CB0">
        <w:tab/>
        <w:t>Recommendations</w:t>
      </w:r>
    </w:p>
    <w:p w14:paraId="6D4D8B9E" w14:textId="66329ADF" w:rsidR="00A93B0E" w:rsidRDefault="00F85688" w:rsidP="00F85688">
      <w:pPr>
        <w:rPr>
          <w:szCs w:val="22"/>
        </w:rPr>
      </w:pPr>
      <w:r w:rsidRPr="00787B95">
        <w:rPr>
          <w:szCs w:val="22"/>
        </w:rPr>
        <w:t>In determining the price limit for DSW</w:t>
      </w:r>
      <w:r w:rsidR="0020622F">
        <w:rPr>
          <w:szCs w:val="22"/>
        </w:rPr>
        <w:t>-</w:t>
      </w:r>
      <w:r w:rsidRPr="00787B95">
        <w:rPr>
          <w:szCs w:val="22"/>
        </w:rPr>
        <w:t>related supports,</w:t>
      </w:r>
      <w:r>
        <w:rPr>
          <w:szCs w:val="22"/>
        </w:rPr>
        <w:t xml:space="preserve"> analyses suggest that the labour market for the care sector remains tight. </w:t>
      </w:r>
      <w:r w:rsidRPr="0043136F">
        <w:rPr>
          <w:szCs w:val="22"/>
        </w:rPr>
        <w:t>These conditions could potentially intensify competition in terms of labour with other care sectors, which could put more pressure on supply going forward.</w:t>
      </w:r>
      <w:r>
        <w:rPr>
          <w:szCs w:val="22"/>
        </w:rPr>
        <w:t xml:space="preserve"> </w:t>
      </w:r>
    </w:p>
    <w:p w14:paraId="3F3E97DD" w14:textId="58F51EA9" w:rsidR="00F85688" w:rsidRDefault="0056116D" w:rsidP="00F85688">
      <w:pPr>
        <w:rPr>
          <w:szCs w:val="22"/>
        </w:rPr>
      </w:pPr>
      <w:r>
        <w:rPr>
          <w:szCs w:val="22"/>
        </w:rPr>
        <w:t>To ensure</w:t>
      </w:r>
      <w:r w:rsidR="00D22970">
        <w:rPr>
          <w:szCs w:val="22"/>
        </w:rPr>
        <w:t xml:space="preserve"> NDIS participant’s wellbeing and safety, it is considered appropriate </w:t>
      </w:r>
      <w:r w:rsidR="003C0397">
        <w:rPr>
          <w:szCs w:val="22"/>
        </w:rPr>
        <w:t xml:space="preserve">to pass on </w:t>
      </w:r>
      <w:r w:rsidR="00846BAF">
        <w:rPr>
          <w:szCs w:val="22"/>
        </w:rPr>
        <w:t xml:space="preserve">minimum </w:t>
      </w:r>
      <w:r w:rsidR="00E20CD6">
        <w:rPr>
          <w:szCs w:val="22"/>
        </w:rPr>
        <w:t>Award wages and national employment standard changes to superannuation</w:t>
      </w:r>
      <w:r w:rsidR="00A93B0E">
        <w:rPr>
          <w:szCs w:val="22"/>
        </w:rPr>
        <w:t xml:space="preserve"> for this to occur.</w:t>
      </w:r>
    </w:p>
    <w:p w14:paraId="3945E0C4" w14:textId="77777777" w:rsidR="00146A9C" w:rsidRPr="00DF0C3D" w:rsidRDefault="00146A9C" w:rsidP="00146A9C">
      <w:pPr>
        <w:pStyle w:val="RecHeading"/>
      </w:pPr>
      <w:r w:rsidRPr="00DF0C3D">
        <w:t xml:space="preserve">Recommendation </w:t>
      </w:r>
      <w:r>
        <w:t>1</w:t>
      </w:r>
    </w:p>
    <w:p w14:paraId="3710C1EA" w14:textId="29A50A78" w:rsidR="00717B33" w:rsidRPr="00E927EC" w:rsidRDefault="009E54A8" w:rsidP="00E927EC">
      <w:pPr>
        <w:pStyle w:val="RecText"/>
      </w:pPr>
      <w:r>
        <w:t>The NDIA</w:t>
      </w:r>
      <w:r w:rsidRPr="00DF0C3D">
        <w:t>, subject to any specific recommendation arising from the current Annual Pricing Review, should</w:t>
      </w:r>
      <w:r>
        <w:t xml:space="preserve"> </w:t>
      </w:r>
      <w:r>
        <w:t>i</w:t>
      </w:r>
      <w:r w:rsidRPr="00DF0C3D">
        <w:t xml:space="preserve">ncrease the price limits for supports that are determined by the NDIS Disability Support Worker Cost Model </w:t>
      </w:r>
      <w:r>
        <w:t xml:space="preserve">from </w:t>
      </w:r>
      <w:r w:rsidRPr="00DF0C3D">
        <w:t xml:space="preserve">1 July </w:t>
      </w:r>
      <w:r>
        <w:t>2023</w:t>
      </w:r>
      <w:r w:rsidRPr="00DF0C3D">
        <w:t xml:space="preserve"> to reflect any changes in the minimum wages specified in the </w:t>
      </w:r>
      <w:r>
        <w:t xml:space="preserve">Social, Community, Home Care </w:t>
      </w:r>
      <w:r w:rsidR="44FAE83A">
        <w:t>a</w:t>
      </w:r>
      <w:r>
        <w:t>nd Disability Services Industry Award 2010 (</w:t>
      </w:r>
      <w:r w:rsidRPr="00DF0C3D">
        <w:t>SCHADS Award</w:t>
      </w:r>
      <w:r>
        <w:t>)</w:t>
      </w:r>
      <w:r w:rsidRPr="00DF0C3D">
        <w:t xml:space="preserve"> following the Fair Work Commission’s Annual Wage Review and any increase in the Superannuation Guarantee Charge</w:t>
      </w:r>
      <w:r>
        <w:t>.</w:t>
      </w:r>
    </w:p>
    <w:p w14:paraId="6ED3F2C2" w14:textId="2DEC1665" w:rsidR="00B238F1" w:rsidRDefault="00B238F1" w:rsidP="00B238F1">
      <w:pPr>
        <w:rPr>
          <w:szCs w:val="22"/>
        </w:rPr>
      </w:pPr>
      <w:r>
        <w:rPr>
          <w:szCs w:val="22"/>
        </w:rPr>
        <w:t>Th</w:t>
      </w:r>
      <w:r w:rsidRPr="00787B95">
        <w:rPr>
          <w:szCs w:val="22"/>
        </w:rPr>
        <w:t xml:space="preserve">e 2% temporary loading introduced </w:t>
      </w:r>
      <w:r>
        <w:rPr>
          <w:szCs w:val="22"/>
        </w:rPr>
        <w:t xml:space="preserve">from 1 </w:t>
      </w:r>
      <w:r w:rsidRPr="00787B95">
        <w:rPr>
          <w:szCs w:val="22"/>
        </w:rPr>
        <w:t xml:space="preserve">July 2022 </w:t>
      </w:r>
      <w:r>
        <w:rPr>
          <w:szCs w:val="22"/>
        </w:rPr>
        <w:t xml:space="preserve">in the DSW Cost Model </w:t>
      </w:r>
      <w:r w:rsidRPr="00787B95">
        <w:rPr>
          <w:szCs w:val="22"/>
        </w:rPr>
        <w:t xml:space="preserve">was </w:t>
      </w:r>
      <w:r>
        <w:rPr>
          <w:szCs w:val="22"/>
        </w:rPr>
        <w:t xml:space="preserve">intended </w:t>
      </w:r>
      <w:r w:rsidRPr="00787B95">
        <w:rPr>
          <w:szCs w:val="22"/>
        </w:rPr>
        <w:t xml:space="preserve">to be </w:t>
      </w:r>
      <w:r>
        <w:rPr>
          <w:szCs w:val="22"/>
        </w:rPr>
        <w:t>a temporary</w:t>
      </w:r>
      <w:r w:rsidRPr="00787B95">
        <w:rPr>
          <w:szCs w:val="22"/>
        </w:rPr>
        <w:t xml:space="preserve"> </w:t>
      </w:r>
      <w:r>
        <w:rPr>
          <w:szCs w:val="22"/>
        </w:rPr>
        <w:t>measure to assist providers adjust to costs such as COVID and SCHADS Award changes. The following considerations have been given:</w:t>
      </w:r>
    </w:p>
    <w:p w14:paraId="5414E620" w14:textId="1B04B0D3" w:rsidR="00B238F1" w:rsidRDefault="60495F87" w:rsidP="00F317CA">
      <w:pPr>
        <w:pStyle w:val="ListParagraph"/>
        <w:numPr>
          <w:ilvl w:val="0"/>
          <w:numId w:val="13"/>
        </w:numPr>
      </w:pPr>
      <w:r>
        <w:t xml:space="preserve">It should be recognised that COVID related restrictions in the economy have been wound back. However, </w:t>
      </w:r>
      <w:r w:rsidR="50537B16">
        <w:t xml:space="preserve">COVID </w:t>
      </w:r>
      <w:r w:rsidR="21D09BE7">
        <w:t xml:space="preserve">is still </w:t>
      </w:r>
      <w:r w:rsidR="00320411">
        <w:t xml:space="preserve">active </w:t>
      </w:r>
      <w:r w:rsidR="21D09BE7">
        <w:t xml:space="preserve">in Australia and </w:t>
      </w:r>
      <w:r w:rsidR="0039436F">
        <w:t xml:space="preserve">is likely to continue </w:t>
      </w:r>
      <w:r w:rsidR="21D09BE7">
        <w:t>to disrupt supports being delivered to NDIS participants</w:t>
      </w:r>
      <w:r w:rsidR="50A0A576">
        <w:t>. P</w:t>
      </w:r>
      <w:r w:rsidR="21D09BE7">
        <w:t xml:space="preserve">roviders </w:t>
      </w:r>
      <w:r w:rsidR="50A0A576">
        <w:t>incur</w:t>
      </w:r>
      <w:r w:rsidR="220F8F72">
        <w:t xml:space="preserve"> some costs when these arise (</w:t>
      </w:r>
      <w:r w:rsidR="000A275E">
        <w:t>such as</w:t>
      </w:r>
      <w:r w:rsidR="220F8F72">
        <w:t xml:space="preserve"> PPE and RAT tests</w:t>
      </w:r>
      <w:r w:rsidR="212F2C58">
        <w:t>). The</w:t>
      </w:r>
      <w:r>
        <w:t xml:space="preserve"> NDIS sector </w:t>
      </w:r>
      <w:r w:rsidR="220F8F72">
        <w:t>also</w:t>
      </w:r>
      <w:r>
        <w:t xml:space="preserve"> represents some of the most vulnerable groups in the community and the adjustments from </w:t>
      </w:r>
      <w:r w:rsidR="000D09C2">
        <w:t xml:space="preserve">the impacts of </w:t>
      </w:r>
      <w:r>
        <w:t xml:space="preserve">COVID has </w:t>
      </w:r>
      <w:bookmarkStart w:id="74" w:name="_Int_jU3oPq9u"/>
      <w:r>
        <w:t>somewhat been</w:t>
      </w:r>
      <w:bookmarkEnd w:id="74"/>
      <w:r>
        <w:t xml:space="preserve"> slower than the rest of the </w:t>
      </w:r>
      <w:r w:rsidR="0FB2C0DB">
        <w:t>nation</w:t>
      </w:r>
      <w:r>
        <w:t xml:space="preserve">. </w:t>
      </w:r>
    </w:p>
    <w:p w14:paraId="318107BF" w14:textId="0045805C" w:rsidR="00B038C1" w:rsidRDefault="1B826F04" w:rsidP="00F317CA">
      <w:pPr>
        <w:pStyle w:val="ListParagraph"/>
        <w:numPr>
          <w:ilvl w:val="0"/>
          <w:numId w:val="13"/>
        </w:numPr>
      </w:pPr>
      <w:bookmarkStart w:id="75" w:name="_Int_vQyo0LSO"/>
      <w:r>
        <w:t>I</w:t>
      </w:r>
      <w:r w:rsidR="2BF404F1">
        <w:t>t appears many</w:t>
      </w:r>
      <w:bookmarkEnd w:id="75"/>
      <w:r w:rsidR="2BF404F1">
        <w:t xml:space="preserve"> of the adjustments needed for the SCHADS Award changes were one-off costs</w:t>
      </w:r>
      <w:r w:rsidR="446A7219">
        <w:t xml:space="preserve"> for </w:t>
      </w:r>
      <w:r w:rsidR="2E8D40A2">
        <w:t xml:space="preserve">providers. It is considered that </w:t>
      </w:r>
      <w:r w:rsidR="2BF404F1">
        <w:t>there is still ongoing adjustment being made by the sector</w:t>
      </w:r>
      <w:r w:rsidR="08C0CA67">
        <w:t xml:space="preserve"> as these </w:t>
      </w:r>
      <w:r w:rsidR="56283907">
        <w:t xml:space="preserve">major Award </w:t>
      </w:r>
      <w:r w:rsidR="08C0CA67">
        <w:t xml:space="preserve">changes are still </w:t>
      </w:r>
      <w:r w:rsidR="56283907">
        <w:t>relatively recent</w:t>
      </w:r>
      <w:r w:rsidR="2BF404F1">
        <w:t xml:space="preserve">. </w:t>
      </w:r>
      <w:r w:rsidR="4213669C">
        <w:t xml:space="preserve">The NDIA </w:t>
      </w:r>
      <w:r w:rsidR="2BF404F1">
        <w:t>recognise</w:t>
      </w:r>
      <w:r w:rsidR="4213669C">
        <w:t>s</w:t>
      </w:r>
      <w:r w:rsidR="2BF404F1">
        <w:t xml:space="preserve"> </w:t>
      </w:r>
      <w:r w:rsidR="011257EB">
        <w:t xml:space="preserve">there is </w:t>
      </w:r>
      <w:r w:rsidR="4213669C">
        <w:t xml:space="preserve">some </w:t>
      </w:r>
      <w:r w:rsidR="2BF404F1">
        <w:t xml:space="preserve">cost impact </w:t>
      </w:r>
      <w:r w:rsidR="011257EB">
        <w:t xml:space="preserve">that </w:t>
      </w:r>
      <w:r w:rsidR="4213669C">
        <w:t xml:space="preserve">can </w:t>
      </w:r>
      <w:r w:rsidR="2BF404F1">
        <w:t xml:space="preserve">still </w:t>
      </w:r>
      <w:r w:rsidR="4213669C">
        <w:t xml:space="preserve">be </w:t>
      </w:r>
      <w:r w:rsidR="2BF404F1">
        <w:t xml:space="preserve">borne by providers </w:t>
      </w:r>
      <w:r w:rsidR="011257EB">
        <w:t xml:space="preserve">as </w:t>
      </w:r>
      <w:r w:rsidR="37AC9077">
        <w:t xml:space="preserve">it takes time </w:t>
      </w:r>
      <w:r w:rsidR="0E78C58A">
        <w:t xml:space="preserve">for a sector to </w:t>
      </w:r>
      <w:r w:rsidR="37AC9077">
        <w:t xml:space="preserve">fully adjust systems and processes </w:t>
      </w:r>
      <w:r w:rsidR="7CD7E952">
        <w:t xml:space="preserve">to major Award changes. </w:t>
      </w:r>
    </w:p>
    <w:p w14:paraId="40CD37F6" w14:textId="64168E3E" w:rsidR="00B238F1" w:rsidRPr="002C6AF0" w:rsidRDefault="311DFC90" w:rsidP="24862EB2">
      <w:pPr>
        <w:rPr>
          <w:rStyle w:val="normaltextrun"/>
        </w:rPr>
      </w:pPr>
      <w:r>
        <w:lastRenderedPageBreak/>
        <w:t>T</w:t>
      </w:r>
      <w:r w:rsidR="3745ADEB">
        <w:t xml:space="preserve">he </w:t>
      </w:r>
      <w:r w:rsidR="2BF404F1">
        <w:t xml:space="preserve">NDIA considers that </w:t>
      </w:r>
      <w:bookmarkStart w:id="76" w:name="_Int_undFyaE9"/>
      <w:proofErr w:type="gramStart"/>
      <w:r w:rsidR="619F1465">
        <w:t>the majority of</w:t>
      </w:r>
      <w:bookmarkEnd w:id="76"/>
      <w:proofErr w:type="gramEnd"/>
      <w:r w:rsidR="619F1465">
        <w:t xml:space="preserve"> these costs have </w:t>
      </w:r>
      <w:r w:rsidR="074E54BA">
        <w:t xml:space="preserve">been addressed and/or winding back over the past year. </w:t>
      </w:r>
      <w:r>
        <w:t xml:space="preserve">COVID costs </w:t>
      </w:r>
      <w:r w:rsidR="27CFC549">
        <w:t xml:space="preserve">have been </w:t>
      </w:r>
      <w:r w:rsidR="2A072073">
        <w:t>reducing post pandemic</w:t>
      </w:r>
      <w:r w:rsidR="27CFC549">
        <w:t xml:space="preserve"> and many of the costs from the </w:t>
      </w:r>
      <w:r w:rsidR="3C031B98">
        <w:t xml:space="preserve">changes to the </w:t>
      </w:r>
      <w:r w:rsidR="27CFC549">
        <w:t>SCHADS Award</w:t>
      </w:r>
      <w:r>
        <w:t xml:space="preserve"> </w:t>
      </w:r>
      <w:r w:rsidR="3C031B98">
        <w:t xml:space="preserve">were one-off </w:t>
      </w:r>
      <w:r w:rsidR="389E7F4B">
        <w:t>adjustments</w:t>
      </w:r>
      <w:r w:rsidR="79835952">
        <w:t>.</w:t>
      </w:r>
      <w:r w:rsidR="3C031B98">
        <w:t xml:space="preserve"> However, </w:t>
      </w:r>
      <w:r w:rsidR="074E54BA">
        <w:t xml:space="preserve">the NDIA acknowledges </w:t>
      </w:r>
      <w:r w:rsidR="3642FDF8">
        <w:t xml:space="preserve">these </w:t>
      </w:r>
      <w:r w:rsidR="074E54BA">
        <w:t xml:space="preserve">have </w:t>
      </w:r>
      <w:r w:rsidR="578CBA41">
        <w:t xml:space="preserve">the potential to impact participant safety as </w:t>
      </w:r>
      <w:r w:rsidR="72BFC7F3">
        <w:t xml:space="preserve">some providers are still facing </w:t>
      </w:r>
      <w:r w:rsidR="000B653F">
        <w:t xml:space="preserve">transition </w:t>
      </w:r>
      <w:r w:rsidR="72BFC7F3">
        <w:t>costs associated with both.</w:t>
      </w:r>
      <w:r w:rsidR="2BF404F1">
        <w:t xml:space="preserve"> </w:t>
      </w:r>
      <w:r w:rsidR="572AD077">
        <w:t>Therefore</w:t>
      </w:r>
      <w:r w:rsidR="1E4ED833">
        <w:t>,</w:t>
      </w:r>
      <w:r w:rsidR="572AD077">
        <w:t xml:space="preserve"> the NDIA considers it </w:t>
      </w:r>
      <w:r w:rsidR="2BF404F1">
        <w:t xml:space="preserve">necessary </w:t>
      </w:r>
      <w:r w:rsidR="2BF404F1">
        <w:t xml:space="preserve">to </w:t>
      </w:r>
      <w:r w:rsidR="00193029" w:rsidRPr="00803378">
        <w:t>exten</w:t>
      </w:r>
      <w:r w:rsidR="00193029">
        <w:t>d</w:t>
      </w:r>
      <w:r w:rsidR="00193029" w:rsidRPr="00803378">
        <w:t xml:space="preserve"> the temporary loading for a further 12 months at 1% from 1 July 2023</w:t>
      </w:r>
      <w:r w:rsidR="00193029">
        <w:t xml:space="preserve"> with this </w:t>
      </w:r>
      <w:r w:rsidR="00193029" w:rsidRPr="00803378">
        <w:t>ceas</w:t>
      </w:r>
      <w:r w:rsidR="00193029">
        <w:t>ing</w:t>
      </w:r>
      <w:r w:rsidR="00193029" w:rsidRPr="00803378">
        <w:t xml:space="preserve"> on 1 July 2024</w:t>
      </w:r>
      <w:r w:rsidR="3D292AD5">
        <w:t xml:space="preserve">, </w:t>
      </w:r>
      <w:r w:rsidR="7C543DD4">
        <w:t xml:space="preserve">to allow providers </w:t>
      </w:r>
      <w:r w:rsidR="168B8E3E">
        <w:t>more time to adjust to these</w:t>
      </w:r>
      <w:r w:rsidR="2BF404F1">
        <w:t xml:space="preserve">. </w:t>
      </w:r>
    </w:p>
    <w:p w14:paraId="76DFB19E" w14:textId="77777777" w:rsidR="00146A9C" w:rsidRDefault="00146A9C" w:rsidP="00146A9C">
      <w:pPr>
        <w:pStyle w:val="RecHeading"/>
      </w:pPr>
      <w:r w:rsidRPr="007E12AF">
        <w:t>Recommendat</w:t>
      </w:r>
      <w:r w:rsidRPr="3D96749F">
        <w:t>ion 2</w:t>
      </w:r>
    </w:p>
    <w:p w14:paraId="77E31A07" w14:textId="17BF5599" w:rsidR="00286C6C" w:rsidRPr="00E927EC" w:rsidRDefault="00146A9C" w:rsidP="00E927EC">
      <w:pPr>
        <w:pStyle w:val="RecText"/>
      </w:pPr>
      <w:r>
        <w:t>The NDIA</w:t>
      </w:r>
      <w:r w:rsidRPr="00DF0C3D">
        <w:t xml:space="preserve"> should </w:t>
      </w:r>
      <w:r w:rsidR="00193029" w:rsidRPr="00803378">
        <w:t>exten</w:t>
      </w:r>
      <w:r w:rsidR="00193029">
        <w:t>d</w:t>
      </w:r>
      <w:r w:rsidR="00193029" w:rsidRPr="00803378">
        <w:t xml:space="preserve"> the temporary loading for a further 12 months at 1% from 1 July 2023</w:t>
      </w:r>
      <w:r w:rsidR="00193029">
        <w:t xml:space="preserve"> with this </w:t>
      </w:r>
      <w:r w:rsidR="00193029" w:rsidRPr="00803378">
        <w:t>ceas</w:t>
      </w:r>
      <w:r w:rsidR="00193029">
        <w:t>ing</w:t>
      </w:r>
      <w:r w:rsidR="00193029" w:rsidRPr="00803378">
        <w:t xml:space="preserve"> on 1 July 2024</w:t>
      </w:r>
      <w:r w:rsidDel="002348BC">
        <w:t xml:space="preserve">. </w:t>
      </w:r>
    </w:p>
    <w:p w14:paraId="6558AAB6" w14:textId="0BB69E49" w:rsidR="00B238F1" w:rsidRPr="00455C66" w:rsidRDefault="00B238F1" w:rsidP="00B238F1">
      <w:pPr>
        <w:rPr>
          <w:rFonts w:asciiTheme="majorHAnsi" w:eastAsia="Calibri" w:hAnsiTheme="majorHAnsi" w:cstheme="majorHAnsi"/>
          <w:szCs w:val="22"/>
          <w:lang w:val="en-US"/>
        </w:rPr>
      </w:pPr>
      <w:r w:rsidRPr="00787B95">
        <w:rPr>
          <w:szCs w:val="22"/>
        </w:rPr>
        <w:t xml:space="preserve">An additional </w:t>
      </w:r>
      <w:r>
        <w:rPr>
          <w:szCs w:val="22"/>
        </w:rPr>
        <w:t xml:space="preserve">consideration this year </w:t>
      </w:r>
      <w:r w:rsidRPr="00787B95">
        <w:rPr>
          <w:szCs w:val="22"/>
        </w:rPr>
        <w:t xml:space="preserve">is the new paid family and domestic violence leave introduced by the Fair Work </w:t>
      </w:r>
      <w:r>
        <w:rPr>
          <w:szCs w:val="22"/>
        </w:rPr>
        <w:t>Commission</w:t>
      </w:r>
      <w:r w:rsidRPr="00787B95">
        <w:rPr>
          <w:szCs w:val="22"/>
        </w:rPr>
        <w:t>. Based on previous surveys and studies, the NDI</w:t>
      </w:r>
      <w:r>
        <w:rPr>
          <w:szCs w:val="22"/>
        </w:rPr>
        <w:t>A</w:t>
      </w:r>
      <w:r w:rsidRPr="00787B95">
        <w:rPr>
          <w:szCs w:val="22"/>
        </w:rPr>
        <w:t xml:space="preserve"> estimates an </w:t>
      </w:r>
      <w:r>
        <w:rPr>
          <w:szCs w:val="22"/>
        </w:rPr>
        <w:t xml:space="preserve">upper bound </w:t>
      </w:r>
      <w:r w:rsidRPr="00787B95">
        <w:rPr>
          <w:szCs w:val="22"/>
        </w:rPr>
        <w:t xml:space="preserve">number of workers accessing family and domestic violence leave to be 2.3%, with those accessing the leave assumed to be accessing the entire minimum entitlement. </w:t>
      </w:r>
    </w:p>
    <w:p w14:paraId="1599E6C1" w14:textId="64BA47CA" w:rsidR="00B238F1" w:rsidRDefault="2BF404F1" w:rsidP="00B238F1">
      <w:r w:rsidRPr="24862EB2">
        <w:rPr>
          <w:rFonts w:asciiTheme="majorHAnsi" w:eastAsia="Arial" w:hAnsiTheme="majorHAnsi" w:cstheme="majorBidi"/>
          <w:lang w:val="en-US"/>
        </w:rPr>
        <w:t>The NDIA acknowledges this may be an over</w:t>
      </w:r>
      <w:r w:rsidR="2996417F" w:rsidRPr="24862EB2">
        <w:rPr>
          <w:rFonts w:asciiTheme="majorHAnsi" w:eastAsia="Arial" w:hAnsiTheme="majorHAnsi" w:cstheme="majorBidi"/>
          <w:lang w:val="en-US"/>
        </w:rPr>
        <w:t>estimation of</w:t>
      </w:r>
      <w:r w:rsidRPr="24862EB2">
        <w:rPr>
          <w:rFonts w:asciiTheme="majorHAnsi" w:eastAsia="Arial" w:hAnsiTheme="majorHAnsi" w:cstheme="majorBidi"/>
          <w:lang w:val="en-US"/>
        </w:rPr>
        <w:t xml:space="preserve"> the actual up-take of this leave in the sector as it is implemented and will continue monitoring this into the future.</w:t>
      </w:r>
    </w:p>
    <w:p w14:paraId="4C363D66" w14:textId="77777777" w:rsidR="00B238F1" w:rsidRDefault="00B238F1" w:rsidP="00B238F1">
      <w:pPr>
        <w:pStyle w:val="RecHeading"/>
        <w:rPr>
          <w:rFonts w:cs="Arial"/>
          <w:i w:val="0"/>
          <w:iCs/>
          <w:szCs w:val="22"/>
        </w:rPr>
      </w:pPr>
      <w:r w:rsidRPr="00256D9F">
        <w:t xml:space="preserve">Recommendation </w:t>
      </w:r>
      <w:r>
        <w:t>3</w:t>
      </w:r>
    </w:p>
    <w:p w14:paraId="06B91A5E" w14:textId="3F81DB34" w:rsidR="00B238F1" w:rsidRPr="00E927EC" w:rsidRDefault="00286C6C" w:rsidP="00E927EC">
      <w:pPr>
        <w:pStyle w:val="RecText"/>
        <w:rPr>
          <w:rStyle w:val="normaltextrun"/>
        </w:rPr>
      </w:pPr>
      <w:r>
        <w:t>The NDIA</w:t>
      </w:r>
      <w:r w:rsidRPr="00DF0C3D">
        <w:t xml:space="preserve"> should </w:t>
      </w:r>
      <w:r>
        <w:t xml:space="preserve">include </w:t>
      </w:r>
      <w:r w:rsidR="00915DC6">
        <w:t>the</w:t>
      </w:r>
      <w:r w:rsidR="00915DC6" w:rsidRPr="00803378">
        <w:t xml:space="preserve"> paid family and domestic violence leave into the Disability Support Worker Cost Model -</w:t>
      </w:r>
      <w:r w:rsidR="001132A9">
        <w:t xml:space="preserve"> an</w:t>
      </w:r>
      <w:r w:rsidR="00915DC6" w:rsidRPr="00803378">
        <w:t xml:space="preserve"> increase </w:t>
      </w:r>
      <w:r w:rsidR="001132A9">
        <w:t xml:space="preserve">of </w:t>
      </w:r>
      <w:r w:rsidR="00915DC6" w:rsidRPr="00803378">
        <w:t xml:space="preserve">0.1% from 1 July </w:t>
      </w:r>
      <w:r w:rsidR="001132A9">
        <w:t xml:space="preserve">2023 </w:t>
      </w:r>
      <w:r w:rsidR="00915DC6" w:rsidRPr="00803378">
        <w:t>to reflect the new entitlements for workers in the industry</w:t>
      </w:r>
      <w:r>
        <w:t>.</w:t>
      </w:r>
    </w:p>
    <w:p w14:paraId="41D8CAD5" w14:textId="5A2837D0" w:rsidR="00B238F1" w:rsidRDefault="00B238F1" w:rsidP="00B238F1">
      <w:r>
        <w:t>T</w:t>
      </w:r>
      <w:r w:rsidRPr="00787B95">
        <w:t xml:space="preserve">he Fair Work Commission </w:t>
      </w:r>
      <w:r>
        <w:t xml:space="preserve">has </w:t>
      </w:r>
      <w:r w:rsidRPr="00787B95">
        <w:t>lift</w:t>
      </w:r>
      <w:r>
        <w:t>ed</w:t>
      </w:r>
      <w:r w:rsidRPr="00787B95">
        <w:t xml:space="preserve"> the Aged Care Award wages by 15% from July 2023</w:t>
      </w:r>
      <w:r>
        <w:t>.</w:t>
      </w:r>
      <w:r w:rsidRPr="00787B95">
        <w:t xml:space="preserve"> </w:t>
      </w:r>
      <w:r>
        <w:t>T</w:t>
      </w:r>
      <w:r w:rsidRPr="00787B95">
        <w:t xml:space="preserve">he DSW Award rates are still </w:t>
      </w:r>
      <w:r>
        <w:t xml:space="preserve">estimated to be </w:t>
      </w:r>
      <w:r w:rsidRPr="00787B95">
        <w:t>higher than the comparable Aged Care Award rates</w:t>
      </w:r>
      <w:r>
        <w:t xml:space="preserve">. </w:t>
      </w:r>
      <w:r w:rsidR="007C4745">
        <w:t>However,</w:t>
      </w:r>
      <w:r>
        <w:t xml:space="preserve"> there could be greater attraction of workers to the aged care workforce as the disability sector and aged care sector share the same pool of workers. Although</w:t>
      </w:r>
      <w:r w:rsidRPr="00787B95">
        <w:t xml:space="preserve"> the NDIA expects the impact </w:t>
      </w:r>
      <w:r>
        <w:t xml:space="preserve">of these changes </w:t>
      </w:r>
      <w:r w:rsidRPr="00787B95">
        <w:t>to be limited</w:t>
      </w:r>
      <w:r>
        <w:t xml:space="preserve">, the NDIA should continue to monitor </w:t>
      </w:r>
      <w:r w:rsidR="2CD8A36B">
        <w:t>the</w:t>
      </w:r>
      <w:r w:rsidR="328D2397">
        <w:t>ir</w:t>
      </w:r>
      <w:r>
        <w:t xml:space="preserve"> impact</w:t>
      </w:r>
      <w:r w:rsidRPr="00787B95">
        <w:t>.</w:t>
      </w:r>
    </w:p>
    <w:p w14:paraId="34EA330F" w14:textId="77777777" w:rsidR="00B238F1" w:rsidRPr="00DF0C3D" w:rsidRDefault="00B238F1" w:rsidP="00B238F1">
      <w:pPr>
        <w:pStyle w:val="RecHeading"/>
      </w:pPr>
      <w:r w:rsidRPr="00DF0C3D">
        <w:t xml:space="preserve">Recommendation </w:t>
      </w:r>
      <w:r>
        <w:t>4</w:t>
      </w:r>
    </w:p>
    <w:p w14:paraId="7CC3556A" w14:textId="3F793B0F" w:rsidR="00286C6C" w:rsidRDefault="00286C6C" w:rsidP="00E927EC">
      <w:pPr>
        <w:pStyle w:val="RecText"/>
      </w:pPr>
      <w:r>
        <w:t>The NDIA</w:t>
      </w:r>
      <w:r w:rsidRPr="00DF0C3D">
        <w:t xml:space="preserve"> should continue to work with the sector to monitor the impact </w:t>
      </w:r>
      <w:r>
        <w:t xml:space="preserve">of changes to the Aged Care Award </w:t>
      </w:r>
      <w:r w:rsidRPr="00DF0C3D">
        <w:t>that come into effect on 1 July 202</w:t>
      </w:r>
      <w:r>
        <w:t>3</w:t>
      </w:r>
      <w:r w:rsidRPr="00DF0C3D">
        <w:t xml:space="preserve"> with a view to further addressing these costs</w:t>
      </w:r>
      <w:r>
        <w:t xml:space="preserve"> in the future</w:t>
      </w:r>
      <w:r w:rsidRPr="00DF0C3D">
        <w:t xml:space="preserve"> if necessary.</w:t>
      </w:r>
    </w:p>
    <w:p w14:paraId="6CB0C3B5" w14:textId="77777777" w:rsidR="00957B93" w:rsidRPr="00133392" w:rsidRDefault="00957B93" w:rsidP="00957B93">
      <w:r w:rsidRPr="00133392">
        <w:t xml:space="preserve">The TTP loading was initially setup to allow providers time to assist transitioning to more efficient systems and prices. The NDIA has conducted extensive financial benchmarking over the last six years to monitor this, and consequently, the NDIA does not consider that it is necessary to conduct a financial benchmarking survey in 2022-2023. </w:t>
      </w:r>
    </w:p>
    <w:p w14:paraId="5450EEDD" w14:textId="77777777" w:rsidR="00957B93" w:rsidRPr="00133392" w:rsidRDefault="00957B93" w:rsidP="00957B93">
      <w:pPr>
        <w:rPr>
          <w:rStyle w:val="ui-provider"/>
        </w:rPr>
      </w:pPr>
      <w:r w:rsidRPr="00133392">
        <w:t>As per the initial pricing strategy framework, the NDIA does not see a need to change the timeline of the TTP to ensure balance is maintained between incentivising providers to achieve greater efficiencies while considering differing cost structures of providers. I</w:t>
      </w:r>
      <w:r w:rsidRPr="00133392">
        <w:rPr>
          <w:rStyle w:val="ui-provider"/>
        </w:rPr>
        <w:t>n the absence of a NDIS Financial Benchmarking Survey, is it reasonable to assume those who were accessing the TTP in FY2022-23 may continue to need access to assist transitioning systems.</w:t>
      </w:r>
    </w:p>
    <w:p w14:paraId="3FE874B8" w14:textId="77777777" w:rsidR="00957B93" w:rsidRPr="00133392" w:rsidRDefault="00957B93" w:rsidP="00957B93">
      <w:r w:rsidRPr="00133392">
        <w:rPr>
          <w:rFonts w:eastAsia="Arial" w:cs="Arial"/>
        </w:rPr>
        <w:t xml:space="preserve">Therefore, the NDIA considers it reasonable to continue reducing the TTP loading in the future as planned, from the current 3.0% to 1.5% on 1 July 2023 and then 0% from 1 July </w:t>
      </w:r>
      <w:r w:rsidRPr="00133392">
        <w:rPr>
          <w:rFonts w:eastAsia="Arial" w:cs="Arial"/>
        </w:rPr>
        <w:lastRenderedPageBreak/>
        <w:t xml:space="preserve">2024. </w:t>
      </w:r>
      <w:r w:rsidRPr="00133392">
        <w:t>The NDIA will continue to work closely with the sector in monitoring market conditions and cost structures in the absence of a NDIS Financial Benchmarking Survey.</w:t>
      </w:r>
    </w:p>
    <w:p w14:paraId="53D287EA" w14:textId="77777777" w:rsidR="00957B93" w:rsidRPr="00133392" w:rsidRDefault="00957B93" w:rsidP="00957B93">
      <w:pPr>
        <w:pStyle w:val="RecHeading"/>
      </w:pPr>
      <w:r w:rsidRPr="00133392">
        <w:t>Recommendation 5</w:t>
      </w:r>
    </w:p>
    <w:p w14:paraId="4EB50A60" w14:textId="77777777" w:rsidR="00957B93" w:rsidRPr="00133392" w:rsidRDefault="00957B93" w:rsidP="00957B93">
      <w:pPr>
        <w:pStyle w:val="RecText"/>
      </w:pPr>
      <w:r w:rsidRPr="00133392">
        <w:t>The NDIA should maintain its current pricing strategy including the scheduled reduction over the next year of the Temporary Transformation Payment (TTP) loading to 1.5% on 1 July 2023. The TTP loading should cease to apply from 1 July 2024.</w:t>
      </w:r>
    </w:p>
    <w:p w14:paraId="125BF412" w14:textId="16B4F395" w:rsidR="00957B93" w:rsidRDefault="00957B93" w:rsidP="00957B93">
      <w:pPr>
        <w:pStyle w:val="RecText"/>
      </w:pPr>
      <w:r w:rsidRPr="00133392">
        <w:t xml:space="preserve">The NDIA should allow registered providers who have been claiming for the TTP in financial year 2022-23 </w:t>
      </w:r>
      <w:r w:rsidR="00C44E4D">
        <w:t>to</w:t>
      </w:r>
      <w:r w:rsidRPr="00133392">
        <w:t xml:space="preserve"> continue to do so in financial year 2023-24 until cessation. </w:t>
      </w:r>
    </w:p>
    <w:p w14:paraId="3276F9CA" w14:textId="7B18AD75" w:rsidR="00286C6C" w:rsidRDefault="00286C6C">
      <w:pPr>
        <w:sectPr w:rsidR="00286C6C" w:rsidSect="00E208B3">
          <w:endnotePr>
            <w:numFmt w:val="decimal"/>
            <w:numRestart w:val="eachSect"/>
          </w:endnotePr>
          <w:pgSz w:w="11907" w:h="16839" w:code="9"/>
          <w:pgMar w:top="1080" w:right="1440" w:bottom="1276" w:left="1440" w:header="709" w:footer="709" w:gutter="0"/>
          <w:cols w:space="708"/>
          <w:docGrid w:linePitch="360"/>
        </w:sectPr>
      </w:pPr>
    </w:p>
    <w:p w14:paraId="785D6F89" w14:textId="27B23110" w:rsidR="00E94826" w:rsidRPr="006274F1" w:rsidRDefault="00E94826" w:rsidP="00430B55">
      <w:pPr>
        <w:pStyle w:val="Heading2"/>
      </w:pPr>
      <w:bookmarkStart w:id="77" w:name="_Toc135405223"/>
      <w:bookmarkStart w:id="78" w:name="_Toc129166057"/>
      <w:r w:rsidRPr="006274F1">
        <w:lastRenderedPageBreak/>
        <w:t>Therapy support</w:t>
      </w:r>
      <w:r w:rsidR="003D3269" w:rsidRPr="006274F1">
        <w:t>s</w:t>
      </w:r>
      <w:bookmarkEnd w:id="77"/>
    </w:p>
    <w:p w14:paraId="7A95A0D5" w14:textId="3111F511" w:rsidR="002B1F4F" w:rsidRPr="004532AC" w:rsidRDefault="002B1F4F" w:rsidP="00D9646F">
      <w:pPr>
        <w:pStyle w:val="Heading3"/>
      </w:pPr>
      <w:r w:rsidRPr="004532AC">
        <w:t>5.1</w:t>
      </w:r>
      <w:r w:rsidRPr="004532AC">
        <w:tab/>
        <w:t>Context</w:t>
      </w:r>
    </w:p>
    <w:p w14:paraId="6C855383" w14:textId="045F72F1" w:rsidR="00B12589" w:rsidRPr="00DF0C3D" w:rsidRDefault="00B12589" w:rsidP="00B12589">
      <w:r w:rsidRPr="00DF0C3D" w:rsidDel="00062E66">
        <w:t xml:space="preserve">Therapy supports are important to participants and to </w:t>
      </w:r>
      <w:r w:rsidDel="00062E66">
        <w:t>the NDIS</w:t>
      </w:r>
      <w:r w:rsidRPr="00DF0C3D" w:rsidDel="00062E66">
        <w:t xml:space="preserve">. They assist participants </w:t>
      </w:r>
      <w:r w:rsidR="00CD24D4">
        <w:t xml:space="preserve">to </w:t>
      </w:r>
      <w:r w:rsidRPr="00DF0C3D" w:rsidDel="00062E66">
        <w:t xml:space="preserve">build capacity to achieve their goals and they have the potential to reduce long term costs in </w:t>
      </w:r>
      <w:r w:rsidDel="00062E66">
        <w:t>the NDIS</w:t>
      </w:r>
      <w:r w:rsidRPr="00DF0C3D" w:rsidDel="00062E66">
        <w:t xml:space="preserve"> as they can </w:t>
      </w:r>
      <w:r w:rsidR="00CD24D4">
        <w:t xml:space="preserve">support </w:t>
      </w:r>
      <w:r w:rsidRPr="00DF0C3D" w:rsidDel="00062E66">
        <w:t xml:space="preserve">participants to </w:t>
      </w:r>
      <w:r w:rsidR="00277C4A">
        <w:t xml:space="preserve">improve </w:t>
      </w:r>
      <w:r w:rsidRPr="00DF0C3D" w:rsidDel="00062E66">
        <w:t>capacity</w:t>
      </w:r>
      <w:r w:rsidR="00277C4A">
        <w:t xml:space="preserve"> over time</w:t>
      </w:r>
      <w:r w:rsidRPr="00DF0C3D" w:rsidDel="00062E66">
        <w:t xml:space="preserve">. </w:t>
      </w:r>
    </w:p>
    <w:p w14:paraId="092D5276" w14:textId="209DC402" w:rsidR="00C917A0" w:rsidRPr="00DF0C3D" w:rsidRDefault="20BAB246" w:rsidP="00C917A0">
      <w:r>
        <w:t xml:space="preserve">Therapy services are among the </w:t>
      </w:r>
      <w:r w:rsidR="000B58CC">
        <w:t xml:space="preserve">important </w:t>
      </w:r>
      <w:r>
        <w:t xml:space="preserve">supports available to NDIS participants. These supports are </w:t>
      </w:r>
      <w:bookmarkStart w:id="79" w:name="_Int_dVTqoi3U"/>
      <w:r w:rsidR="1520F4BC">
        <w:t>mainly</w:t>
      </w:r>
      <w:r>
        <w:t xml:space="preserve"> delivered</w:t>
      </w:r>
      <w:bookmarkEnd w:id="79"/>
      <w:r>
        <w:t xml:space="preserve"> by Art Therapists, Audiologists, Counsellors, Developmental Educators, Dietitians, Exercise Physiologists, Music Therapists, Occupational Therapists, Orthoptists, Physiotherapists, Podiatrists, Psychologists, Rehabilitation Counsellors, Social Workers, and Speech Pathologists.</w:t>
      </w:r>
    </w:p>
    <w:p w14:paraId="6F3B38FF" w14:textId="0002BEAA" w:rsidR="00E57703" w:rsidRPr="00DF0C3D" w:rsidRDefault="00E57703" w:rsidP="00E57703">
      <w:r w:rsidRPr="00DF0C3D">
        <w:t>Therapy services can also be delivered by Therapy Assistants working under the delegation and direct supervision at all times of a therapist. Where a support is delivered by a therapy assistant, the therapy assistant must be covered by the professional indemnity insurance of the supervising therapist (or the therapist</w:t>
      </w:r>
      <w:r w:rsidR="00316400">
        <w:t>’</w:t>
      </w:r>
      <w:r w:rsidRPr="00DF0C3D">
        <w:t>s or therapy assistant</w:t>
      </w:r>
      <w:r w:rsidR="00316400">
        <w:t>’</w:t>
      </w:r>
      <w:r w:rsidRPr="00DF0C3D">
        <w:t>s employing provider).</w:t>
      </w:r>
    </w:p>
    <w:p w14:paraId="4E068C71" w14:textId="77777777" w:rsidR="00E57703" w:rsidRPr="00DF0C3D" w:rsidRDefault="00E57703" w:rsidP="00E57703">
      <w:r w:rsidRPr="00DF0C3D">
        <w:t xml:space="preserve">Within the NDIS, most therapy is delivered under three provider registration groups: </w:t>
      </w:r>
    </w:p>
    <w:p w14:paraId="6C46A3FD" w14:textId="77777777" w:rsidR="00E57703" w:rsidRPr="00995902" w:rsidRDefault="00E57703" w:rsidP="00A07AF7">
      <w:pPr>
        <w:pStyle w:val="DotPoint"/>
        <w:rPr>
          <w:bCs/>
        </w:rPr>
      </w:pPr>
      <w:r w:rsidRPr="00EA574E">
        <w:rPr>
          <w:bCs/>
        </w:rPr>
        <w:t>Therapeutic Supports (0128)</w:t>
      </w:r>
      <w:r w:rsidRPr="00995902">
        <w:rPr>
          <w:bCs/>
        </w:rPr>
        <w:t xml:space="preserve">: Provision of a mix of therapies, to assist participants aged from 7 years to apply their functional skills to improve participation and independence in daily, practical activities in areas such as language and communication, personal care, mobility and movement, interpersonal </w:t>
      </w:r>
      <w:proofErr w:type="gramStart"/>
      <w:r w:rsidRPr="00995902">
        <w:rPr>
          <w:bCs/>
        </w:rPr>
        <w:t>interactions</w:t>
      </w:r>
      <w:proofErr w:type="gramEnd"/>
      <w:r w:rsidRPr="00995902">
        <w:rPr>
          <w:bCs/>
        </w:rPr>
        <w:t xml:space="preserve"> and community living.</w:t>
      </w:r>
    </w:p>
    <w:p w14:paraId="6D0E120D" w14:textId="77777777" w:rsidR="00E57703" w:rsidRPr="00995902" w:rsidRDefault="00E57703" w:rsidP="00A07AF7">
      <w:pPr>
        <w:pStyle w:val="DotPoint"/>
        <w:rPr>
          <w:bCs/>
        </w:rPr>
      </w:pPr>
      <w:r w:rsidRPr="00EA574E">
        <w:rPr>
          <w:bCs/>
        </w:rPr>
        <w:t>Early Intervention Supports for Early Childhood (0118)</w:t>
      </w:r>
      <w:r w:rsidRPr="00995902">
        <w:rPr>
          <w:bCs/>
        </w:rPr>
        <w:t>: Provision of a mix of therapies, and a key worker for the family. Supports children 0-6 years with developmental delay or disability and their families to achieve better long-term outcomes, regardless of diagnosis.</w:t>
      </w:r>
    </w:p>
    <w:p w14:paraId="4FD7615A" w14:textId="77777777" w:rsidR="00E57703" w:rsidRPr="00995902" w:rsidRDefault="00E57703" w:rsidP="00A07AF7">
      <w:pPr>
        <w:pStyle w:val="DotPoint"/>
        <w:rPr>
          <w:bCs/>
        </w:rPr>
      </w:pPr>
      <w:r w:rsidRPr="00EA574E">
        <w:rPr>
          <w:bCs/>
        </w:rPr>
        <w:t>Exercise Physiology &amp; Personal Well-being Activities (0126):</w:t>
      </w:r>
      <w:r w:rsidRPr="00995902">
        <w:rPr>
          <w:bCs/>
        </w:rPr>
        <w:t xml:space="preserve"> Physical wellbeing activities promote and encourage physical well-being, including exercise.</w:t>
      </w:r>
    </w:p>
    <w:p w14:paraId="14BE9170" w14:textId="77777777" w:rsidR="00E57703" w:rsidRPr="00995902" w:rsidRDefault="00E57703" w:rsidP="00E57703">
      <w:pPr>
        <w:pStyle w:val="DotPoint"/>
        <w:numPr>
          <w:ilvl w:val="0"/>
          <w:numId w:val="0"/>
        </w:numPr>
        <w:rPr>
          <w:bCs/>
        </w:rPr>
      </w:pPr>
      <w:r w:rsidRPr="00995902">
        <w:rPr>
          <w:bCs/>
        </w:rPr>
        <w:t>Therapists also deliver supports under the following registration groups:</w:t>
      </w:r>
    </w:p>
    <w:p w14:paraId="6DDE440F" w14:textId="77777777" w:rsidR="00E57703" w:rsidRPr="00995902" w:rsidRDefault="00E57703" w:rsidP="00A07AF7">
      <w:pPr>
        <w:pStyle w:val="DotPoint"/>
        <w:rPr>
          <w:bCs/>
        </w:rPr>
      </w:pPr>
      <w:r w:rsidRPr="00EA574E">
        <w:rPr>
          <w:bCs/>
        </w:rPr>
        <w:t>Specialist Positive Behaviour Support (0110)</w:t>
      </w:r>
      <w:r w:rsidRPr="00995902">
        <w:rPr>
          <w:bCs/>
        </w:rPr>
        <w:t>: Includes support items provided by allied health professionals with specialist skills in positive behaviour support including assessment and the development of a comprehensive plan that aims to reduce and manage behaviours of concern.</w:t>
      </w:r>
    </w:p>
    <w:p w14:paraId="02E5F381" w14:textId="77777777" w:rsidR="00E57703" w:rsidRPr="00995902" w:rsidRDefault="00E57703" w:rsidP="00A07AF7">
      <w:pPr>
        <w:pStyle w:val="DotPoint"/>
        <w:rPr>
          <w:bCs/>
        </w:rPr>
      </w:pPr>
      <w:r w:rsidRPr="00EA574E">
        <w:rPr>
          <w:bCs/>
        </w:rPr>
        <w:t>Custom Prostheses and Orthoses (0135)</w:t>
      </w:r>
      <w:r w:rsidRPr="00995902">
        <w:rPr>
          <w:bCs/>
        </w:rPr>
        <w:t>: Prescription and manufacture of customised prostheses or orthoses requiring specialist skills.</w:t>
      </w:r>
    </w:p>
    <w:p w14:paraId="4ABB5FAC" w14:textId="77777777" w:rsidR="00E57703" w:rsidRPr="00995902" w:rsidRDefault="00E57703" w:rsidP="00A07AF7">
      <w:pPr>
        <w:pStyle w:val="DotPoint"/>
        <w:rPr>
          <w:bCs/>
        </w:rPr>
      </w:pPr>
      <w:r w:rsidRPr="00EA574E">
        <w:rPr>
          <w:bCs/>
        </w:rPr>
        <w:t>Specialised Hearing Services (0119)</w:t>
      </w:r>
      <w:r w:rsidRPr="00995902">
        <w:rPr>
          <w:bCs/>
        </w:rPr>
        <w:t xml:space="preserve">: Specialised hearing services for children and adults with complex needs. </w:t>
      </w:r>
    </w:p>
    <w:p w14:paraId="11523217" w14:textId="77777777" w:rsidR="00E57703" w:rsidRPr="00995902" w:rsidRDefault="00E57703" w:rsidP="00A07AF7">
      <w:pPr>
        <w:pStyle w:val="DotPoint"/>
        <w:rPr>
          <w:bCs/>
        </w:rPr>
      </w:pPr>
      <w:r w:rsidRPr="00EA574E">
        <w:rPr>
          <w:bCs/>
        </w:rPr>
        <w:t>Hearing Services (0134):</w:t>
      </w:r>
      <w:r w:rsidRPr="00995902">
        <w:rPr>
          <w:bCs/>
        </w:rPr>
        <w:t xml:space="preserve"> Hearing services for children and adults.</w:t>
      </w:r>
    </w:p>
    <w:p w14:paraId="6CF584CC" w14:textId="5EF53D1C" w:rsidR="00E57703" w:rsidRPr="00DF0C3D" w:rsidRDefault="22D98C35" w:rsidP="00E57703">
      <w:pPr>
        <w:rPr>
          <w:lang w:eastAsia="en-AU"/>
        </w:rPr>
      </w:pPr>
      <w:r w:rsidRPr="00DF0C3D">
        <w:lastRenderedPageBreak/>
        <w:t xml:space="preserve">There are currently 14 different therapy support items </w:t>
      </w:r>
      <w:r w:rsidR="000B58CC">
        <w:t>with</w:t>
      </w:r>
      <w:r w:rsidRPr="00DF0C3D">
        <w:t xml:space="preserve">in the Capacity Building Support </w:t>
      </w:r>
      <w:r w:rsidR="1792942A" w:rsidRPr="00DF0C3D">
        <w:t>Categories.</w:t>
      </w:r>
      <w:r w:rsidR="00ED5B35">
        <w:rPr>
          <w:rStyle w:val="FootnoteReference"/>
        </w:rPr>
        <w:footnoteReference w:id="26"/>
      </w:r>
      <w:r w:rsidR="00ED5B35">
        <w:t xml:space="preserve"> </w:t>
      </w:r>
      <w:r w:rsidR="00ED5B35">
        <w:rPr>
          <w:rStyle w:val="FootnoteReference"/>
        </w:rPr>
        <w:footnoteReference w:id="27"/>
      </w:r>
      <w:r w:rsidRPr="00DF0C3D">
        <w:t xml:space="preserve"> These </w:t>
      </w:r>
      <w:r w:rsidRPr="6879FC30">
        <w:t>supports</w:t>
      </w:r>
      <w:r w:rsidRPr="00DF0C3D">
        <w:t xml:space="preserve"> </w:t>
      </w:r>
      <w:r w:rsidRPr="00DF0C3D">
        <w:rPr>
          <w:lang w:eastAsia="en-AU"/>
        </w:rPr>
        <w:t>can be delivered to individual participants or to groups of participants. Where supports are delivered to groups of participants the hourly price limit is divided by the number of participants in the group. Price limits do not vary according to the Time of Day / Day of Week that the support is delivered. However</w:t>
      </w:r>
      <w:r>
        <w:rPr>
          <w:lang w:eastAsia="en-AU"/>
        </w:rPr>
        <w:t>,</w:t>
      </w:r>
      <w:r w:rsidRPr="00DF0C3D">
        <w:rPr>
          <w:lang w:eastAsia="en-AU"/>
        </w:rPr>
        <w:t xml:space="preserve"> they do vary by state/territory and according to the Type of Therapist that delivers the support. </w:t>
      </w:r>
    </w:p>
    <w:p w14:paraId="21F4789A" w14:textId="77777777" w:rsidR="00E57703" w:rsidRPr="00DF0C3D" w:rsidRDefault="00E57703" w:rsidP="00E57703">
      <w:pPr>
        <w:rPr>
          <w:lang w:eastAsia="en-AU"/>
        </w:rPr>
      </w:pPr>
      <w:r w:rsidRPr="00DF0C3D">
        <w:rPr>
          <w:lang w:eastAsia="en-AU"/>
        </w:rPr>
        <w:t xml:space="preserve">As well as direct service provision, therapists can claim for Non-Face-to-Face </w:t>
      </w:r>
      <w:r w:rsidRPr="00DF0C3D">
        <w:rPr>
          <w:rFonts w:cstheme="minorHAnsi"/>
        </w:rPr>
        <w:t>Support</w:t>
      </w:r>
      <w:r w:rsidRPr="00DF0C3D">
        <w:rPr>
          <w:lang w:eastAsia="en-AU"/>
        </w:rPr>
        <w:t xml:space="preserve"> Provision, Provider Travel, Short Notice Cancellations and NDIA Requested Reports. They can also claim for any non-labour costs associated with claimable Provider Travel.</w:t>
      </w:r>
    </w:p>
    <w:p w14:paraId="0390BA19" w14:textId="60D82934" w:rsidR="00E57703" w:rsidRPr="00DF0C3D" w:rsidRDefault="00E57703" w:rsidP="00E57703">
      <w:pPr>
        <w:rPr>
          <w:lang w:eastAsia="en-AU"/>
        </w:rPr>
      </w:pPr>
      <w:r w:rsidRPr="00DF0C3D">
        <w:rPr>
          <w:lang w:eastAsia="en-AU"/>
        </w:rPr>
        <w:t>As</w:t>
      </w:r>
      <w:r w:rsidR="00BC4079">
        <w:rPr>
          <w:lang w:eastAsia="en-AU"/>
        </w:rPr>
        <w:t xml:space="preserve"> </w:t>
      </w:r>
      <w:r w:rsidR="00BC4079">
        <w:rPr>
          <w:lang w:eastAsia="en-AU"/>
        </w:rPr>
        <w:fldChar w:fldCharType="begin"/>
      </w:r>
      <w:r w:rsidR="00BC4079">
        <w:rPr>
          <w:lang w:eastAsia="en-AU"/>
        </w:rPr>
        <w:instrText xml:space="preserve"> REF _Ref134303170 </w:instrText>
      </w:r>
      <w:r w:rsidR="00BC4079">
        <w:rPr>
          <w:lang w:eastAsia="en-AU"/>
        </w:rPr>
        <w:fldChar w:fldCharType="separate"/>
      </w:r>
      <w:r w:rsidR="00D64E4C">
        <w:t xml:space="preserve">Table </w:t>
      </w:r>
      <w:r w:rsidR="00D64E4C">
        <w:rPr>
          <w:noProof/>
        </w:rPr>
        <w:t>5</w:t>
      </w:r>
      <w:r w:rsidR="00BC4079">
        <w:rPr>
          <w:lang w:eastAsia="en-AU"/>
        </w:rPr>
        <w:fldChar w:fldCharType="end"/>
      </w:r>
      <w:r w:rsidR="007D224D">
        <w:rPr>
          <w:lang w:eastAsia="en-AU"/>
        </w:rPr>
        <w:t xml:space="preserve"> </w:t>
      </w:r>
      <w:r w:rsidR="0053306B">
        <w:rPr>
          <w:lang w:eastAsia="en-AU"/>
        </w:rPr>
        <w:t>included below shows</w:t>
      </w:r>
      <w:r w:rsidRPr="00DF0C3D">
        <w:rPr>
          <w:lang w:eastAsia="en-AU"/>
        </w:rPr>
        <w:t>, there are separate price limits for supports delivered by:</w:t>
      </w:r>
    </w:p>
    <w:p w14:paraId="4CE1F8A1" w14:textId="4E504CCE" w:rsidR="00881D96" w:rsidRDefault="00881D96" w:rsidP="00881D96">
      <w:pPr>
        <w:pStyle w:val="DotPoint"/>
        <w:rPr>
          <w:lang w:eastAsia="en-AU"/>
        </w:rPr>
      </w:pPr>
      <w:r w:rsidRPr="00DF0C3D">
        <w:rPr>
          <w:lang w:eastAsia="en-AU"/>
        </w:rPr>
        <w:t xml:space="preserve">Art therapists, Audiologists, </w:t>
      </w:r>
      <w:r>
        <w:rPr>
          <w:lang w:eastAsia="en-AU"/>
        </w:rPr>
        <w:t xml:space="preserve">Dietitians, </w:t>
      </w:r>
      <w:r w:rsidRPr="00DF0C3D">
        <w:rPr>
          <w:lang w:eastAsia="en-AU"/>
        </w:rPr>
        <w:t>Developmental Educators, Music Therapists, Occupational Therapists, Orthoptists, Podiatrists, Social Workers, Speech Pathologists</w:t>
      </w:r>
      <w:r>
        <w:rPr>
          <w:lang w:eastAsia="en-AU"/>
        </w:rPr>
        <w:t xml:space="preserve"> and Other Professionals</w:t>
      </w:r>
    </w:p>
    <w:p w14:paraId="45BAC5E8" w14:textId="20ADF6CE" w:rsidR="00881D96" w:rsidRPr="00DF0C3D" w:rsidRDefault="00881D96" w:rsidP="00881D96">
      <w:pPr>
        <w:pStyle w:val="DotPoint"/>
        <w:rPr>
          <w:lang w:eastAsia="en-AU"/>
        </w:rPr>
      </w:pPr>
      <w:r w:rsidRPr="00DF0C3D">
        <w:rPr>
          <w:lang w:eastAsia="en-AU"/>
        </w:rPr>
        <w:t>Counsellors</w:t>
      </w:r>
    </w:p>
    <w:p w14:paraId="5930F1D8" w14:textId="63ADAC2E" w:rsidR="00881D96" w:rsidRDefault="00881D96" w:rsidP="00881D96">
      <w:pPr>
        <w:pStyle w:val="DotPoint"/>
        <w:rPr>
          <w:lang w:eastAsia="en-AU"/>
        </w:rPr>
      </w:pPr>
      <w:r w:rsidRPr="00DF0C3D">
        <w:rPr>
          <w:lang w:eastAsia="en-AU"/>
        </w:rPr>
        <w:t>Exercise Physiologists</w:t>
      </w:r>
    </w:p>
    <w:p w14:paraId="623FF9D7" w14:textId="7C26023E" w:rsidR="00E57703" w:rsidRPr="00DF0C3D" w:rsidRDefault="00E57703" w:rsidP="00A07AF7">
      <w:pPr>
        <w:pStyle w:val="DotPoint"/>
        <w:rPr>
          <w:lang w:eastAsia="en-AU"/>
        </w:rPr>
      </w:pPr>
      <w:r w:rsidRPr="00DF0C3D">
        <w:rPr>
          <w:lang w:eastAsia="en-AU"/>
        </w:rPr>
        <w:t>Psychologists</w:t>
      </w:r>
    </w:p>
    <w:p w14:paraId="4B60A61D" w14:textId="77777777" w:rsidR="00E57703" w:rsidRPr="00DF0C3D" w:rsidRDefault="00E57703" w:rsidP="00A07AF7">
      <w:pPr>
        <w:pStyle w:val="DotPoint"/>
        <w:rPr>
          <w:lang w:eastAsia="en-AU"/>
        </w:rPr>
      </w:pPr>
      <w:r w:rsidRPr="00DF0C3D">
        <w:rPr>
          <w:lang w:eastAsia="en-AU"/>
        </w:rPr>
        <w:t>Physiotherapists</w:t>
      </w:r>
    </w:p>
    <w:p w14:paraId="6B571621" w14:textId="7175DC80" w:rsidR="00E57703" w:rsidRPr="00DF0C3D" w:rsidRDefault="00E57703" w:rsidP="00032485">
      <w:pPr>
        <w:pStyle w:val="DotPoint"/>
        <w:rPr>
          <w:lang w:eastAsia="en-AU"/>
        </w:rPr>
      </w:pPr>
      <w:r w:rsidRPr="00DF0C3D">
        <w:rPr>
          <w:lang w:eastAsia="en-AU"/>
        </w:rPr>
        <w:t>Therapy Assistants.</w:t>
      </w:r>
    </w:p>
    <w:p w14:paraId="30555705" w14:textId="3CF5FA32" w:rsidR="00032485" w:rsidRDefault="00032485" w:rsidP="00032485">
      <w:pPr>
        <w:pStyle w:val="Caption"/>
      </w:pPr>
      <w:bookmarkStart w:id="80" w:name="_Ref134303170"/>
      <w:r>
        <w:lastRenderedPageBreak/>
        <w:t xml:space="preserve">Table </w:t>
      </w:r>
      <w:r>
        <w:fldChar w:fldCharType="begin"/>
      </w:r>
      <w:r>
        <w:instrText>SEQ Table \* ARABIC</w:instrText>
      </w:r>
      <w:r>
        <w:fldChar w:fldCharType="separate"/>
      </w:r>
      <w:r w:rsidR="00D64E4C">
        <w:rPr>
          <w:noProof/>
        </w:rPr>
        <w:t>5</w:t>
      </w:r>
      <w:r>
        <w:fldChar w:fldCharType="end"/>
      </w:r>
      <w:bookmarkEnd w:id="80"/>
      <w:r>
        <w:t xml:space="preserve">: </w:t>
      </w:r>
      <w:r w:rsidRPr="004B38D5">
        <w:t>2022-23 Price Limits for Therapy Supports</w:t>
      </w:r>
    </w:p>
    <w:tbl>
      <w:tblPr>
        <w:tblStyle w:val="GridTable4-Accent12"/>
        <w:tblW w:w="4921" w:type="pct"/>
        <w:tblInd w:w="137" w:type="dxa"/>
        <w:tblLook w:val="0420" w:firstRow="1" w:lastRow="0" w:firstColumn="0" w:lastColumn="0" w:noHBand="0" w:noVBand="1"/>
        <w:tblCaption w:val="2021-22 Price Limits for Therapy Supports"/>
        <w:tblDescription w:val="The pricing the pricing limit for art therapists, audio ologist, dietitians, developmental educators, music therapists, occupational therapist, orthopists, podiatrist, speech workers, speech pathologist, and other professionals, is $193.99 across all states. The price limit for these types of therapists increases to $271.59 for remote locations and $290.99 for very remote locations. The pricing limit for counsellors is $156.16 across all states, $218.62 in remote locations and $234.24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The pricing limit for exercise physiologist is $166.99 across all states, $233.79 in remote locations, and $250.49 in very remote locations. The pricing limit for physiotherapists is $193.99 in NSW, Victoria, Queensland and the ACT and $224.62 in SA, WA, Tasmania and the NT. It is $314 in remote locations and $336 in very remote locations. "/>
      </w:tblPr>
      <w:tblGrid>
        <w:gridCol w:w="3464"/>
        <w:gridCol w:w="1352"/>
        <w:gridCol w:w="1353"/>
        <w:gridCol w:w="1353"/>
        <w:gridCol w:w="1353"/>
      </w:tblGrid>
      <w:tr w:rsidR="00E57703" w:rsidRPr="00DF0C3D" w14:paraId="4CF2FCE3" w14:textId="77777777" w:rsidTr="002919AC">
        <w:trPr>
          <w:cnfStyle w:val="100000000000" w:firstRow="1" w:lastRow="0" w:firstColumn="0" w:lastColumn="0" w:oddVBand="0" w:evenVBand="0" w:oddHBand="0" w:evenHBand="0" w:firstRowFirstColumn="0" w:firstRowLastColumn="0" w:lastRowFirstColumn="0" w:lastRowLastColumn="0"/>
          <w:tblHeader/>
        </w:trPr>
        <w:tc>
          <w:tcPr>
            <w:tcW w:w="1952" w:type="pct"/>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tcPr>
          <w:p w14:paraId="3299BB31" w14:textId="77777777" w:rsidR="00E57703" w:rsidRPr="00B275C2" w:rsidRDefault="00E57703" w:rsidP="00D608D6">
            <w:pPr>
              <w:pStyle w:val="ListParagraph"/>
              <w:keepNext/>
              <w:spacing w:before="60" w:after="60"/>
              <w:rPr>
                <w:rFonts w:cs="Arial"/>
                <w:b w:val="0"/>
                <w:sz w:val="18"/>
                <w:szCs w:val="18"/>
                <w:lang w:eastAsia="en-AU"/>
              </w:rPr>
            </w:pPr>
            <w:r w:rsidRPr="00B275C2">
              <w:rPr>
                <w:rFonts w:cs="Arial"/>
                <w:sz w:val="18"/>
                <w:szCs w:val="18"/>
                <w:lang w:eastAsia="en-AU"/>
              </w:rPr>
              <w:t>Type of Therapist</w:t>
            </w:r>
          </w:p>
          <w:p w14:paraId="06F8ED46" w14:textId="571A9A2E" w:rsidR="00E57703" w:rsidRPr="00B275C2" w:rsidRDefault="00E57703" w:rsidP="00D608D6">
            <w:pPr>
              <w:pStyle w:val="ListParagraph"/>
              <w:keepNext/>
              <w:spacing w:before="60" w:after="60"/>
              <w:rPr>
                <w:rFonts w:cs="Arial"/>
                <w:sz w:val="18"/>
                <w:szCs w:val="18"/>
                <w:lang w:eastAsia="en-AU"/>
              </w:rPr>
            </w:pPr>
          </w:p>
        </w:tc>
        <w:tc>
          <w:tcPr>
            <w:tcW w:w="762"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16B33E85" w14:textId="53E2A955" w:rsidR="00E57703" w:rsidRPr="00B275C2" w:rsidRDefault="0083225D" w:rsidP="00D608D6">
            <w:pPr>
              <w:pStyle w:val="ListParagraph"/>
              <w:keepNext/>
              <w:spacing w:before="60" w:after="60"/>
              <w:ind w:left="0" w:firstLine="0"/>
              <w:jc w:val="center"/>
              <w:rPr>
                <w:rFonts w:cs="Arial"/>
                <w:sz w:val="18"/>
                <w:szCs w:val="18"/>
                <w:lang w:eastAsia="en-AU"/>
              </w:rPr>
            </w:pPr>
            <w:r w:rsidRPr="00B275C2">
              <w:rPr>
                <w:rFonts w:cs="Arial"/>
                <w:sz w:val="18"/>
                <w:szCs w:val="18"/>
                <w:lang w:eastAsia="en-AU"/>
              </w:rPr>
              <w:t>N</w:t>
            </w:r>
            <w:r w:rsidR="00E57703" w:rsidRPr="00B275C2">
              <w:rPr>
                <w:rFonts w:cs="Arial"/>
                <w:sz w:val="18"/>
                <w:szCs w:val="18"/>
                <w:lang w:eastAsia="en-AU"/>
              </w:rPr>
              <w:t>SW / VIC / QLD / ACT</w:t>
            </w:r>
          </w:p>
        </w:tc>
        <w:tc>
          <w:tcPr>
            <w:tcW w:w="762"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75722E9C" w14:textId="77777777" w:rsidR="00E57703" w:rsidRPr="00B275C2" w:rsidRDefault="00E57703" w:rsidP="00D608D6">
            <w:pPr>
              <w:pStyle w:val="ListParagraph"/>
              <w:keepNext/>
              <w:spacing w:before="60" w:after="60"/>
              <w:ind w:left="0" w:firstLine="0"/>
              <w:jc w:val="center"/>
              <w:rPr>
                <w:rFonts w:cs="Arial"/>
                <w:sz w:val="18"/>
                <w:szCs w:val="18"/>
                <w:lang w:eastAsia="en-AU"/>
              </w:rPr>
            </w:pPr>
            <w:r w:rsidRPr="00B275C2">
              <w:rPr>
                <w:rFonts w:cs="Arial"/>
                <w:sz w:val="18"/>
                <w:szCs w:val="18"/>
                <w:lang w:eastAsia="en-AU"/>
              </w:rPr>
              <w:t>SA / WA / TAS / NT</w:t>
            </w:r>
          </w:p>
        </w:tc>
        <w:tc>
          <w:tcPr>
            <w:tcW w:w="762"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3872FCA6" w14:textId="77777777" w:rsidR="00E57703" w:rsidRPr="00B275C2" w:rsidRDefault="00E57703" w:rsidP="00D608D6">
            <w:pPr>
              <w:pStyle w:val="ListParagraph"/>
              <w:keepNext/>
              <w:spacing w:before="60" w:after="60"/>
              <w:ind w:left="0" w:firstLine="0"/>
              <w:jc w:val="center"/>
              <w:rPr>
                <w:rFonts w:cs="Arial"/>
                <w:sz w:val="18"/>
                <w:szCs w:val="18"/>
                <w:lang w:eastAsia="en-AU"/>
              </w:rPr>
            </w:pPr>
            <w:r w:rsidRPr="00B275C2">
              <w:rPr>
                <w:rFonts w:cs="Arial"/>
                <w:sz w:val="18"/>
                <w:szCs w:val="18"/>
                <w:lang w:eastAsia="en-AU"/>
              </w:rPr>
              <w:t>Remote</w:t>
            </w:r>
          </w:p>
        </w:tc>
        <w:tc>
          <w:tcPr>
            <w:tcW w:w="762" w:type="pct"/>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tcPr>
          <w:p w14:paraId="2E534E63" w14:textId="77777777" w:rsidR="00E57703" w:rsidRPr="00B275C2" w:rsidRDefault="00E57703" w:rsidP="00D608D6">
            <w:pPr>
              <w:pStyle w:val="ListParagraph"/>
              <w:keepNext/>
              <w:spacing w:before="60" w:after="60"/>
              <w:ind w:left="0" w:firstLine="0"/>
              <w:jc w:val="center"/>
              <w:rPr>
                <w:rFonts w:cs="Arial"/>
                <w:sz w:val="18"/>
                <w:szCs w:val="18"/>
                <w:lang w:eastAsia="en-AU"/>
              </w:rPr>
            </w:pPr>
            <w:r w:rsidRPr="00B275C2">
              <w:rPr>
                <w:rFonts w:cs="Arial"/>
                <w:sz w:val="18"/>
                <w:szCs w:val="18"/>
                <w:lang w:eastAsia="en-AU"/>
              </w:rPr>
              <w:t>Very Remote</w:t>
            </w:r>
          </w:p>
        </w:tc>
      </w:tr>
      <w:tr w:rsidR="00C74EB8" w:rsidRPr="00DF0C3D" w14:paraId="7172F9B3"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tcBorders>
              <w:top w:val="single" w:sz="4" w:space="0" w:color="4F1E58" w:themeColor="accent1" w:themeShade="BF"/>
            </w:tcBorders>
            <w:shd w:val="clear" w:color="auto" w:fill="E8CAED" w:themeFill="text1" w:themeFillTint="33"/>
            <w:vAlign w:val="center"/>
          </w:tcPr>
          <w:p w14:paraId="5D1E0412" w14:textId="390AD85E"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Art Therapists</w:t>
            </w:r>
          </w:p>
        </w:tc>
        <w:tc>
          <w:tcPr>
            <w:tcW w:w="762" w:type="pct"/>
            <w:tcBorders>
              <w:top w:val="single" w:sz="4" w:space="0" w:color="4F1E58" w:themeColor="accent1" w:themeShade="BF"/>
            </w:tcBorders>
            <w:shd w:val="clear" w:color="auto" w:fill="E8CAED" w:themeFill="text1" w:themeFillTint="33"/>
            <w:vAlign w:val="center"/>
          </w:tcPr>
          <w:p w14:paraId="638F10C9" w14:textId="08892AE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tcBorders>
              <w:top w:val="single" w:sz="4" w:space="0" w:color="4F1E58" w:themeColor="accent1" w:themeShade="BF"/>
            </w:tcBorders>
            <w:shd w:val="clear" w:color="auto" w:fill="E8CAED" w:themeFill="text1" w:themeFillTint="33"/>
            <w:vAlign w:val="center"/>
          </w:tcPr>
          <w:p w14:paraId="0283DE98" w14:textId="11404C18"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tcBorders>
              <w:top w:val="single" w:sz="4" w:space="0" w:color="4F1E58" w:themeColor="accent1" w:themeShade="BF"/>
            </w:tcBorders>
            <w:shd w:val="clear" w:color="auto" w:fill="E8CAED" w:themeFill="text1" w:themeFillTint="33"/>
            <w:vAlign w:val="center"/>
          </w:tcPr>
          <w:p w14:paraId="17FF0C18" w14:textId="6AB3FC93"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tcBorders>
              <w:top w:val="single" w:sz="4" w:space="0" w:color="4F1E58" w:themeColor="accent1" w:themeShade="BF"/>
            </w:tcBorders>
            <w:shd w:val="clear" w:color="auto" w:fill="E8CAED" w:themeFill="text1" w:themeFillTint="33"/>
            <w:vAlign w:val="center"/>
          </w:tcPr>
          <w:p w14:paraId="2E7FA1E7" w14:textId="15ED74AA"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230E1963" w14:textId="77777777" w:rsidTr="002919AC">
        <w:trPr>
          <w:trHeight w:val="340"/>
        </w:trPr>
        <w:tc>
          <w:tcPr>
            <w:tcW w:w="1952" w:type="pct"/>
            <w:shd w:val="clear" w:color="auto" w:fill="auto"/>
            <w:vAlign w:val="center"/>
          </w:tcPr>
          <w:p w14:paraId="62E23F9C" w14:textId="389C78DA"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Audiologists</w:t>
            </w:r>
          </w:p>
        </w:tc>
        <w:tc>
          <w:tcPr>
            <w:tcW w:w="762" w:type="pct"/>
            <w:shd w:val="clear" w:color="auto" w:fill="auto"/>
            <w:vAlign w:val="center"/>
          </w:tcPr>
          <w:p w14:paraId="1CAF3FFB" w14:textId="31EAD801"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0A3640C7" w14:textId="196D6C84"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5E5FB56F" w14:textId="15E8C8B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auto"/>
            <w:vAlign w:val="center"/>
          </w:tcPr>
          <w:p w14:paraId="18C0446F" w14:textId="1E69CAC3"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77D1FD98"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6EF0B43E" w14:textId="6DB4B2EA"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Dietitians</w:t>
            </w:r>
          </w:p>
        </w:tc>
        <w:tc>
          <w:tcPr>
            <w:tcW w:w="762" w:type="pct"/>
            <w:shd w:val="clear" w:color="auto" w:fill="E8CAED" w:themeFill="text1" w:themeFillTint="33"/>
            <w:vAlign w:val="center"/>
          </w:tcPr>
          <w:p w14:paraId="233FA117" w14:textId="5B9454F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5B13BEDA" w14:textId="648D1F96"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1F8DA6AF" w14:textId="1501A7BE"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E8CAED" w:themeFill="text1" w:themeFillTint="33"/>
            <w:vAlign w:val="center"/>
          </w:tcPr>
          <w:p w14:paraId="18405A39" w14:textId="7B8CED3A"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4507DFDA" w14:textId="77777777" w:rsidTr="002919AC">
        <w:trPr>
          <w:trHeight w:val="340"/>
        </w:trPr>
        <w:tc>
          <w:tcPr>
            <w:tcW w:w="1952" w:type="pct"/>
            <w:shd w:val="clear" w:color="auto" w:fill="auto"/>
            <w:vAlign w:val="center"/>
          </w:tcPr>
          <w:p w14:paraId="4DFA9599" w14:textId="6AE47E49"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Developmental Educators</w:t>
            </w:r>
          </w:p>
        </w:tc>
        <w:tc>
          <w:tcPr>
            <w:tcW w:w="762" w:type="pct"/>
            <w:shd w:val="clear" w:color="auto" w:fill="auto"/>
            <w:vAlign w:val="center"/>
          </w:tcPr>
          <w:p w14:paraId="2149DF48" w14:textId="6875B5AA"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2A0798B0" w14:textId="06C734A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00794F04" w14:textId="233C4BE8"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auto"/>
            <w:vAlign w:val="center"/>
          </w:tcPr>
          <w:p w14:paraId="48D8ECF9" w14:textId="5B38B735"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7657B524"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5A2399DE" w14:textId="134D3BB6"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Music Therapists</w:t>
            </w:r>
          </w:p>
        </w:tc>
        <w:tc>
          <w:tcPr>
            <w:tcW w:w="762" w:type="pct"/>
            <w:shd w:val="clear" w:color="auto" w:fill="E8CAED" w:themeFill="text1" w:themeFillTint="33"/>
            <w:vAlign w:val="center"/>
          </w:tcPr>
          <w:p w14:paraId="22D2B42A" w14:textId="29D94160"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085672EC" w14:textId="0EADC08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77837C08" w14:textId="3AC03E9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E8CAED" w:themeFill="text1" w:themeFillTint="33"/>
            <w:vAlign w:val="center"/>
          </w:tcPr>
          <w:p w14:paraId="0A3A36DF" w14:textId="7C2E9D4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6E897150" w14:textId="77777777" w:rsidTr="002919AC">
        <w:trPr>
          <w:trHeight w:val="340"/>
        </w:trPr>
        <w:tc>
          <w:tcPr>
            <w:tcW w:w="1952" w:type="pct"/>
            <w:shd w:val="clear" w:color="auto" w:fill="auto"/>
            <w:vAlign w:val="center"/>
          </w:tcPr>
          <w:p w14:paraId="1DCD25C2" w14:textId="14F87FF9"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Occupational Therapists</w:t>
            </w:r>
          </w:p>
        </w:tc>
        <w:tc>
          <w:tcPr>
            <w:tcW w:w="762" w:type="pct"/>
            <w:shd w:val="clear" w:color="auto" w:fill="auto"/>
            <w:vAlign w:val="center"/>
          </w:tcPr>
          <w:p w14:paraId="622E4ABB" w14:textId="2355300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24F5DE2C" w14:textId="1621021F"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07590997" w14:textId="0B5B16D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auto"/>
            <w:vAlign w:val="center"/>
          </w:tcPr>
          <w:p w14:paraId="7DD1A3E5" w14:textId="4088C738"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489C54D0"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29CD0446" w14:textId="1C52388B"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Orthoptists</w:t>
            </w:r>
          </w:p>
        </w:tc>
        <w:tc>
          <w:tcPr>
            <w:tcW w:w="762" w:type="pct"/>
            <w:shd w:val="clear" w:color="auto" w:fill="E8CAED" w:themeFill="text1" w:themeFillTint="33"/>
            <w:vAlign w:val="center"/>
          </w:tcPr>
          <w:p w14:paraId="3929AECC" w14:textId="5A4F8C41"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0F2398E3" w14:textId="38C47C72"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63ACE899" w14:textId="64E6EB4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E8CAED" w:themeFill="text1" w:themeFillTint="33"/>
            <w:vAlign w:val="center"/>
          </w:tcPr>
          <w:p w14:paraId="7B640EE5" w14:textId="09DD79D6"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16E04DB6" w14:textId="77777777" w:rsidTr="002919AC">
        <w:trPr>
          <w:trHeight w:val="340"/>
        </w:trPr>
        <w:tc>
          <w:tcPr>
            <w:tcW w:w="1952" w:type="pct"/>
            <w:shd w:val="clear" w:color="auto" w:fill="auto"/>
            <w:vAlign w:val="center"/>
          </w:tcPr>
          <w:p w14:paraId="306E7F83" w14:textId="194FF21B"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Podiatrists</w:t>
            </w:r>
          </w:p>
        </w:tc>
        <w:tc>
          <w:tcPr>
            <w:tcW w:w="762" w:type="pct"/>
            <w:shd w:val="clear" w:color="auto" w:fill="auto"/>
            <w:vAlign w:val="center"/>
          </w:tcPr>
          <w:p w14:paraId="1A1E972A" w14:textId="1097B533"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2299E02E" w14:textId="270F30AF"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043A07DA" w14:textId="0CCB642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auto"/>
            <w:vAlign w:val="center"/>
          </w:tcPr>
          <w:p w14:paraId="414BE015" w14:textId="71CEA11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6AB6603F"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36120EEB" w14:textId="2B07C5D5"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Social Works</w:t>
            </w:r>
          </w:p>
        </w:tc>
        <w:tc>
          <w:tcPr>
            <w:tcW w:w="762" w:type="pct"/>
            <w:shd w:val="clear" w:color="auto" w:fill="E8CAED" w:themeFill="text1" w:themeFillTint="33"/>
            <w:vAlign w:val="center"/>
          </w:tcPr>
          <w:p w14:paraId="6DD31201" w14:textId="1F0780B2"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556698E3" w14:textId="7DE0F81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5C04254A" w14:textId="3A9B6D5E"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E8CAED" w:themeFill="text1" w:themeFillTint="33"/>
            <w:vAlign w:val="center"/>
          </w:tcPr>
          <w:p w14:paraId="26176625" w14:textId="77BF7A4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7E6C733E" w14:textId="77777777" w:rsidTr="002919AC">
        <w:trPr>
          <w:trHeight w:val="340"/>
        </w:trPr>
        <w:tc>
          <w:tcPr>
            <w:tcW w:w="1952" w:type="pct"/>
            <w:shd w:val="clear" w:color="auto" w:fill="auto"/>
            <w:vAlign w:val="center"/>
          </w:tcPr>
          <w:p w14:paraId="719743AD" w14:textId="643D55EB"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Speech Pathologists</w:t>
            </w:r>
          </w:p>
        </w:tc>
        <w:tc>
          <w:tcPr>
            <w:tcW w:w="762" w:type="pct"/>
            <w:shd w:val="clear" w:color="auto" w:fill="auto"/>
            <w:vAlign w:val="center"/>
          </w:tcPr>
          <w:p w14:paraId="530C282D" w14:textId="07C3BCEF"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146E2895" w14:textId="7B33D218"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auto"/>
            <w:vAlign w:val="center"/>
          </w:tcPr>
          <w:p w14:paraId="611794A0" w14:textId="0E0FE88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auto"/>
            <w:vAlign w:val="center"/>
          </w:tcPr>
          <w:p w14:paraId="60AD9650" w14:textId="1358DFD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77DDB899"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218E1F37" w14:textId="2015F489"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Other Professionals</w:t>
            </w:r>
          </w:p>
        </w:tc>
        <w:tc>
          <w:tcPr>
            <w:tcW w:w="762" w:type="pct"/>
            <w:shd w:val="clear" w:color="auto" w:fill="E8CAED" w:themeFill="text1" w:themeFillTint="33"/>
            <w:vAlign w:val="center"/>
          </w:tcPr>
          <w:p w14:paraId="64504709" w14:textId="5390B9B6"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76C21E1A" w14:textId="72315D32"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shd w:val="clear" w:color="auto" w:fill="E8CAED" w:themeFill="text1" w:themeFillTint="33"/>
            <w:vAlign w:val="center"/>
          </w:tcPr>
          <w:p w14:paraId="1009B2A0" w14:textId="6AD13E73"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$271.59</w:t>
            </w:r>
          </w:p>
        </w:tc>
        <w:tc>
          <w:tcPr>
            <w:tcW w:w="762" w:type="pct"/>
            <w:shd w:val="clear" w:color="auto" w:fill="E8CAED" w:themeFill="text1" w:themeFillTint="33"/>
            <w:vAlign w:val="center"/>
          </w:tcPr>
          <w:p w14:paraId="5F165C3F" w14:textId="7855A235"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$290.99</w:t>
            </w:r>
          </w:p>
        </w:tc>
      </w:tr>
      <w:tr w:rsidR="00C74EB8" w:rsidRPr="00DF0C3D" w14:paraId="373A9BA4" w14:textId="77777777" w:rsidTr="002919AC">
        <w:trPr>
          <w:trHeight w:val="340"/>
        </w:trPr>
        <w:tc>
          <w:tcPr>
            <w:tcW w:w="1952" w:type="pct"/>
            <w:vAlign w:val="center"/>
          </w:tcPr>
          <w:p w14:paraId="0FFFAC03" w14:textId="524F8B7B"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Counsellors</w:t>
            </w:r>
          </w:p>
        </w:tc>
        <w:tc>
          <w:tcPr>
            <w:tcW w:w="762" w:type="pct"/>
            <w:vAlign w:val="center"/>
          </w:tcPr>
          <w:p w14:paraId="5E76AE41" w14:textId="45991999"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$156.16</w:t>
            </w:r>
          </w:p>
        </w:tc>
        <w:tc>
          <w:tcPr>
            <w:tcW w:w="762" w:type="pct"/>
            <w:vAlign w:val="center"/>
          </w:tcPr>
          <w:p w14:paraId="0A07D22D" w14:textId="1D77D515"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$156.16</w:t>
            </w:r>
          </w:p>
        </w:tc>
        <w:tc>
          <w:tcPr>
            <w:tcW w:w="762" w:type="pct"/>
            <w:vAlign w:val="center"/>
          </w:tcPr>
          <w:p w14:paraId="6916C4AA" w14:textId="19363995"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$218.62</w:t>
            </w:r>
          </w:p>
        </w:tc>
        <w:tc>
          <w:tcPr>
            <w:tcW w:w="762" w:type="pct"/>
            <w:vAlign w:val="center"/>
          </w:tcPr>
          <w:p w14:paraId="29839011" w14:textId="504BD063"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$234.24</w:t>
            </w:r>
          </w:p>
        </w:tc>
      </w:tr>
      <w:tr w:rsidR="00C74EB8" w:rsidRPr="00DF0C3D" w14:paraId="4800B823"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vAlign w:val="center"/>
          </w:tcPr>
          <w:p w14:paraId="5E71B6A5" w14:textId="78191D57"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Exercise Physiologists</w:t>
            </w:r>
          </w:p>
        </w:tc>
        <w:tc>
          <w:tcPr>
            <w:tcW w:w="762" w:type="pct"/>
            <w:vAlign w:val="center"/>
          </w:tcPr>
          <w:p w14:paraId="4B78D080" w14:textId="398E60E1"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$166.99</w:t>
            </w:r>
          </w:p>
        </w:tc>
        <w:tc>
          <w:tcPr>
            <w:tcW w:w="762" w:type="pct"/>
            <w:vAlign w:val="center"/>
          </w:tcPr>
          <w:p w14:paraId="74E3A24D" w14:textId="26277A6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$166.99</w:t>
            </w:r>
          </w:p>
        </w:tc>
        <w:tc>
          <w:tcPr>
            <w:tcW w:w="762" w:type="pct"/>
            <w:vAlign w:val="center"/>
          </w:tcPr>
          <w:p w14:paraId="5BD66213" w14:textId="53903D2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$233.79</w:t>
            </w:r>
          </w:p>
        </w:tc>
        <w:tc>
          <w:tcPr>
            <w:tcW w:w="762" w:type="pct"/>
            <w:vAlign w:val="center"/>
          </w:tcPr>
          <w:p w14:paraId="4A7D67B7" w14:textId="5F87CD2C"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$250.49</w:t>
            </w:r>
          </w:p>
        </w:tc>
      </w:tr>
      <w:tr w:rsidR="00C74EB8" w:rsidRPr="00DF0C3D" w14:paraId="6A3A9111" w14:textId="77777777" w:rsidTr="002919AC">
        <w:trPr>
          <w:trHeight w:val="340"/>
        </w:trPr>
        <w:tc>
          <w:tcPr>
            <w:tcW w:w="1952" w:type="pct"/>
            <w:vAlign w:val="center"/>
          </w:tcPr>
          <w:p w14:paraId="5EA4FCB1" w14:textId="67F15D26"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Physiotherapists</w:t>
            </w:r>
          </w:p>
        </w:tc>
        <w:tc>
          <w:tcPr>
            <w:tcW w:w="762" w:type="pct"/>
            <w:vAlign w:val="center"/>
          </w:tcPr>
          <w:p w14:paraId="7A7EF44E" w14:textId="2A7A0611"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$193.99</w:t>
            </w:r>
          </w:p>
        </w:tc>
        <w:tc>
          <w:tcPr>
            <w:tcW w:w="762" w:type="pct"/>
            <w:vAlign w:val="center"/>
          </w:tcPr>
          <w:p w14:paraId="736F44A7" w14:textId="26477BAA"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$224.62</w:t>
            </w:r>
          </w:p>
        </w:tc>
        <w:tc>
          <w:tcPr>
            <w:tcW w:w="762" w:type="pct"/>
            <w:vAlign w:val="center"/>
          </w:tcPr>
          <w:p w14:paraId="0EA99F4D" w14:textId="1F5FF928"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$314.47</w:t>
            </w:r>
          </w:p>
        </w:tc>
        <w:tc>
          <w:tcPr>
            <w:tcW w:w="762" w:type="pct"/>
            <w:vAlign w:val="center"/>
          </w:tcPr>
          <w:p w14:paraId="1C50FE5A" w14:textId="3FE6498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cs="Arial"/>
                <w:sz w:val="18"/>
                <w:szCs w:val="18"/>
              </w:rPr>
              <w:t>$336.93</w:t>
            </w:r>
          </w:p>
        </w:tc>
      </w:tr>
      <w:tr w:rsidR="00C74EB8" w:rsidRPr="00DF0C3D" w14:paraId="1A81C9FF"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vAlign w:val="center"/>
          </w:tcPr>
          <w:p w14:paraId="63DC393A" w14:textId="287A05FB" w:rsidR="00C74EB8" w:rsidRPr="00B275C2" w:rsidRDefault="00C74EB8" w:rsidP="00FF11C1">
            <w:pPr>
              <w:pStyle w:val="ListParagraph"/>
              <w:keepNext/>
              <w:spacing w:before="60" w:after="60"/>
              <w:rPr>
                <w:rFonts w:cs="Arial"/>
                <w:sz w:val="18"/>
                <w:szCs w:val="18"/>
                <w:lang w:eastAsia="en-AU"/>
              </w:rPr>
            </w:pPr>
            <w:r w:rsidRPr="00B275C2">
              <w:rPr>
                <w:rFonts w:cs="Arial"/>
                <w:sz w:val="18"/>
                <w:szCs w:val="18"/>
                <w:lang w:eastAsia="en-AU"/>
              </w:rPr>
              <w:t>Psychologists</w:t>
            </w:r>
          </w:p>
        </w:tc>
        <w:tc>
          <w:tcPr>
            <w:tcW w:w="762" w:type="pct"/>
            <w:vAlign w:val="center"/>
          </w:tcPr>
          <w:p w14:paraId="128C502C" w14:textId="58F64D0A"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eastAsia="Times New Roman" w:cs="Arial"/>
                <w:color w:val="000000"/>
                <w:sz w:val="18"/>
                <w:szCs w:val="18"/>
                <w:lang w:eastAsia="en-AU"/>
              </w:rPr>
              <w:t>$214.41</w:t>
            </w:r>
          </w:p>
        </w:tc>
        <w:tc>
          <w:tcPr>
            <w:tcW w:w="762" w:type="pct"/>
            <w:vAlign w:val="center"/>
          </w:tcPr>
          <w:p w14:paraId="2BEC6341" w14:textId="7BF66BA5"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eastAsia="Times New Roman" w:cs="Arial"/>
                <w:color w:val="000000"/>
                <w:sz w:val="18"/>
                <w:szCs w:val="18"/>
                <w:lang w:eastAsia="en-AU"/>
              </w:rPr>
              <w:t>$234.83</w:t>
            </w:r>
          </w:p>
        </w:tc>
        <w:tc>
          <w:tcPr>
            <w:tcW w:w="762" w:type="pct"/>
            <w:vAlign w:val="center"/>
          </w:tcPr>
          <w:p w14:paraId="26A88217" w14:textId="378C922D"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eastAsia="Times New Roman" w:cs="Arial"/>
                <w:color w:val="000000"/>
                <w:sz w:val="18"/>
                <w:szCs w:val="18"/>
                <w:lang w:eastAsia="en-AU"/>
              </w:rPr>
              <w:t>$328.76</w:t>
            </w:r>
          </w:p>
        </w:tc>
        <w:tc>
          <w:tcPr>
            <w:tcW w:w="762" w:type="pct"/>
            <w:vAlign w:val="center"/>
          </w:tcPr>
          <w:p w14:paraId="29937F27" w14:textId="26D09E4B" w:rsidR="00C74EB8" w:rsidRPr="00B275C2" w:rsidRDefault="00C74EB8" w:rsidP="00FF11C1">
            <w:pPr>
              <w:pStyle w:val="ListParagraph"/>
              <w:keepNext/>
              <w:spacing w:before="60" w:after="60"/>
              <w:ind w:left="0" w:right="255" w:firstLine="0"/>
              <w:jc w:val="right"/>
              <w:rPr>
                <w:rFonts w:eastAsia="Times New Roman" w:cs="Arial"/>
                <w:color w:val="000000"/>
                <w:sz w:val="18"/>
                <w:szCs w:val="18"/>
                <w:lang w:eastAsia="en-AU"/>
              </w:rPr>
            </w:pPr>
            <w:r w:rsidRPr="00B275C2">
              <w:rPr>
                <w:rFonts w:eastAsia="Times New Roman" w:cs="Arial"/>
                <w:color w:val="000000"/>
                <w:sz w:val="18"/>
                <w:szCs w:val="18"/>
                <w:lang w:eastAsia="en-AU"/>
              </w:rPr>
              <w:t>$352.25</w:t>
            </w:r>
          </w:p>
        </w:tc>
      </w:tr>
      <w:tr w:rsidR="00C74EB8" w:rsidRPr="00DF0C3D" w14:paraId="655F625E" w14:textId="77777777" w:rsidTr="002919AC">
        <w:trPr>
          <w:trHeight w:val="340"/>
        </w:trPr>
        <w:tc>
          <w:tcPr>
            <w:tcW w:w="1952" w:type="pct"/>
            <w:shd w:val="clear" w:color="auto" w:fill="auto"/>
            <w:vAlign w:val="center"/>
          </w:tcPr>
          <w:p w14:paraId="55D3F826" w14:textId="61124129" w:rsidR="00C74EB8" w:rsidRPr="00B275C2" w:rsidRDefault="00C74EB8" w:rsidP="00FF11C1">
            <w:pPr>
              <w:pStyle w:val="ListParagraph"/>
              <w:spacing w:before="60" w:after="60"/>
              <w:rPr>
                <w:rFonts w:cs="Arial"/>
                <w:sz w:val="18"/>
                <w:szCs w:val="18"/>
                <w:lang w:eastAsia="en-AU"/>
              </w:rPr>
            </w:pPr>
            <w:r w:rsidRPr="00B275C2">
              <w:rPr>
                <w:rFonts w:cs="Arial"/>
                <w:sz w:val="18"/>
                <w:szCs w:val="18"/>
                <w:lang w:eastAsia="en-AU"/>
              </w:rPr>
              <w:t>Therapy Assistant</w:t>
            </w:r>
            <w:r w:rsidR="00A94012" w:rsidRPr="00B275C2">
              <w:rPr>
                <w:rFonts w:cs="Arial"/>
                <w:sz w:val="18"/>
                <w:szCs w:val="18"/>
                <w:lang w:eastAsia="en-AU"/>
              </w:rPr>
              <w:t xml:space="preserve">s </w:t>
            </w:r>
            <w:r w:rsidR="00316400" w:rsidRPr="00B275C2">
              <w:rPr>
                <w:rFonts w:cs="Arial"/>
                <w:sz w:val="18"/>
                <w:szCs w:val="18"/>
                <w:lang w:eastAsia="en-AU"/>
              </w:rPr>
              <w:t>–</w:t>
            </w:r>
            <w:r w:rsidRPr="00B275C2">
              <w:rPr>
                <w:rFonts w:cs="Arial"/>
                <w:sz w:val="18"/>
                <w:szCs w:val="18"/>
                <w:lang w:eastAsia="en-AU"/>
              </w:rPr>
              <w:t xml:space="preserve"> Level 1</w:t>
            </w:r>
          </w:p>
        </w:tc>
        <w:tc>
          <w:tcPr>
            <w:tcW w:w="762" w:type="pct"/>
            <w:shd w:val="clear" w:color="auto" w:fill="auto"/>
            <w:vAlign w:val="center"/>
          </w:tcPr>
          <w:p w14:paraId="3FE3A52E" w14:textId="77777777" w:rsidR="00C74EB8" w:rsidRPr="00B275C2" w:rsidRDefault="00C74EB8" w:rsidP="00FF11C1">
            <w:pPr>
              <w:pStyle w:val="ListParagraph"/>
              <w:spacing w:before="60" w:after="60"/>
              <w:ind w:left="0" w:right="255" w:firstLine="0"/>
              <w:jc w:val="right"/>
              <w:rPr>
                <w:rFonts w:cs="Arial"/>
                <w:sz w:val="18"/>
                <w:szCs w:val="18"/>
                <w:lang w:eastAsia="en-AU"/>
              </w:rPr>
            </w:pPr>
            <w:r w:rsidRPr="00B275C2">
              <w:rPr>
                <w:rFonts w:cs="Arial"/>
                <w:sz w:val="18"/>
                <w:szCs w:val="18"/>
              </w:rPr>
              <w:t>$56.16</w:t>
            </w:r>
          </w:p>
        </w:tc>
        <w:tc>
          <w:tcPr>
            <w:tcW w:w="762" w:type="pct"/>
            <w:shd w:val="clear" w:color="auto" w:fill="auto"/>
            <w:vAlign w:val="center"/>
          </w:tcPr>
          <w:p w14:paraId="1B44AFED"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$56.16</w:t>
            </w:r>
          </w:p>
        </w:tc>
        <w:tc>
          <w:tcPr>
            <w:tcW w:w="762" w:type="pct"/>
            <w:shd w:val="clear" w:color="auto" w:fill="auto"/>
            <w:vAlign w:val="center"/>
          </w:tcPr>
          <w:p w14:paraId="351DE540"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$78.62</w:t>
            </w:r>
          </w:p>
        </w:tc>
        <w:tc>
          <w:tcPr>
            <w:tcW w:w="762" w:type="pct"/>
            <w:shd w:val="clear" w:color="auto" w:fill="auto"/>
            <w:vAlign w:val="center"/>
          </w:tcPr>
          <w:p w14:paraId="56F08D08"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$84.24</w:t>
            </w:r>
          </w:p>
        </w:tc>
      </w:tr>
      <w:tr w:rsidR="00C74EB8" w:rsidRPr="00DF0C3D" w14:paraId="13FDC2E7" w14:textId="77777777" w:rsidTr="002919AC">
        <w:trPr>
          <w:cnfStyle w:val="000000100000" w:firstRow="0" w:lastRow="0" w:firstColumn="0" w:lastColumn="0" w:oddVBand="0" w:evenVBand="0" w:oddHBand="1" w:evenHBand="0" w:firstRowFirstColumn="0" w:firstRowLastColumn="0" w:lastRowFirstColumn="0" w:lastRowLastColumn="0"/>
          <w:trHeight w:val="340"/>
        </w:trPr>
        <w:tc>
          <w:tcPr>
            <w:tcW w:w="1952" w:type="pct"/>
            <w:shd w:val="clear" w:color="auto" w:fill="E8CAED" w:themeFill="text1" w:themeFillTint="33"/>
            <w:vAlign w:val="center"/>
          </w:tcPr>
          <w:p w14:paraId="174D90A9" w14:textId="27E8B566" w:rsidR="00C74EB8" w:rsidRPr="00B275C2" w:rsidRDefault="00C74EB8" w:rsidP="00FF11C1">
            <w:pPr>
              <w:pStyle w:val="ListParagraph"/>
              <w:spacing w:before="60" w:after="60"/>
              <w:rPr>
                <w:rFonts w:cs="Arial"/>
                <w:sz w:val="18"/>
                <w:szCs w:val="18"/>
                <w:lang w:eastAsia="en-AU"/>
              </w:rPr>
            </w:pPr>
            <w:r w:rsidRPr="00B275C2">
              <w:rPr>
                <w:rFonts w:cs="Arial"/>
                <w:sz w:val="18"/>
                <w:szCs w:val="18"/>
                <w:lang w:eastAsia="en-AU"/>
              </w:rPr>
              <w:t>Therapy Assistant</w:t>
            </w:r>
            <w:r w:rsidR="00A94012" w:rsidRPr="00B275C2">
              <w:rPr>
                <w:rFonts w:cs="Arial"/>
                <w:sz w:val="18"/>
                <w:szCs w:val="18"/>
                <w:lang w:eastAsia="en-AU"/>
              </w:rPr>
              <w:t xml:space="preserve">s </w:t>
            </w:r>
            <w:r w:rsidR="00316400" w:rsidRPr="00B275C2">
              <w:rPr>
                <w:rFonts w:cs="Arial"/>
                <w:sz w:val="18"/>
                <w:szCs w:val="18"/>
                <w:lang w:eastAsia="en-AU"/>
              </w:rPr>
              <w:t>–</w:t>
            </w:r>
            <w:r w:rsidRPr="00B275C2">
              <w:rPr>
                <w:rFonts w:cs="Arial"/>
                <w:sz w:val="18"/>
                <w:szCs w:val="18"/>
                <w:lang w:eastAsia="en-AU"/>
              </w:rPr>
              <w:t xml:space="preserve"> Level 2</w:t>
            </w:r>
          </w:p>
        </w:tc>
        <w:tc>
          <w:tcPr>
            <w:tcW w:w="762" w:type="pct"/>
            <w:shd w:val="clear" w:color="auto" w:fill="E8CAED" w:themeFill="text1" w:themeFillTint="33"/>
            <w:vAlign w:val="center"/>
          </w:tcPr>
          <w:p w14:paraId="15B35513" w14:textId="77777777" w:rsidR="00C74EB8" w:rsidRPr="00B275C2" w:rsidRDefault="00C74EB8" w:rsidP="00FF11C1">
            <w:pPr>
              <w:pStyle w:val="ListParagraph"/>
              <w:spacing w:before="60" w:after="60"/>
              <w:ind w:left="0" w:right="255" w:firstLine="0"/>
              <w:jc w:val="right"/>
              <w:rPr>
                <w:rFonts w:cs="Arial"/>
                <w:sz w:val="18"/>
                <w:szCs w:val="18"/>
                <w:lang w:eastAsia="en-AU"/>
              </w:rPr>
            </w:pPr>
            <w:r w:rsidRPr="00B275C2">
              <w:rPr>
                <w:rFonts w:cs="Arial"/>
                <w:sz w:val="18"/>
                <w:szCs w:val="18"/>
              </w:rPr>
              <w:t>$86.79</w:t>
            </w:r>
          </w:p>
        </w:tc>
        <w:tc>
          <w:tcPr>
            <w:tcW w:w="762" w:type="pct"/>
            <w:shd w:val="clear" w:color="auto" w:fill="E8CAED" w:themeFill="text1" w:themeFillTint="33"/>
            <w:vAlign w:val="center"/>
          </w:tcPr>
          <w:p w14:paraId="1BD37DCA"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$86.79</w:t>
            </w:r>
          </w:p>
        </w:tc>
        <w:tc>
          <w:tcPr>
            <w:tcW w:w="762" w:type="pct"/>
            <w:shd w:val="clear" w:color="auto" w:fill="E8CAED" w:themeFill="text1" w:themeFillTint="33"/>
            <w:vAlign w:val="center"/>
          </w:tcPr>
          <w:p w14:paraId="1B8D7797"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$121.51</w:t>
            </w:r>
          </w:p>
        </w:tc>
        <w:tc>
          <w:tcPr>
            <w:tcW w:w="762" w:type="pct"/>
            <w:shd w:val="clear" w:color="auto" w:fill="E8CAED" w:themeFill="text1" w:themeFillTint="33"/>
            <w:vAlign w:val="center"/>
          </w:tcPr>
          <w:p w14:paraId="1D31A117" w14:textId="77777777" w:rsidR="00C74EB8" w:rsidRPr="00B275C2" w:rsidRDefault="00C74EB8" w:rsidP="00FF11C1">
            <w:pPr>
              <w:pStyle w:val="ListParagraph"/>
              <w:keepNext/>
              <w:spacing w:before="60" w:after="60"/>
              <w:ind w:left="0" w:right="255" w:firstLine="0"/>
              <w:jc w:val="right"/>
              <w:rPr>
                <w:rFonts w:cs="Arial"/>
                <w:sz w:val="18"/>
                <w:szCs w:val="18"/>
                <w:lang w:eastAsia="en-AU"/>
              </w:rPr>
            </w:pPr>
            <w:r w:rsidRPr="00B275C2">
              <w:rPr>
                <w:rFonts w:cs="Arial"/>
                <w:sz w:val="18"/>
                <w:szCs w:val="18"/>
              </w:rPr>
              <w:t>$130.19</w:t>
            </w:r>
          </w:p>
        </w:tc>
      </w:tr>
    </w:tbl>
    <w:p w14:paraId="59204F41" w14:textId="700B8F44" w:rsidR="003A5C87" w:rsidRDefault="00396DC8" w:rsidP="00396DC8">
      <w:r w:rsidRPr="00DF0C3D">
        <w:t xml:space="preserve">This </w:t>
      </w:r>
      <w:r>
        <w:t>c</w:t>
      </w:r>
      <w:r w:rsidRPr="00DF0C3D">
        <w:t xml:space="preserve">hapter examines the pricing arrangements for </w:t>
      </w:r>
      <w:r>
        <w:t>therapy</w:t>
      </w:r>
      <w:r w:rsidRPr="00DF0C3D">
        <w:t xml:space="preserve"> supports in the NDIS, including the extent to which they are appropriately aligned with those in comparable schemes, and with the private market for </w:t>
      </w:r>
      <w:r>
        <w:t>therapy</w:t>
      </w:r>
      <w:r w:rsidRPr="00DF0C3D">
        <w:t xml:space="preserve"> supports. </w:t>
      </w:r>
    </w:p>
    <w:p w14:paraId="72E3D1F3" w14:textId="7A5C94BB" w:rsidR="00225EC3" w:rsidRPr="008F281D" w:rsidRDefault="00225EC3" w:rsidP="00D9646F">
      <w:pPr>
        <w:pStyle w:val="Heading3"/>
      </w:pPr>
      <w:r w:rsidRPr="008F281D">
        <w:t>5.2</w:t>
      </w:r>
      <w:r w:rsidRPr="008F281D">
        <w:tab/>
        <w:t>Scheme Statistics</w:t>
      </w:r>
    </w:p>
    <w:p w14:paraId="366D6FD8" w14:textId="6C4CB8B5" w:rsidR="009209E3" w:rsidRPr="00E8615E" w:rsidRDefault="0098606C" w:rsidP="0098606C">
      <w:r w:rsidRPr="00E8615E">
        <w:t xml:space="preserve">In the six months </w:t>
      </w:r>
      <w:r w:rsidR="00F667A6">
        <w:t>to</w:t>
      </w:r>
      <w:r w:rsidRPr="00E8615E">
        <w:t xml:space="preserve"> December 2022, 325,319 participants (57% of the 573,342 active participants as of 31 December 2022) purchased therapy supports through their plans. These supports were delivered by 46,434 providers who received a payment </w:t>
      </w:r>
      <w:r w:rsidR="00D84373" w:rsidRPr="00E8615E">
        <w:t xml:space="preserve">in the six months to </w:t>
      </w:r>
      <w:r w:rsidRPr="00E8615E">
        <w:t>December 2022</w:t>
      </w:r>
      <w:r w:rsidR="009209E3" w:rsidRPr="00E8615E">
        <w:t xml:space="preserve">, </w:t>
      </w:r>
      <w:r w:rsidRPr="00E8615E">
        <w:t xml:space="preserve">a 14% increase to provider numbers </w:t>
      </w:r>
      <w:r w:rsidR="00F667A6">
        <w:t>compared to six months to December 2021</w:t>
      </w:r>
      <w:r w:rsidRPr="00E8615E">
        <w:t xml:space="preserve">. </w:t>
      </w:r>
    </w:p>
    <w:p w14:paraId="1C251E33" w14:textId="7EBEB478" w:rsidR="0098606C" w:rsidRPr="00032485" w:rsidRDefault="00F2377F" w:rsidP="00032485">
      <w:pPr>
        <w:rPr>
          <w:szCs w:val="22"/>
        </w:rPr>
      </w:pPr>
      <w:bookmarkStart w:id="81" w:name="_Hlk137041737"/>
      <w:r>
        <w:rPr>
          <w:szCs w:val="22"/>
        </w:rPr>
        <w:t>T</w:t>
      </w:r>
      <w:r w:rsidR="00592516">
        <w:rPr>
          <w:szCs w:val="22"/>
        </w:rPr>
        <w:t xml:space="preserve">he amount claimed rose by 26% to $1.6 billion over the </w:t>
      </w:r>
      <w:r w:rsidR="001E4695">
        <w:rPr>
          <w:szCs w:val="22"/>
        </w:rPr>
        <w:t>six</w:t>
      </w:r>
      <w:r w:rsidR="00592516">
        <w:rPr>
          <w:szCs w:val="22"/>
        </w:rPr>
        <w:t xml:space="preserve"> months </w:t>
      </w:r>
      <w:r w:rsidR="00B367D9">
        <w:rPr>
          <w:szCs w:val="22"/>
        </w:rPr>
        <w:t>to December 2022 compared to the six months to December 2021</w:t>
      </w:r>
      <w:r w:rsidR="0098606C" w:rsidRPr="00DA312F">
        <w:rPr>
          <w:szCs w:val="22"/>
        </w:rPr>
        <w:t>.</w:t>
      </w:r>
      <w:bookmarkEnd w:id="81"/>
      <w:r w:rsidR="00CA6DDB">
        <w:rPr>
          <w:szCs w:val="22"/>
        </w:rPr>
        <w:t xml:space="preserve"> More </w:t>
      </w:r>
      <w:r w:rsidR="00CA6DDB">
        <w:rPr>
          <w:szCs w:val="22"/>
        </w:rPr>
        <w:t>therapy support statistics can be seen in</w:t>
      </w:r>
      <w:r w:rsidR="00C829E5">
        <w:rPr>
          <w:szCs w:val="22"/>
        </w:rPr>
        <w:t xml:space="preserve"> </w:t>
      </w:r>
      <w:r w:rsidR="00C829E5">
        <w:rPr>
          <w:szCs w:val="22"/>
        </w:rPr>
        <w:fldChar w:fldCharType="begin"/>
      </w:r>
      <w:r w:rsidR="00C829E5">
        <w:rPr>
          <w:szCs w:val="22"/>
        </w:rPr>
        <w:instrText xml:space="preserve"> REF _Ref134303194 </w:instrText>
      </w:r>
      <w:r w:rsidR="00C829E5">
        <w:rPr>
          <w:szCs w:val="22"/>
        </w:rPr>
        <w:fldChar w:fldCharType="separate"/>
      </w:r>
      <w:r w:rsidR="00D64E4C">
        <w:t xml:space="preserve">Table </w:t>
      </w:r>
      <w:r w:rsidR="00D64E4C">
        <w:rPr>
          <w:noProof/>
        </w:rPr>
        <w:t>6</w:t>
      </w:r>
      <w:r w:rsidR="00C829E5">
        <w:rPr>
          <w:szCs w:val="22"/>
        </w:rPr>
        <w:fldChar w:fldCharType="end"/>
      </w:r>
      <w:r w:rsidR="00CA6DDB">
        <w:rPr>
          <w:szCs w:val="22"/>
        </w:rPr>
        <w:t>.</w:t>
      </w:r>
    </w:p>
    <w:p w14:paraId="6B99AC6B" w14:textId="6DD2DF0D" w:rsidR="00032485" w:rsidRDefault="00032485" w:rsidP="00032485">
      <w:pPr>
        <w:pStyle w:val="Caption"/>
      </w:pPr>
      <w:bookmarkStart w:id="82" w:name="_Ref134303194"/>
      <w:r>
        <w:t xml:space="preserve">Table </w:t>
      </w:r>
      <w:r>
        <w:fldChar w:fldCharType="begin"/>
      </w:r>
      <w:r>
        <w:instrText>SEQ Table \* ARABIC</w:instrText>
      </w:r>
      <w:r>
        <w:fldChar w:fldCharType="separate"/>
      </w:r>
      <w:r w:rsidR="00D64E4C">
        <w:rPr>
          <w:noProof/>
        </w:rPr>
        <w:t>6</w:t>
      </w:r>
      <w:r>
        <w:fldChar w:fldCharType="end"/>
      </w:r>
      <w:bookmarkEnd w:id="82"/>
      <w:r>
        <w:t xml:space="preserve">: </w:t>
      </w:r>
      <w:r w:rsidRPr="00640397">
        <w:t>THERAPY Supports SCHEME STATISTICS</w:t>
      </w:r>
    </w:p>
    <w:tbl>
      <w:tblPr>
        <w:tblStyle w:val="GridTable4-Accent12"/>
        <w:tblW w:w="0" w:type="auto"/>
        <w:tblInd w:w="279" w:type="dxa"/>
        <w:tblLayout w:type="fixed"/>
        <w:tblLook w:val="04A0" w:firstRow="1" w:lastRow="0" w:firstColumn="1" w:lastColumn="0" w:noHBand="0" w:noVBand="1"/>
        <w:tblCaption w:val="TABLE 6: THERAPY SUPPORTS SCHEME STATISTICS"/>
        <w:tblDescription w:val="In the six months to 31 December 2022, 325,319 participants (57% of the 573,342 active participants as of 31 December 2022) purchased therapy supports through their plans. These supports were delivered by 46,434 providers who received a payment in the six months to 31 December 2022, a 14% increase to provider numbers from the same period in the previous year. &#10;Expenditure on therapy supports in the six months to December 2022 equated to $1.6 billion, accounting to almost 10% of all expenditure by the NDIS ($16.8 billion) during this six-month period, an increase of 26% from the same period in the previous year. The average amount claimed by all active providers of therapy supports was $34,947 between July and December 2022, aa 10% increase on the same period of 2021. The total amount claimed by registered providers of therapy supports was $1.16 billion between July and December 2022 this is a 18% increase on the amount during July December 2021. The average amount claimed by registered providers of therapy supports was $130,738 in July to December 2022 a 17% increase on the amount in the same during the same in 2021. &#10;"/>
      </w:tblPr>
      <w:tblGrid>
        <w:gridCol w:w="3402"/>
        <w:gridCol w:w="1701"/>
        <w:gridCol w:w="1701"/>
        <w:gridCol w:w="1701"/>
      </w:tblGrid>
      <w:tr w:rsidR="0098606C" w:rsidRPr="00CE6573" w14:paraId="1B0C5145" w14:textId="77777777" w:rsidTr="002919AC">
        <w:trPr>
          <w:cnfStyle w:val="100000000000" w:firstRow="1" w:lastRow="0" w:firstColumn="0" w:lastColumn="0" w:oddVBand="0" w:evenVBand="0" w:oddHBand="0" w:evenHBand="0" w:firstRowFirstColumn="0" w:firstRowLastColumn="0" w:lastRowFirstColumn="0" w:lastRowLastColumn="0"/>
          <w:trHeight w:hRule="exact" w:val="567"/>
          <w:tblHeader/>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hideMark/>
          </w:tcPr>
          <w:p w14:paraId="57044D96" w14:textId="77777777" w:rsidR="0098606C" w:rsidRPr="00F524E3" w:rsidRDefault="0098606C" w:rsidP="00D608D6">
            <w:pPr>
              <w:spacing w:before="60" w:after="60"/>
              <w:rPr>
                <w:rFonts w:eastAsia="Times New Roman" w:cs="Arial"/>
                <w:sz w:val="18"/>
                <w:szCs w:val="18"/>
                <w:lang w:eastAsia="zh-CN" w:bidi="th-TH"/>
              </w:rPr>
            </w:pPr>
            <w:r w:rsidRPr="00F524E3">
              <w:rPr>
                <w:rFonts w:eastAsia="Times New Roman" w:cs="Arial"/>
                <w:sz w:val="18"/>
                <w:szCs w:val="18"/>
                <w:lang w:eastAsia="zh-CN" w:bidi="th-TH"/>
              </w:rPr>
              <w:t>Statistics</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2AE501EB" w14:textId="3C141106" w:rsidR="0098606C" w:rsidRPr="00F524E3" w:rsidRDefault="0098606C"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F524E3">
              <w:rPr>
                <w:rFonts w:eastAsia="Times New Roman" w:cs="Arial"/>
                <w:sz w:val="18"/>
                <w:szCs w:val="18"/>
                <w:lang w:eastAsia="zh-CN" w:bidi="th-TH"/>
              </w:rPr>
              <w:t xml:space="preserve">July </w:t>
            </w:r>
            <w:r w:rsidR="00316400">
              <w:rPr>
                <w:rFonts w:eastAsia="Times New Roman" w:cs="Arial"/>
                <w:sz w:val="18"/>
                <w:szCs w:val="18"/>
                <w:lang w:eastAsia="zh-CN" w:bidi="th-TH"/>
              </w:rPr>
              <w:t>–</w:t>
            </w:r>
            <w:r w:rsidRPr="00F524E3">
              <w:rPr>
                <w:rFonts w:eastAsia="Times New Roman" w:cs="Arial"/>
                <w:sz w:val="18"/>
                <w:szCs w:val="18"/>
                <w:lang w:eastAsia="zh-CN" w:bidi="th-TH"/>
              </w:rPr>
              <w:t xml:space="preserve"> December 2021</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52314F88" w14:textId="2B8A3647" w:rsidR="009A4DE6" w:rsidRPr="00F524E3" w:rsidRDefault="009A4DE6"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F524E3">
              <w:rPr>
                <w:rFonts w:eastAsia="Times New Roman" w:cs="Arial"/>
                <w:sz w:val="18"/>
                <w:szCs w:val="18"/>
                <w:lang w:eastAsia="zh-CN" w:bidi="th-TH"/>
              </w:rPr>
              <w:t xml:space="preserve">July </w:t>
            </w:r>
            <w:r w:rsidR="00316400">
              <w:rPr>
                <w:rFonts w:eastAsia="Times New Roman" w:cs="Arial"/>
                <w:sz w:val="18"/>
                <w:szCs w:val="18"/>
                <w:lang w:eastAsia="zh-CN" w:bidi="th-TH"/>
              </w:rPr>
              <w:t>–</w:t>
            </w:r>
            <w:r w:rsidRPr="00F524E3">
              <w:rPr>
                <w:rFonts w:eastAsia="Times New Roman" w:cs="Arial"/>
                <w:sz w:val="18"/>
                <w:szCs w:val="18"/>
                <w:lang w:eastAsia="zh-CN" w:bidi="th-TH"/>
              </w:rPr>
              <w:t xml:space="preserve"> December 2022</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tcPr>
          <w:p w14:paraId="2E8763CC" w14:textId="184CB7BB" w:rsidR="0098606C" w:rsidRPr="00F524E3" w:rsidRDefault="0098606C"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F524E3">
              <w:rPr>
                <w:rFonts w:eastAsia="Times New Roman" w:cs="Arial"/>
                <w:sz w:val="18"/>
                <w:szCs w:val="18"/>
                <w:lang w:eastAsia="zh-CN" w:bidi="th-TH"/>
              </w:rPr>
              <w:t>Percentage Change</w:t>
            </w:r>
          </w:p>
        </w:tc>
      </w:tr>
      <w:tr w:rsidR="0098606C" w:rsidRPr="00CE6573" w14:paraId="36625620" w14:textId="77777777" w:rsidTr="002919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4F1E58" w:themeColor="accent1" w:themeShade="BF"/>
            </w:tcBorders>
            <w:noWrap/>
            <w:vAlign w:val="center"/>
          </w:tcPr>
          <w:p w14:paraId="42967478" w14:textId="77777777" w:rsidR="0098606C" w:rsidRPr="00F524E3" w:rsidRDefault="0098606C" w:rsidP="005A6787">
            <w:pPr>
              <w:spacing w:before="60" w:after="60"/>
              <w:rPr>
                <w:rFonts w:eastAsia="Times New Roman" w:cs="Arial"/>
                <w:b w:val="0"/>
                <w:color w:val="000000"/>
                <w:sz w:val="18"/>
                <w:szCs w:val="18"/>
                <w:lang w:eastAsia="zh-CN" w:bidi="th-TH"/>
              </w:rPr>
            </w:pPr>
            <w:r w:rsidRPr="00F524E3">
              <w:rPr>
                <w:rFonts w:cs="Arial"/>
                <w:b w:val="0"/>
                <w:sz w:val="18"/>
                <w:szCs w:val="18"/>
              </w:rPr>
              <w:t>Total number of NDIS participants</w:t>
            </w:r>
          </w:p>
        </w:tc>
        <w:tc>
          <w:tcPr>
            <w:tcW w:w="1701" w:type="dxa"/>
            <w:tcBorders>
              <w:top w:val="single" w:sz="4" w:space="0" w:color="4F1E58" w:themeColor="accent1" w:themeShade="BF"/>
            </w:tcBorders>
            <w:noWrap/>
            <w:vAlign w:val="center"/>
          </w:tcPr>
          <w:p w14:paraId="72A8127E" w14:textId="77777777" w:rsidR="0098606C" w:rsidRPr="00F524E3" w:rsidRDefault="0098606C" w:rsidP="005A6787">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279,098</w:t>
            </w:r>
          </w:p>
        </w:tc>
        <w:tc>
          <w:tcPr>
            <w:tcW w:w="1701" w:type="dxa"/>
            <w:tcBorders>
              <w:top w:val="single" w:sz="4" w:space="0" w:color="4F1E58" w:themeColor="accent1" w:themeShade="BF"/>
            </w:tcBorders>
            <w:vAlign w:val="center"/>
          </w:tcPr>
          <w:p w14:paraId="7FA6E2FE" w14:textId="7ABC77DF" w:rsidR="009A4DE6" w:rsidRPr="00F524E3" w:rsidRDefault="009A4DE6" w:rsidP="009A4DE6">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325,319</w:t>
            </w:r>
          </w:p>
        </w:tc>
        <w:tc>
          <w:tcPr>
            <w:tcW w:w="1701" w:type="dxa"/>
            <w:tcBorders>
              <w:top w:val="single" w:sz="4" w:space="0" w:color="4F1E58" w:themeColor="accent1" w:themeShade="BF"/>
            </w:tcBorders>
            <w:vAlign w:val="center"/>
          </w:tcPr>
          <w:p w14:paraId="34DA5101" w14:textId="2A89B30E" w:rsidR="0098606C" w:rsidRPr="00F524E3" w:rsidRDefault="0098606C" w:rsidP="005A6787">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524E3">
              <w:rPr>
                <w:rFonts w:cs="Arial"/>
                <w:sz w:val="18"/>
                <w:szCs w:val="18"/>
              </w:rPr>
              <w:t>+17%</w:t>
            </w:r>
          </w:p>
        </w:tc>
      </w:tr>
      <w:tr w:rsidR="0098606C" w:rsidRPr="00CE6573" w14:paraId="3F4328DA" w14:textId="77777777" w:rsidTr="00136B37">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758EDD64" w14:textId="77777777" w:rsidR="0098606C" w:rsidRPr="00F524E3" w:rsidRDefault="0098606C" w:rsidP="005A6787">
            <w:pPr>
              <w:spacing w:before="60" w:after="60"/>
              <w:rPr>
                <w:rFonts w:eastAsia="Times New Roman" w:cs="Arial"/>
                <w:b w:val="0"/>
                <w:color w:val="000000"/>
                <w:sz w:val="18"/>
                <w:szCs w:val="18"/>
                <w:lang w:eastAsia="zh-CN" w:bidi="th-TH"/>
              </w:rPr>
            </w:pPr>
            <w:r w:rsidRPr="00F524E3">
              <w:rPr>
                <w:rFonts w:cs="Arial"/>
                <w:b w:val="0"/>
                <w:sz w:val="18"/>
                <w:szCs w:val="18"/>
              </w:rPr>
              <w:t>Total number of active providers</w:t>
            </w:r>
          </w:p>
        </w:tc>
        <w:tc>
          <w:tcPr>
            <w:tcW w:w="1701" w:type="dxa"/>
            <w:noWrap/>
            <w:vAlign w:val="center"/>
          </w:tcPr>
          <w:p w14:paraId="45757F3D" w14:textId="77777777" w:rsidR="0098606C" w:rsidRPr="00F524E3" w:rsidRDefault="0098606C" w:rsidP="005A6787">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40,744</w:t>
            </w:r>
          </w:p>
        </w:tc>
        <w:tc>
          <w:tcPr>
            <w:tcW w:w="1701" w:type="dxa"/>
            <w:vAlign w:val="center"/>
          </w:tcPr>
          <w:p w14:paraId="06134547" w14:textId="2B4FADB5" w:rsidR="009A4DE6" w:rsidRPr="00F524E3" w:rsidRDefault="009A4DE6" w:rsidP="009A4DE6">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46,434</w:t>
            </w:r>
          </w:p>
        </w:tc>
        <w:tc>
          <w:tcPr>
            <w:tcW w:w="1701" w:type="dxa"/>
            <w:vAlign w:val="center"/>
          </w:tcPr>
          <w:p w14:paraId="479F245F" w14:textId="70D0672E" w:rsidR="0098606C" w:rsidRPr="00F524E3" w:rsidRDefault="0098606C" w:rsidP="005A6787">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524E3">
              <w:rPr>
                <w:rFonts w:cs="Arial"/>
                <w:sz w:val="18"/>
                <w:szCs w:val="18"/>
              </w:rPr>
              <w:t>+14%</w:t>
            </w:r>
          </w:p>
        </w:tc>
      </w:tr>
      <w:tr w:rsidR="0098606C" w:rsidRPr="00CE6573" w14:paraId="3CD30832" w14:textId="77777777" w:rsidTr="00136B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0E8312F5" w14:textId="77777777" w:rsidR="0098606C" w:rsidRPr="00F524E3" w:rsidRDefault="0098606C" w:rsidP="005A6787">
            <w:pPr>
              <w:spacing w:before="60" w:after="60"/>
              <w:rPr>
                <w:rFonts w:eastAsia="Times New Roman" w:cs="Arial"/>
                <w:b w:val="0"/>
                <w:color w:val="000000"/>
                <w:sz w:val="18"/>
                <w:szCs w:val="18"/>
                <w:lang w:eastAsia="zh-CN" w:bidi="th-TH"/>
              </w:rPr>
            </w:pPr>
            <w:r w:rsidRPr="00F524E3">
              <w:rPr>
                <w:rFonts w:cs="Arial"/>
                <w:b w:val="0"/>
                <w:sz w:val="18"/>
                <w:szCs w:val="18"/>
              </w:rPr>
              <w:t>Total amount claimed by active providers of Therapy supports</w:t>
            </w:r>
          </w:p>
        </w:tc>
        <w:tc>
          <w:tcPr>
            <w:tcW w:w="1701" w:type="dxa"/>
            <w:noWrap/>
            <w:vAlign w:val="center"/>
          </w:tcPr>
          <w:p w14:paraId="69CB1B4D" w14:textId="77777777" w:rsidR="0098606C" w:rsidRPr="00F524E3" w:rsidRDefault="0098606C" w:rsidP="005A6787">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$1.3 billion</w:t>
            </w:r>
          </w:p>
        </w:tc>
        <w:tc>
          <w:tcPr>
            <w:tcW w:w="1701" w:type="dxa"/>
            <w:vAlign w:val="center"/>
          </w:tcPr>
          <w:p w14:paraId="13948C8C" w14:textId="2AC7D0CC" w:rsidR="009A4DE6" w:rsidRPr="00F524E3" w:rsidRDefault="009A4DE6" w:rsidP="009A4DE6">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$1.6 billion</w:t>
            </w:r>
          </w:p>
        </w:tc>
        <w:tc>
          <w:tcPr>
            <w:tcW w:w="1701" w:type="dxa"/>
            <w:vAlign w:val="center"/>
          </w:tcPr>
          <w:p w14:paraId="2FE344CC" w14:textId="7ACC8844" w:rsidR="0098606C" w:rsidRPr="00F524E3" w:rsidRDefault="0098606C" w:rsidP="005A6787">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524E3">
              <w:rPr>
                <w:rFonts w:cs="Arial"/>
                <w:sz w:val="18"/>
                <w:szCs w:val="18"/>
              </w:rPr>
              <w:t>+26%</w:t>
            </w:r>
          </w:p>
        </w:tc>
      </w:tr>
      <w:tr w:rsidR="0098606C" w:rsidRPr="00CE6573" w14:paraId="7BD3037F" w14:textId="77777777" w:rsidTr="00136B37">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06EE47F3"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t>Number of active registered providers of Therapy supports</w:t>
            </w:r>
          </w:p>
        </w:tc>
        <w:tc>
          <w:tcPr>
            <w:tcW w:w="1701" w:type="dxa"/>
            <w:noWrap/>
            <w:vAlign w:val="center"/>
          </w:tcPr>
          <w:p w14:paraId="1B0C6312" w14:textId="77777777" w:rsidR="0098606C" w:rsidRPr="00F524E3" w:rsidRDefault="0098606C" w:rsidP="005A6787">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8,833</w:t>
            </w:r>
          </w:p>
        </w:tc>
        <w:tc>
          <w:tcPr>
            <w:tcW w:w="1701" w:type="dxa"/>
            <w:vAlign w:val="center"/>
          </w:tcPr>
          <w:p w14:paraId="78184CB2" w14:textId="4EA1E5FE" w:rsidR="009A4DE6" w:rsidRPr="00F524E3" w:rsidRDefault="009A4DE6" w:rsidP="009A4DE6">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8,900</w:t>
            </w:r>
          </w:p>
        </w:tc>
        <w:tc>
          <w:tcPr>
            <w:tcW w:w="1701" w:type="dxa"/>
            <w:vAlign w:val="center"/>
          </w:tcPr>
          <w:p w14:paraId="45417930" w14:textId="731E9A74" w:rsidR="0098606C" w:rsidRPr="00F524E3" w:rsidRDefault="0098606C" w:rsidP="005A6787">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524E3">
              <w:rPr>
                <w:rFonts w:cs="Arial"/>
                <w:sz w:val="18"/>
                <w:szCs w:val="18"/>
              </w:rPr>
              <w:t>+1%</w:t>
            </w:r>
          </w:p>
        </w:tc>
      </w:tr>
      <w:tr w:rsidR="0098606C" w:rsidRPr="00CE6573" w14:paraId="57A2E7EA" w14:textId="77777777" w:rsidTr="00136B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693A0FE7"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lastRenderedPageBreak/>
              <w:t>Number of active unregistered providers of Therapy supports</w:t>
            </w:r>
          </w:p>
        </w:tc>
        <w:tc>
          <w:tcPr>
            <w:tcW w:w="1701" w:type="dxa"/>
            <w:noWrap/>
            <w:vAlign w:val="center"/>
          </w:tcPr>
          <w:p w14:paraId="35DD0D94" w14:textId="77777777" w:rsidR="0098606C" w:rsidRPr="00F524E3" w:rsidRDefault="0098606C" w:rsidP="005A6787">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32,133</w:t>
            </w:r>
          </w:p>
        </w:tc>
        <w:tc>
          <w:tcPr>
            <w:tcW w:w="1701" w:type="dxa"/>
            <w:vAlign w:val="center"/>
          </w:tcPr>
          <w:p w14:paraId="3A9D7D00" w14:textId="340130D8" w:rsidR="009A4DE6" w:rsidRPr="00F524E3" w:rsidRDefault="009A4DE6" w:rsidP="009A4DE6">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38,114</w:t>
            </w:r>
          </w:p>
        </w:tc>
        <w:tc>
          <w:tcPr>
            <w:tcW w:w="1701" w:type="dxa"/>
            <w:vAlign w:val="center"/>
          </w:tcPr>
          <w:p w14:paraId="7C5EB06B" w14:textId="72F4F665" w:rsidR="0098606C" w:rsidRPr="00F524E3" w:rsidRDefault="0098606C" w:rsidP="005A6787">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524E3">
              <w:rPr>
                <w:rFonts w:cs="Arial"/>
                <w:sz w:val="18"/>
                <w:szCs w:val="18"/>
              </w:rPr>
              <w:t>+19%</w:t>
            </w:r>
          </w:p>
        </w:tc>
      </w:tr>
      <w:tr w:rsidR="0098606C" w:rsidRPr="00CE6573" w14:paraId="15D854C3" w14:textId="77777777" w:rsidTr="00136B37">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1FA7DD58"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t>Average amount claimed by all active providers of Therapy supports</w:t>
            </w:r>
          </w:p>
        </w:tc>
        <w:tc>
          <w:tcPr>
            <w:tcW w:w="1701" w:type="dxa"/>
            <w:noWrap/>
            <w:vAlign w:val="center"/>
          </w:tcPr>
          <w:p w14:paraId="76E50651" w14:textId="44380C95" w:rsidR="0098606C" w:rsidRPr="00F524E3" w:rsidRDefault="0098606C" w:rsidP="005A6787">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$31,627</w:t>
            </w:r>
          </w:p>
        </w:tc>
        <w:tc>
          <w:tcPr>
            <w:tcW w:w="1701" w:type="dxa"/>
            <w:vAlign w:val="center"/>
          </w:tcPr>
          <w:p w14:paraId="0B873DAC" w14:textId="2CBB93B4" w:rsidR="009A4DE6" w:rsidRPr="00F524E3" w:rsidRDefault="009A4DE6" w:rsidP="009A4DE6">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$34,947</w:t>
            </w:r>
          </w:p>
        </w:tc>
        <w:tc>
          <w:tcPr>
            <w:tcW w:w="1701" w:type="dxa"/>
            <w:vAlign w:val="center"/>
          </w:tcPr>
          <w:p w14:paraId="4B30451D" w14:textId="4378C76B" w:rsidR="0098606C" w:rsidRPr="00F524E3" w:rsidRDefault="0098606C" w:rsidP="005A6787">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524E3">
              <w:rPr>
                <w:rFonts w:cs="Arial"/>
                <w:sz w:val="18"/>
                <w:szCs w:val="18"/>
              </w:rPr>
              <w:t>+10%</w:t>
            </w:r>
          </w:p>
        </w:tc>
      </w:tr>
      <w:tr w:rsidR="0098606C" w:rsidRPr="00CE6573" w14:paraId="2FF9772D" w14:textId="77777777" w:rsidTr="00136B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27386D8C"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t>Total amount claimed by registered providers of Therapy supports</w:t>
            </w:r>
          </w:p>
        </w:tc>
        <w:tc>
          <w:tcPr>
            <w:tcW w:w="1701" w:type="dxa"/>
            <w:noWrap/>
            <w:vAlign w:val="center"/>
          </w:tcPr>
          <w:p w14:paraId="3D523B84" w14:textId="77777777" w:rsidR="0098606C" w:rsidRPr="00F524E3" w:rsidRDefault="0098606C" w:rsidP="005A6787">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$0.99 billion</w:t>
            </w:r>
          </w:p>
        </w:tc>
        <w:tc>
          <w:tcPr>
            <w:tcW w:w="1701" w:type="dxa"/>
            <w:vAlign w:val="center"/>
          </w:tcPr>
          <w:p w14:paraId="12A80BE2" w14:textId="331E33F0" w:rsidR="009A4DE6" w:rsidRPr="00F524E3" w:rsidRDefault="009A4DE6" w:rsidP="009A4DE6">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$1.16 billion</w:t>
            </w:r>
          </w:p>
        </w:tc>
        <w:tc>
          <w:tcPr>
            <w:tcW w:w="1701" w:type="dxa"/>
            <w:vAlign w:val="center"/>
          </w:tcPr>
          <w:p w14:paraId="16C21DAF" w14:textId="1F080B59" w:rsidR="0098606C" w:rsidRPr="00F524E3" w:rsidRDefault="0098606C" w:rsidP="005A6787">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524E3">
              <w:rPr>
                <w:rFonts w:cs="Arial"/>
                <w:sz w:val="18"/>
                <w:szCs w:val="18"/>
              </w:rPr>
              <w:t>+18%</w:t>
            </w:r>
          </w:p>
        </w:tc>
      </w:tr>
      <w:tr w:rsidR="0098606C" w:rsidRPr="00CE6573" w14:paraId="41D69682" w14:textId="77777777" w:rsidTr="00136B37">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105DC075"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t>Average amount claimed by registered providers of Therapy supports</w:t>
            </w:r>
          </w:p>
        </w:tc>
        <w:tc>
          <w:tcPr>
            <w:tcW w:w="1701" w:type="dxa"/>
            <w:noWrap/>
            <w:vAlign w:val="center"/>
          </w:tcPr>
          <w:p w14:paraId="447664E5" w14:textId="77777777" w:rsidR="0098606C" w:rsidRPr="00F524E3" w:rsidRDefault="0098606C" w:rsidP="005A6787">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$112,093</w:t>
            </w:r>
          </w:p>
        </w:tc>
        <w:tc>
          <w:tcPr>
            <w:tcW w:w="1701" w:type="dxa"/>
            <w:vAlign w:val="center"/>
          </w:tcPr>
          <w:p w14:paraId="703146D2" w14:textId="28BB45F8" w:rsidR="009A4DE6" w:rsidRPr="00F524E3" w:rsidRDefault="009A4DE6" w:rsidP="009A4DE6">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$130,738</w:t>
            </w:r>
          </w:p>
        </w:tc>
        <w:tc>
          <w:tcPr>
            <w:tcW w:w="1701" w:type="dxa"/>
            <w:vAlign w:val="center"/>
          </w:tcPr>
          <w:p w14:paraId="0D0988ED" w14:textId="782CF7F4" w:rsidR="0098606C" w:rsidRPr="00F524E3" w:rsidRDefault="0098606C" w:rsidP="005A6787">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524E3">
              <w:rPr>
                <w:rFonts w:cs="Arial"/>
                <w:sz w:val="18"/>
                <w:szCs w:val="18"/>
              </w:rPr>
              <w:t>+17%</w:t>
            </w:r>
          </w:p>
        </w:tc>
      </w:tr>
      <w:tr w:rsidR="0098606C" w:rsidRPr="00CE6573" w14:paraId="7ED20469" w14:textId="77777777" w:rsidTr="00136B3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6058CBB9" w14:textId="77777777" w:rsidR="0098606C" w:rsidRPr="00F524E3" w:rsidRDefault="0098606C" w:rsidP="005A6787">
            <w:pPr>
              <w:spacing w:before="60" w:after="60"/>
              <w:rPr>
                <w:rFonts w:cs="Arial"/>
                <w:b w:val="0"/>
                <w:bCs w:val="0"/>
                <w:sz w:val="18"/>
                <w:szCs w:val="18"/>
              </w:rPr>
            </w:pPr>
            <w:r w:rsidRPr="00F524E3">
              <w:rPr>
                <w:rFonts w:cs="Arial"/>
                <w:b w:val="0"/>
                <w:bCs w:val="0"/>
                <w:sz w:val="18"/>
                <w:szCs w:val="18"/>
              </w:rPr>
              <w:t>Total amount claimed by unregistered providers of Therapy supports</w:t>
            </w:r>
          </w:p>
        </w:tc>
        <w:tc>
          <w:tcPr>
            <w:tcW w:w="1701" w:type="dxa"/>
            <w:noWrap/>
            <w:vAlign w:val="center"/>
          </w:tcPr>
          <w:p w14:paraId="272048F0" w14:textId="77777777" w:rsidR="0098606C" w:rsidRPr="00F524E3" w:rsidRDefault="0098606C" w:rsidP="005A6787">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$0.29 billion</w:t>
            </w:r>
          </w:p>
        </w:tc>
        <w:tc>
          <w:tcPr>
            <w:tcW w:w="1701" w:type="dxa"/>
            <w:vAlign w:val="center"/>
          </w:tcPr>
          <w:p w14:paraId="67452E35" w14:textId="33781562" w:rsidR="009A4DE6" w:rsidRPr="00F524E3" w:rsidRDefault="009A4DE6" w:rsidP="009A4DE6">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$0.45 billion</w:t>
            </w:r>
          </w:p>
        </w:tc>
        <w:tc>
          <w:tcPr>
            <w:tcW w:w="1701" w:type="dxa"/>
            <w:vAlign w:val="center"/>
          </w:tcPr>
          <w:p w14:paraId="1C9AEF10" w14:textId="5076591B" w:rsidR="0098606C" w:rsidRPr="00F524E3" w:rsidRDefault="0098606C" w:rsidP="005A6787">
            <w:pPr>
              <w:spacing w:before="60" w:after="60"/>
              <w:ind w:right="51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524E3">
              <w:rPr>
                <w:rFonts w:cs="Arial"/>
                <w:sz w:val="18"/>
                <w:szCs w:val="18"/>
              </w:rPr>
              <w:t>+55%</w:t>
            </w:r>
          </w:p>
        </w:tc>
      </w:tr>
      <w:tr w:rsidR="0098606C" w:rsidRPr="00CE6573" w14:paraId="64263562" w14:textId="77777777" w:rsidTr="00136B37">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5A003AE9" w14:textId="77777777" w:rsidR="0098606C" w:rsidRPr="00F524E3" w:rsidRDefault="0098606C" w:rsidP="005A6787">
            <w:pPr>
              <w:spacing w:before="60" w:after="60"/>
              <w:rPr>
                <w:rFonts w:cs="Arial"/>
                <w:sz w:val="18"/>
                <w:szCs w:val="18"/>
              </w:rPr>
            </w:pPr>
            <w:r w:rsidRPr="00F524E3">
              <w:rPr>
                <w:rFonts w:cs="Arial"/>
                <w:b w:val="0"/>
                <w:bCs w:val="0"/>
                <w:sz w:val="18"/>
                <w:szCs w:val="18"/>
              </w:rPr>
              <w:t>Average amount claimed by unregistered providers of Therapy supports</w:t>
            </w:r>
          </w:p>
        </w:tc>
        <w:tc>
          <w:tcPr>
            <w:tcW w:w="1701" w:type="dxa"/>
            <w:noWrap/>
            <w:vAlign w:val="center"/>
          </w:tcPr>
          <w:p w14:paraId="2FDB8A56" w14:textId="77777777" w:rsidR="0098606C" w:rsidRPr="00F524E3" w:rsidRDefault="0098606C" w:rsidP="005A6787">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$9,043</w:t>
            </w:r>
          </w:p>
        </w:tc>
        <w:tc>
          <w:tcPr>
            <w:tcW w:w="1701" w:type="dxa"/>
            <w:vAlign w:val="center"/>
          </w:tcPr>
          <w:p w14:paraId="35E652F8" w14:textId="20D925B9" w:rsidR="009A4DE6" w:rsidRPr="00F524E3" w:rsidRDefault="009A4DE6" w:rsidP="009A4DE6">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F524E3">
              <w:rPr>
                <w:rFonts w:eastAsia="Times New Roman" w:cs="Arial"/>
                <w:color w:val="000000"/>
                <w:sz w:val="18"/>
                <w:szCs w:val="18"/>
                <w:lang w:eastAsia="zh-CN" w:bidi="th-TH"/>
              </w:rPr>
              <w:t>$11,790</w:t>
            </w:r>
          </w:p>
        </w:tc>
        <w:tc>
          <w:tcPr>
            <w:tcW w:w="1701" w:type="dxa"/>
            <w:vAlign w:val="center"/>
          </w:tcPr>
          <w:p w14:paraId="1456E1EE" w14:textId="6BAF0F2E" w:rsidR="0098606C" w:rsidRPr="00F524E3" w:rsidRDefault="0098606C" w:rsidP="005A6787">
            <w:pPr>
              <w:spacing w:before="60" w:after="60"/>
              <w:ind w:right="51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524E3">
              <w:rPr>
                <w:rFonts w:cs="Arial"/>
                <w:sz w:val="18"/>
                <w:szCs w:val="18"/>
              </w:rPr>
              <w:t>+30%</w:t>
            </w:r>
          </w:p>
        </w:tc>
      </w:tr>
    </w:tbl>
    <w:p w14:paraId="28DAED36" w14:textId="77777777" w:rsidR="0098606C" w:rsidRPr="00F00536" w:rsidRDefault="0098606C" w:rsidP="0098606C">
      <w:pPr>
        <w:pStyle w:val="Footnote"/>
        <w:ind w:left="0" w:firstLine="0"/>
        <w:rPr>
          <w:b/>
          <w:i/>
          <w:sz w:val="16"/>
          <w:szCs w:val="16"/>
        </w:rPr>
      </w:pPr>
      <w:r w:rsidRPr="00F00536">
        <w:rPr>
          <w:b/>
          <w:i/>
          <w:sz w:val="16"/>
          <w:szCs w:val="16"/>
        </w:rPr>
        <w:t>Source: NDIS internal administrative data</w:t>
      </w:r>
    </w:p>
    <w:p w14:paraId="6C03FA37" w14:textId="48FD6CEC" w:rsidR="00C0561D" w:rsidRDefault="21D21329" w:rsidP="00E927EC">
      <w:pPr>
        <w:pStyle w:val="Footnote"/>
        <w:ind w:left="0" w:firstLine="0"/>
      </w:pPr>
      <w:r>
        <w:t xml:space="preserve">Note: Please note the number of </w:t>
      </w:r>
      <w:r w:rsidR="1D5761EB">
        <w:t>‘</w:t>
      </w:r>
      <w:r>
        <w:t xml:space="preserve">active registered providers of Therapy supports and </w:t>
      </w:r>
      <w:r w:rsidR="61DCB479">
        <w:t>n</w:t>
      </w:r>
      <w:r>
        <w:t xml:space="preserve">umber of </w:t>
      </w:r>
      <w:r w:rsidR="61DCB479">
        <w:t>‘</w:t>
      </w:r>
      <w:r>
        <w:t>active unregistered providers of Therapy supports</w:t>
      </w:r>
      <w:r w:rsidR="61DCB479">
        <w:t>’</w:t>
      </w:r>
      <w:r>
        <w:t xml:space="preserve"> </w:t>
      </w:r>
      <w:r w:rsidR="59ED07FC">
        <w:t>do not</w:t>
      </w:r>
      <w:r>
        <w:t xml:space="preserve"> align with the </w:t>
      </w:r>
      <w:r w:rsidR="61DCB479">
        <w:t>t</w:t>
      </w:r>
      <w:r>
        <w:t xml:space="preserve">otal number of </w:t>
      </w:r>
      <w:r w:rsidR="61DCB479">
        <w:t>‘</w:t>
      </w:r>
      <w:r>
        <w:t xml:space="preserve">active </w:t>
      </w:r>
      <w:bookmarkStart w:id="83" w:name="_Int_0Utz6QcK"/>
      <w:proofErr w:type="gramStart"/>
      <w:r>
        <w:t>providers</w:t>
      </w:r>
      <w:r w:rsidR="61DCB479">
        <w:t>’</w:t>
      </w:r>
      <w:bookmarkEnd w:id="83"/>
      <w:proofErr w:type="gramEnd"/>
      <w:r>
        <w:t xml:space="preserve">. There are two reasons for this; 1) One provider can provider multiple supports with being registered for some types of support provided and unregistered for others </w:t>
      </w:r>
      <w:r w:rsidR="52B3A87B">
        <w:t>(different registration groups)</w:t>
      </w:r>
      <w:r>
        <w:t xml:space="preserve"> in the same </w:t>
      </w:r>
      <w:r w:rsidR="7FF7DA22">
        <w:t>period</w:t>
      </w:r>
      <w:r>
        <w:t xml:space="preserve"> so they are accounted for in both groups of providers; 2) Providers with the unknown registration are captured in total amounts but not presented in </w:t>
      </w:r>
      <w:r w:rsidR="52B3A87B">
        <w:t xml:space="preserve">this </w:t>
      </w:r>
      <w:r>
        <w:t xml:space="preserve">table as they make </w:t>
      </w:r>
      <w:r w:rsidR="52B3A87B">
        <w:t xml:space="preserve">up </w:t>
      </w:r>
      <w:r>
        <w:t>less than 1% of total payments.</w:t>
      </w:r>
    </w:p>
    <w:p w14:paraId="2E906531" w14:textId="7A351BBC" w:rsidR="00E8615E" w:rsidRPr="00E8615E" w:rsidRDefault="00000000" w:rsidP="00E927EC">
      <w:pPr>
        <w:spacing w:before="240"/>
      </w:pPr>
      <w:fldSimple w:instr=" REF _Ref134303229 ">
        <w:r w:rsidR="00D64E4C">
          <w:t xml:space="preserve">Figure </w:t>
        </w:r>
        <w:r w:rsidR="00D64E4C">
          <w:rPr>
            <w:noProof/>
          </w:rPr>
          <w:t>13</w:t>
        </w:r>
      </w:fldSimple>
      <w:r w:rsidR="00C829E5">
        <w:t xml:space="preserve"> </w:t>
      </w:r>
      <w:r w:rsidR="006310FD">
        <w:t xml:space="preserve">below </w:t>
      </w:r>
      <w:r w:rsidR="00E30045">
        <w:t xml:space="preserve">shows the quarterly breakdown of </w:t>
      </w:r>
      <w:r w:rsidR="11714F41">
        <w:t>S</w:t>
      </w:r>
      <w:r w:rsidR="7EAAF0E6">
        <w:t>cheme</w:t>
      </w:r>
      <w:r w:rsidR="00E30045">
        <w:t xml:space="preserve"> expenditure on therapeutic supports and proportion of the overall </w:t>
      </w:r>
      <w:r w:rsidR="3E75D4CB">
        <w:t>S</w:t>
      </w:r>
      <w:r w:rsidR="00E30045">
        <w:t>cheme expenditure. Therapeutic supports make 9.7% or $817.1</w:t>
      </w:r>
      <w:r w:rsidR="009D677A">
        <w:t xml:space="preserve"> </w:t>
      </w:r>
      <w:r w:rsidR="00E30045">
        <w:t>mil</w:t>
      </w:r>
      <w:r w:rsidR="009D677A">
        <w:t>lion</w:t>
      </w:r>
      <w:r w:rsidR="00E30045">
        <w:t xml:space="preserve"> of total scheme </w:t>
      </w:r>
      <w:r w:rsidR="00E30045">
        <w:t xml:space="preserve">costs </w:t>
      </w:r>
      <w:r w:rsidR="00C64352">
        <w:t>in</w:t>
      </w:r>
      <w:r w:rsidR="00E56C24">
        <w:t xml:space="preserve"> the three months to</w:t>
      </w:r>
      <w:r w:rsidR="00E30045">
        <w:t xml:space="preserve"> December 2022. As shown on the chart above, these supports hover around 9.4% of </w:t>
      </w:r>
      <w:r w:rsidR="0016698F">
        <w:t xml:space="preserve">the </w:t>
      </w:r>
      <w:r w:rsidR="00E30045">
        <w:t xml:space="preserve">total </w:t>
      </w:r>
      <w:r w:rsidR="67090210">
        <w:t>S</w:t>
      </w:r>
      <w:r w:rsidR="00E30045">
        <w:t xml:space="preserve">cheme costs for </w:t>
      </w:r>
      <w:r w:rsidR="0016698F">
        <w:t xml:space="preserve">the </w:t>
      </w:r>
      <w:r w:rsidR="00E30045">
        <w:t>last 9 quarters.  </w:t>
      </w:r>
    </w:p>
    <w:p w14:paraId="5DE3EBBA" w14:textId="3844D20D" w:rsidR="00CA6DDB" w:rsidRDefault="00CA6DDB" w:rsidP="00CA6DDB">
      <w:pPr>
        <w:pStyle w:val="Caption"/>
        <w:jc w:val="left"/>
      </w:pPr>
      <w:bookmarkStart w:id="84" w:name="_Ref134303229"/>
      <w:r>
        <w:t xml:space="preserve">Figure </w:t>
      </w:r>
      <w:r>
        <w:fldChar w:fldCharType="begin"/>
      </w:r>
      <w:r>
        <w:instrText>SEQ Figure \* ARABIC</w:instrText>
      </w:r>
      <w:r>
        <w:fldChar w:fldCharType="separate"/>
      </w:r>
      <w:r w:rsidR="00D64E4C">
        <w:rPr>
          <w:noProof/>
        </w:rPr>
        <w:t>13</w:t>
      </w:r>
      <w:r>
        <w:fldChar w:fldCharType="end"/>
      </w:r>
      <w:bookmarkEnd w:id="84"/>
      <w:r>
        <w:t xml:space="preserve">: </w:t>
      </w:r>
      <w:r w:rsidRPr="00540C10">
        <w:t>NDIS expenditure on Therapy supports since December 2020 quarter relative to total NDIS expenditure</w:t>
      </w:r>
    </w:p>
    <w:p w14:paraId="320FD5F8" w14:textId="5A8B5581" w:rsidR="0098606C" w:rsidRDefault="006B769A" w:rsidP="0098606C">
      <w:pPr>
        <w:spacing w:before="0" w:after="0" w:line="240" w:lineRule="auto"/>
        <w:textAlignment w:val="baseline"/>
        <w:rPr>
          <w:rFonts w:eastAsia="Times New Roman" w:cs="Arial"/>
          <w:szCs w:val="22"/>
          <w:lang w:eastAsia="en-AU"/>
        </w:rPr>
      </w:pPr>
      <w:r>
        <w:rPr>
          <w:rFonts w:eastAsia="Times New Roman" w:cs="Arial"/>
          <w:noProof/>
          <w:szCs w:val="22"/>
          <w:lang w:eastAsia="en-AU"/>
        </w:rPr>
        <w:drawing>
          <wp:inline distT="0" distB="0" distL="0" distR="0" wp14:anchorId="53511602" wp14:editId="703E6054">
            <wp:extent cx="5395595" cy="2700655"/>
            <wp:effectExtent l="0" t="0" r="0" b="4445"/>
            <wp:docPr id="8" name="Picture 8" descr="FIGURE 13: NDIS EXPENDITURE ON THERAPY SUPPORTS SINCE DECEMBER 2020 QUARTER RELATIVE TO TOTAL NDIS EXPENDITURE&#10;&#10;Total quarterly therapy expenditure has risen from $501.2 million in the December quarter 2020 to $817.1 million in the December quarter 2021. Expenditure rose every quarter, except the March quarter of 2021 and 2022 (likely driven by seasonal factors). &#10;&#10;As a percentage of total scheme expenditure, therapy expenditure has remained broadly consistent, oscillating between 8.4% and 10%% since the December quart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3: NDIS EXPENDITURE ON THERAPY SUPPORTS SINCE DECEMBER 2020 QUARTER RELATIVE TO TOTAL NDIS EXPENDITURE&#10;&#10;Total quarterly therapy expenditure has risen from $501.2 million in the December quarter 2020 to $817.1 million in the December quarter 2021. Expenditure rose every quarter, except the March quarter of 2021 and 2022 (likely driven by seasonal factors). &#10;&#10;As a percentage of total scheme expenditure, therapy expenditure has remained broadly consistent, oscillating between 8.4% and 10%% since the December quarter 2020.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5595" cy="2700655"/>
                    </a:xfrm>
                    <a:prstGeom prst="rect">
                      <a:avLst/>
                    </a:prstGeom>
                    <a:noFill/>
                  </pic:spPr>
                </pic:pic>
              </a:graphicData>
            </a:graphic>
          </wp:inline>
        </w:drawing>
      </w:r>
    </w:p>
    <w:p w14:paraId="6CA1B00F" w14:textId="11EC1F35" w:rsidR="004B017F" w:rsidRDefault="004B017F" w:rsidP="00E927EC">
      <w:pPr>
        <w:spacing w:before="240" w:after="0" w:line="240" w:lineRule="auto"/>
        <w:textAlignment w:val="baseline"/>
        <w:rPr>
          <w:rFonts w:eastAsia="Times New Roman" w:cs="Arial"/>
          <w:szCs w:val="22"/>
          <w:lang w:eastAsia="en-AU"/>
        </w:rPr>
      </w:pPr>
      <w:r w:rsidRPr="00DC7710">
        <w:rPr>
          <w:b/>
          <w:u w:val="single"/>
        </w:rPr>
        <w:t>Participants</w:t>
      </w:r>
    </w:p>
    <w:p w14:paraId="3C709B83" w14:textId="053E08AD" w:rsidR="00E83705" w:rsidRPr="005E646C" w:rsidRDefault="00E83705" w:rsidP="0098606C">
      <w:pPr>
        <w:rPr>
          <w:szCs w:val="22"/>
        </w:rPr>
      </w:pPr>
      <w:r>
        <w:rPr>
          <w:szCs w:val="22"/>
        </w:rPr>
        <w:t xml:space="preserve">From the </w:t>
      </w:r>
      <w:r w:rsidRPr="005E646C">
        <w:rPr>
          <w:szCs w:val="22"/>
        </w:rPr>
        <w:t>325,319 participants with a claim for therapy supports from their plan</w:t>
      </w:r>
      <w:r w:rsidR="00B42B93" w:rsidRPr="005E646C">
        <w:rPr>
          <w:szCs w:val="22"/>
        </w:rPr>
        <w:t xml:space="preserve"> in the six months to December 2022</w:t>
      </w:r>
      <w:r w:rsidRPr="005E646C">
        <w:rPr>
          <w:szCs w:val="22"/>
        </w:rPr>
        <w:t xml:space="preserve">, the </w:t>
      </w:r>
      <w:r w:rsidR="00D762B8" w:rsidRPr="005E646C">
        <w:rPr>
          <w:szCs w:val="22"/>
        </w:rPr>
        <w:t xml:space="preserve">most </w:t>
      </w:r>
      <w:r w:rsidR="004C4B4E">
        <w:rPr>
          <w:szCs w:val="22"/>
        </w:rPr>
        <w:t xml:space="preserve">common </w:t>
      </w:r>
      <w:r w:rsidRPr="005E646C">
        <w:rPr>
          <w:szCs w:val="22"/>
        </w:rPr>
        <w:t xml:space="preserve">therapist </w:t>
      </w:r>
      <w:r w:rsidR="004C4B4E">
        <w:rPr>
          <w:szCs w:val="22"/>
        </w:rPr>
        <w:t xml:space="preserve">support </w:t>
      </w:r>
      <w:r w:rsidR="007A7C04" w:rsidRPr="005E646C">
        <w:rPr>
          <w:szCs w:val="22"/>
        </w:rPr>
        <w:t>is for “Other Professionals” ($254.4 million claimed), followed by</w:t>
      </w:r>
      <w:r w:rsidRPr="005E646C">
        <w:rPr>
          <w:szCs w:val="22"/>
        </w:rPr>
        <w:t xml:space="preserve"> Occupational Therapists</w:t>
      </w:r>
      <w:r w:rsidR="007A7C04" w:rsidRPr="005E646C">
        <w:rPr>
          <w:szCs w:val="22"/>
        </w:rPr>
        <w:t xml:space="preserve"> (</w:t>
      </w:r>
      <w:r w:rsidR="00B42B93" w:rsidRPr="005E646C">
        <w:rPr>
          <w:szCs w:val="22"/>
        </w:rPr>
        <w:t xml:space="preserve">for </w:t>
      </w:r>
      <w:r w:rsidR="007A7C04" w:rsidRPr="005E646C">
        <w:rPr>
          <w:szCs w:val="22"/>
        </w:rPr>
        <w:t>$280.9 million claimed)</w:t>
      </w:r>
      <w:r w:rsidR="00B42B93" w:rsidRPr="005E646C">
        <w:rPr>
          <w:szCs w:val="22"/>
        </w:rPr>
        <w:t xml:space="preserve"> </w:t>
      </w:r>
      <w:r w:rsidR="00B42B93" w:rsidRPr="005E646C">
        <w:rPr>
          <w:szCs w:val="22"/>
        </w:rPr>
        <w:lastRenderedPageBreak/>
        <w:t xml:space="preserve">and </w:t>
      </w:r>
      <w:r w:rsidR="005E646C" w:rsidRPr="005E646C">
        <w:rPr>
          <w:szCs w:val="22"/>
        </w:rPr>
        <w:t>Physiotherapy ($248.0 million).</w:t>
      </w:r>
      <w:r w:rsidR="0058724D">
        <w:rPr>
          <w:szCs w:val="22"/>
        </w:rPr>
        <w:t xml:space="preserve"> </w:t>
      </w:r>
      <w:r w:rsidR="005E646C" w:rsidRPr="005E646C">
        <w:rPr>
          <w:szCs w:val="22"/>
        </w:rPr>
        <w:t>Noting participants can use and claim more than one type of therapist/therapy.</w:t>
      </w:r>
      <w:r w:rsidR="0058724D">
        <w:rPr>
          <w:szCs w:val="22"/>
        </w:rPr>
        <w:t xml:space="preserve"> A more detailed breakdown can be seen in</w:t>
      </w:r>
      <w:r w:rsidR="00DD01AE">
        <w:rPr>
          <w:szCs w:val="22"/>
        </w:rPr>
        <w:t xml:space="preserve"> </w:t>
      </w:r>
      <w:r w:rsidR="00DD01AE">
        <w:rPr>
          <w:szCs w:val="22"/>
        </w:rPr>
        <w:fldChar w:fldCharType="begin"/>
      </w:r>
      <w:r w:rsidR="00DD01AE">
        <w:rPr>
          <w:szCs w:val="22"/>
        </w:rPr>
        <w:instrText xml:space="preserve"> REF _Ref134303474 </w:instrText>
      </w:r>
      <w:r w:rsidR="00DD01AE">
        <w:rPr>
          <w:szCs w:val="22"/>
        </w:rPr>
        <w:fldChar w:fldCharType="separate"/>
      </w:r>
      <w:r w:rsidR="00D64E4C">
        <w:t xml:space="preserve">Table </w:t>
      </w:r>
      <w:r w:rsidR="00D64E4C">
        <w:rPr>
          <w:noProof/>
        </w:rPr>
        <w:t>7</w:t>
      </w:r>
      <w:r w:rsidR="00DD01AE">
        <w:rPr>
          <w:szCs w:val="22"/>
        </w:rPr>
        <w:fldChar w:fldCharType="end"/>
      </w:r>
      <w:r w:rsidR="0058724D">
        <w:rPr>
          <w:szCs w:val="22"/>
        </w:rPr>
        <w:t>.</w:t>
      </w:r>
    </w:p>
    <w:p w14:paraId="5150BD66" w14:textId="2082BE5F" w:rsidR="0098606C" w:rsidRPr="00CA6DDB" w:rsidRDefault="005E646C" w:rsidP="00CA6DDB">
      <w:pPr>
        <w:rPr>
          <w:szCs w:val="22"/>
        </w:rPr>
      </w:pPr>
      <w:r>
        <w:rPr>
          <w:szCs w:val="22"/>
        </w:rPr>
        <w:t>The overall a</w:t>
      </w:r>
      <w:r w:rsidR="0098606C" w:rsidRPr="00DA312F">
        <w:rPr>
          <w:szCs w:val="22"/>
        </w:rPr>
        <w:t xml:space="preserve">verage payment for a participant receiving therapy supports </w:t>
      </w:r>
      <w:r>
        <w:rPr>
          <w:szCs w:val="22"/>
        </w:rPr>
        <w:t xml:space="preserve">in the six months to December </w:t>
      </w:r>
      <w:r w:rsidR="0098606C">
        <w:rPr>
          <w:szCs w:val="22"/>
        </w:rPr>
        <w:t>20</w:t>
      </w:r>
      <w:r w:rsidR="0098606C" w:rsidRPr="00DA312F">
        <w:rPr>
          <w:szCs w:val="22"/>
        </w:rPr>
        <w:t>2</w:t>
      </w:r>
      <w:r w:rsidR="0098606C">
        <w:rPr>
          <w:szCs w:val="22"/>
        </w:rPr>
        <w:t>2</w:t>
      </w:r>
      <w:r w:rsidR="0098606C" w:rsidRPr="00DA312F">
        <w:rPr>
          <w:szCs w:val="22"/>
        </w:rPr>
        <w:t xml:space="preserve"> was $4,988, up 8% compared to $4,617 </w:t>
      </w:r>
      <w:r>
        <w:rPr>
          <w:szCs w:val="22"/>
        </w:rPr>
        <w:t xml:space="preserve">in the </w:t>
      </w:r>
      <w:r w:rsidR="004D29D6">
        <w:rPr>
          <w:szCs w:val="22"/>
        </w:rPr>
        <w:t>six months to December 2021</w:t>
      </w:r>
      <w:r>
        <w:rPr>
          <w:szCs w:val="22"/>
        </w:rPr>
        <w:t xml:space="preserve">. </w:t>
      </w:r>
      <w:r w:rsidR="0098606C" w:rsidRPr="00DA312F">
        <w:rPr>
          <w:szCs w:val="22"/>
        </w:rPr>
        <w:t xml:space="preserve">The average </w:t>
      </w:r>
      <w:r w:rsidR="0098606C">
        <w:rPr>
          <w:szCs w:val="22"/>
        </w:rPr>
        <w:t>amount claimed</w:t>
      </w:r>
      <w:r w:rsidR="0098606C" w:rsidRPr="00DA312F">
        <w:rPr>
          <w:szCs w:val="22"/>
        </w:rPr>
        <w:t xml:space="preserve"> per provider over th</w:t>
      </w:r>
      <w:r w:rsidR="00E671F4">
        <w:rPr>
          <w:szCs w:val="22"/>
        </w:rPr>
        <w:t>e</w:t>
      </w:r>
      <w:r w:rsidR="0098606C" w:rsidRPr="00DA312F">
        <w:rPr>
          <w:szCs w:val="22"/>
        </w:rPr>
        <w:t xml:space="preserve"> six</w:t>
      </w:r>
      <w:r w:rsidR="00067113">
        <w:rPr>
          <w:szCs w:val="22"/>
        </w:rPr>
        <w:t xml:space="preserve"> </w:t>
      </w:r>
      <w:r w:rsidR="0098606C" w:rsidRPr="00DA312F">
        <w:rPr>
          <w:szCs w:val="22"/>
        </w:rPr>
        <w:t>month</w:t>
      </w:r>
      <w:r w:rsidR="00067113">
        <w:rPr>
          <w:szCs w:val="22"/>
        </w:rPr>
        <w:t>s</w:t>
      </w:r>
      <w:r w:rsidR="0098606C" w:rsidRPr="00DA312F">
        <w:rPr>
          <w:szCs w:val="22"/>
        </w:rPr>
        <w:t xml:space="preserve"> </w:t>
      </w:r>
      <w:r w:rsidR="004D29D6">
        <w:rPr>
          <w:szCs w:val="22"/>
        </w:rPr>
        <w:t xml:space="preserve">to December 2022 </w:t>
      </w:r>
      <w:r w:rsidR="0098606C" w:rsidRPr="00DA312F">
        <w:rPr>
          <w:szCs w:val="22"/>
        </w:rPr>
        <w:t xml:space="preserve">was $34,947, up 10% compared to </w:t>
      </w:r>
      <w:r w:rsidR="004D29D6">
        <w:rPr>
          <w:szCs w:val="22"/>
        </w:rPr>
        <w:t>the six months to December 2021</w:t>
      </w:r>
      <w:r w:rsidR="0098606C" w:rsidRPr="00DA312F">
        <w:rPr>
          <w:szCs w:val="22"/>
        </w:rPr>
        <w:t xml:space="preserve"> ($31,627)</w:t>
      </w:r>
      <w:r w:rsidR="0098606C" w:rsidRPr="003165E1">
        <w:rPr>
          <w:szCs w:val="22"/>
        </w:rPr>
        <w:t>.</w:t>
      </w:r>
    </w:p>
    <w:p w14:paraId="0CACD23E" w14:textId="289BE642" w:rsidR="00CA6DDB" w:rsidRDefault="00CA6DDB" w:rsidP="00CA6DDB">
      <w:pPr>
        <w:pStyle w:val="Caption"/>
      </w:pPr>
      <w:bookmarkStart w:id="85" w:name="_Ref134303474"/>
      <w:r>
        <w:t xml:space="preserve">Table </w:t>
      </w:r>
      <w:r>
        <w:fldChar w:fldCharType="begin"/>
      </w:r>
      <w:r>
        <w:instrText>SEQ Table \* ARABIC</w:instrText>
      </w:r>
      <w:r>
        <w:fldChar w:fldCharType="separate"/>
      </w:r>
      <w:r w:rsidR="00D64E4C">
        <w:rPr>
          <w:noProof/>
        </w:rPr>
        <w:t>7</w:t>
      </w:r>
      <w:r>
        <w:fldChar w:fldCharType="end"/>
      </w:r>
      <w:bookmarkEnd w:id="85"/>
      <w:r>
        <w:t xml:space="preserve">: </w:t>
      </w:r>
      <w:r w:rsidRPr="002042CB">
        <w:t>SCHEME EXPENDITURE BY TYPE OF THERAPY, july to december 2022</w:t>
      </w:r>
    </w:p>
    <w:tbl>
      <w:tblPr>
        <w:tblW w:w="0" w:type="auto"/>
        <w:tblInd w:w="988" w:type="dxa"/>
        <w:tblBorders>
          <w:top w:val="single" w:sz="12" w:space="0" w:color="4F1E58" w:themeColor="text1" w:themeShade="BF"/>
          <w:left w:val="single" w:sz="12" w:space="0" w:color="4F1E58" w:themeColor="text1" w:themeShade="BF"/>
          <w:bottom w:val="single" w:sz="12" w:space="0" w:color="4F1E58" w:themeColor="text1" w:themeShade="BF"/>
          <w:right w:val="single" w:sz="12" w:space="0" w:color="4F1E58" w:themeColor="text1" w:themeShade="BF"/>
          <w:insideH w:val="single" w:sz="6" w:space="0" w:color="4F1E58" w:themeColor="text1" w:themeShade="BF"/>
          <w:insideV w:val="single" w:sz="6" w:space="0" w:color="4F1E58" w:themeColor="text1" w:themeShade="BF"/>
        </w:tblBorders>
        <w:tblLook w:val="04A0" w:firstRow="1" w:lastRow="0" w:firstColumn="1" w:lastColumn="0" w:noHBand="0" w:noVBand="1"/>
        <w:tblCaption w:val="TABLE 7: SCHEME EXPENDITURE BY TYPE OF THERAPY, JULY TO DECEMBER 2022"/>
        <w:tblDescription w:val="7279 providers of occupational therapy provided services to 162,532 NDS participants at a total cost of $280.9 million. 25,544 other professionals providers provided services to 179,476 participants at a total cost of $254.4 million. 10,362 early childhood providers provided services to 69,250 participants at a total cost of $248 million. 1290 behavioural therapist provided services to 42,385 participants at a total cost of $207.7 million. 10,249 physiotherapist providers provided services to 85,965 participants at a total cost of $166.5 million. 11,631 psychology providers provided services to 82,372 participants at a total cost of $138.7 million. 5000 896 speech therapist providers provided services to 89,000 and 33 participants at a total cost of $135 million. 4704 exercise Physiology providers provided services to 36,197 thousand participants at a total cost of $64.9 million. 3576 therapy assistance providers provided services to thirty 5066 participants at a total cost of $35.5 million. 4552 counsellors providers provided services to 20,043 participants at a total cost of $26.9 million."/>
      </w:tblPr>
      <w:tblGrid>
        <w:gridCol w:w="2438"/>
        <w:gridCol w:w="1474"/>
        <w:gridCol w:w="1474"/>
        <w:gridCol w:w="1701"/>
      </w:tblGrid>
      <w:tr w:rsidR="0098606C" w:rsidRPr="00A54A41" w14:paraId="15596609" w14:textId="77777777" w:rsidTr="005A6787">
        <w:trPr>
          <w:trHeight w:hRule="exact" w:val="567"/>
          <w:tblHeader/>
        </w:trPr>
        <w:tc>
          <w:tcPr>
            <w:tcW w:w="2438"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217ED3B0" w14:textId="77777777" w:rsidR="0098606C" w:rsidRPr="005A4415" w:rsidRDefault="0098606C" w:rsidP="00D608D6">
            <w:pPr>
              <w:spacing w:before="60" w:after="60" w:line="240" w:lineRule="auto"/>
              <w:rPr>
                <w:rFonts w:eastAsia="Times New Roman" w:cs="Arial"/>
                <w:b/>
                <w:color w:val="FEFFFF" w:themeColor="background1"/>
                <w:sz w:val="18"/>
                <w:szCs w:val="18"/>
                <w:lang w:eastAsia="zh-CN" w:bidi="th-TH"/>
              </w:rPr>
            </w:pPr>
            <w:r w:rsidRPr="005A4415">
              <w:rPr>
                <w:rFonts w:eastAsia="Times New Roman" w:cs="Arial"/>
                <w:b/>
                <w:color w:val="FEFFFF" w:themeColor="background1"/>
                <w:sz w:val="18"/>
                <w:szCs w:val="18"/>
                <w:lang w:eastAsia="zh-CN" w:bidi="th-TH"/>
              </w:rPr>
              <w:t>Type of Therapist</w:t>
            </w:r>
          </w:p>
        </w:tc>
        <w:tc>
          <w:tcPr>
            <w:tcW w:w="1474"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198BD46B" w14:textId="77777777" w:rsidR="0098606C" w:rsidRPr="005A4415" w:rsidRDefault="0098606C" w:rsidP="00D608D6">
            <w:pPr>
              <w:spacing w:before="60" w:after="60" w:line="240" w:lineRule="auto"/>
              <w:jc w:val="center"/>
              <w:rPr>
                <w:rFonts w:eastAsia="Times New Roman" w:cs="Arial"/>
                <w:b/>
                <w:color w:val="FEFFFF" w:themeColor="background1"/>
                <w:sz w:val="18"/>
                <w:szCs w:val="18"/>
                <w:lang w:eastAsia="zh-CN" w:bidi="th-TH"/>
              </w:rPr>
            </w:pPr>
            <w:r w:rsidRPr="005A4415">
              <w:rPr>
                <w:rFonts w:eastAsia="Times New Roman" w:cs="Arial"/>
                <w:b/>
                <w:color w:val="FEFFFF" w:themeColor="background1"/>
                <w:sz w:val="18"/>
                <w:szCs w:val="18"/>
                <w:lang w:eastAsia="zh-CN" w:bidi="th-TH"/>
              </w:rPr>
              <w:t>Number of Participants</w:t>
            </w:r>
          </w:p>
        </w:tc>
        <w:tc>
          <w:tcPr>
            <w:tcW w:w="1474"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tcPr>
          <w:p w14:paraId="2460B94E" w14:textId="77777777" w:rsidR="0098606C" w:rsidRPr="005A4415" w:rsidRDefault="0098606C" w:rsidP="00D608D6">
            <w:pPr>
              <w:spacing w:before="60" w:after="60" w:line="240" w:lineRule="auto"/>
              <w:jc w:val="center"/>
              <w:rPr>
                <w:rFonts w:eastAsia="Times New Roman" w:cs="Arial"/>
                <w:b/>
                <w:color w:val="FEFFFF" w:themeColor="background1"/>
                <w:sz w:val="18"/>
                <w:szCs w:val="18"/>
                <w:lang w:eastAsia="zh-CN" w:bidi="th-TH"/>
              </w:rPr>
            </w:pPr>
            <w:r w:rsidRPr="005A4415">
              <w:rPr>
                <w:rFonts w:eastAsia="Times New Roman" w:cs="Arial"/>
                <w:b/>
                <w:color w:val="FEFFFF" w:themeColor="background1"/>
                <w:sz w:val="18"/>
                <w:szCs w:val="18"/>
                <w:lang w:eastAsia="zh-CN" w:bidi="th-TH"/>
              </w:rPr>
              <w:t>Number of Providers</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shd w:val="clear" w:color="auto" w:fill="6B2976"/>
          </w:tcPr>
          <w:p w14:paraId="2DB1B429" w14:textId="77777777" w:rsidR="0098606C" w:rsidRPr="005A4415" w:rsidRDefault="0098606C" w:rsidP="00D608D6">
            <w:pPr>
              <w:spacing w:before="60" w:after="60" w:line="240" w:lineRule="auto"/>
              <w:jc w:val="center"/>
              <w:rPr>
                <w:rFonts w:eastAsia="Times New Roman" w:cs="Arial"/>
                <w:b/>
                <w:color w:val="FEFFFF" w:themeColor="background1"/>
                <w:sz w:val="18"/>
                <w:szCs w:val="18"/>
                <w:lang w:eastAsia="zh-CN" w:bidi="th-TH"/>
              </w:rPr>
            </w:pPr>
            <w:r w:rsidRPr="005A4415">
              <w:rPr>
                <w:rFonts w:eastAsia="Times New Roman" w:cs="Arial"/>
                <w:b/>
                <w:color w:val="FEFFFF" w:themeColor="background1"/>
                <w:sz w:val="18"/>
                <w:szCs w:val="18"/>
                <w:lang w:eastAsia="zh-CN" w:bidi="th-TH"/>
              </w:rPr>
              <w:t>Total Amount Claimed</w:t>
            </w:r>
          </w:p>
        </w:tc>
      </w:tr>
      <w:tr w:rsidR="0098606C" w:rsidRPr="00A54A41" w14:paraId="0EF9ECF0" w14:textId="77777777" w:rsidTr="002919AC">
        <w:trPr>
          <w:trHeight w:val="284"/>
        </w:trPr>
        <w:tc>
          <w:tcPr>
            <w:tcW w:w="2438" w:type="dxa"/>
            <w:tcBorders>
              <w:top w:val="single" w:sz="4" w:space="0" w:color="4F1E58" w:themeColor="accent1" w:themeShade="BF"/>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21AC1248" w14:textId="35780F2C"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Occupational Therap</w:t>
            </w:r>
            <w:r w:rsidR="009A1A80">
              <w:rPr>
                <w:rFonts w:cs="Arial"/>
                <w:sz w:val="18"/>
                <w:szCs w:val="18"/>
              </w:rPr>
              <w:t>ists</w:t>
            </w:r>
          </w:p>
        </w:tc>
        <w:tc>
          <w:tcPr>
            <w:tcW w:w="1474"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614611AC"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162,532</w:t>
            </w:r>
          </w:p>
        </w:tc>
        <w:tc>
          <w:tcPr>
            <w:tcW w:w="1474"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5820D231"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7,279</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7E2C926A"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$280.9 m</w:t>
            </w:r>
          </w:p>
        </w:tc>
      </w:tr>
      <w:tr w:rsidR="0098606C" w:rsidRPr="00A54A41" w14:paraId="44BA38F4"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2503738E" w14:textId="59EADFA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Other</w:t>
            </w:r>
            <w:r w:rsidR="009A1A80">
              <w:rPr>
                <w:rFonts w:cs="Arial"/>
                <w:sz w:val="18"/>
                <w:szCs w:val="18"/>
              </w:rPr>
              <w:t xml:space="preserve"> Professionals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074C330"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179,476</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6A70CF8B"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25,544</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04D6EFCD"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$254.4 m</w:t>
            </w:r>
          </w:p>
        </w:tc>
      </w:tr>
      <w:tr w:rsidR="0098606C" w:rsidRPr="00A54A41" w14:paraId="2037C788"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727CC4C" w14:textId="7777777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Early Childhood</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0CD5496B"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69,250</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6D6E3E1F"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10,362</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39522A91"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$248.0 m</w:t>
            </w:r>
          </w:p>
        </w:tc>
      </w:tr>
      <w:tr w:rsidR="0098606C" w:rsidRPr="00A54A41" w14:paraId="746A37EB"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6EE717E" w14:textId="760595BF"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Behaviour</w:t>
            </w:r>
            <w:r w:rsidR="009A1A80">
              <w:rPr>
                <w:rFonts w:cs="Arial"/>
                <w:sz w:val="18"/>
                <w:szCs w:val="18"/>
              </w:rPr>
              <w:t>al Therapists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5484B462"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42,385</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0208E3A1"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1,290</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2A114AAA"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$207.7 m</w:t>
            </w:r>
          </w:p>
        </w:tc>
      </w:tr>
      <w:tr w:rsidR="0098606C" w:rsidRPr="00A54A41" w14:paraId="21540FC6"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29F03340" w14:textId="78D2D384"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Physiotherap</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EEAE1E8"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85,965</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3E98250"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10,249</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0038E273"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$166.5 m</w:t>
            </w:r>
          </w:p>
        </w:tc>
      </w:tr>
      <w:tr w:rsidR="0098606C" w:rsidRPr="00A54A41" w14:paraId="4E1F261F"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30EDE909" w14:textId="001E69DB"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Psycholog</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3211D8C9"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82,372</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71B65AAD"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11,631</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7BC19FDF"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$138.7 m</w:t>
            </w:r>
          </w:p>
        </w:tc>
      </w:tr>
      <w:tr w:rsidR="0098606C" w:rsidRPr="00A54A41" w14:paraId="7208BF65"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C0653B2" w14:textId="48483D42"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Speech Therap</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9C5A4BD"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89,033</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6E4DAEAA"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5,896</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35329EF4"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$135.4 m</w:t>
            </w:r>
          </w:p>
        </w:tc>
      </w:tr>
      <w:tr w:rsidR="0098606C" w:rsidRPr="00A54A41" w14:paraId="62BE549C"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54A36DD7" w14:textId="3F878D4A"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Exercise Physiolog</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CB9BD87"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36,197</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CA8B784"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4,704</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0F9503C5"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$64.9 m</w:t>
            </w:r>
          </w:p>
        </w:tc>
      </w:tr>
      <w:tr w:rsidR="0098606C" w:rsidRPr="00A54A41" w14:paraId="7D2C147A"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AC0DFC8" w14:textId="4E442F1E"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Therapy Assistant</w:t>
            </w:r>
            <w:r w:rsidR="009A1A80">
              <w:rPr>
                <w:rFonts w:cs="Arial"/>
                <w:sz w:val="18"/>
                <w:szCs w:val="18"/>
              </w:rPr>
              <w: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455BFD8"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35,066</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8AD802F"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3,576</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731B662F"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$35.5 m</w:t>
            </w:r>
          </w:p>
        </w:tc>
      </w:tr>
      <w:tr w:rsidR="0098606C" w:rsidRPr="00A54A41" w14:paraId="475DED4C"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F1A92D2" w14:textId="6C8EBB3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Counsell</w:t>
            </w:r>
            <w:r w:rsidR="009A1A80">
              <w:rPr>
                <w:rFonts w:cs="Arial"/>
                <w:sz w:val="18"/>
                <w:szCs w:val="18"/>
              </w:rPr>
              <w:t>ors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597F3790"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20,043</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00836EC6"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4,552</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4D3D6524"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$26.9 m</w:t>
            </w:r>
          </w:p>
        </w:tc>
      </w:tr>
      <w:tr w:rsidR="0098606C" w:rsidRPr="00A54A41" w14:paraId="26A9A130"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9654C08" w14:textId="3AB10E3D"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Dietitian</w:t>
            </w:r>
            <w:r w:rsidR="009A1A80">
              <w:rPr>
                <w:rFonts w:cs="Arial"/>
                <w:sz w:val="18"/>
                <w:szCs w:val="18"/>
              </w:rPr>
              <w: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E22BD6D"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19,875</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55C9D570"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2,052</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3B0E1788"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$15.9 m</w:t>
            </w:r>
          </w:p>
        </w:tc>
      </w:tr>
      <w:tr w:rsidR="0098606C" w:rsidRPr="00A54A41" w14:paraId="1AD679AC"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54996DAD" w14:textId="357C0B4F"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Social Worker</w:t>
            </w:r>
            <w:r w:rsidR="009A1A80">
              <w:rPr>
                <w:rFonts w:cs="Arial"/>
                <w:sz w:val="18"/>
                <w:szCs w:val="18"/>
              </w:rPr>
              <w: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D116B61"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8,101</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4051206F"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1,356</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03562502"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$11.4 m</w:t>
            </w:r>
          </w:p>
        </w:tc>
      </w:tr>
      <w:tr w:rsidR="0098606C" w:rsidRPr="00A54A41" w14:paraId="4B807A93"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1067AF3" w14:textId="7777777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Travel</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60A79058"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50,863</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7597888"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7,596</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5E71B6D9"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$8.9 m</w:t>
            </w:r>
          </w:p>
        </w:tc>
      </w:tr>
      <w:tr w:rsidR="0098606C" w:rsidRPr="00A54A41" w14:paraId="1C965EDC"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AEB27C8" w14:textId="7777777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Miscellaneous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4A61D6FB"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4,628</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26814549"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2,777</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484BBCCA"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$7.4 m</w:t>
            </w:r>
          </w:p>
        </w:tc>
      </w:tr>
      <w:tr w:rsidR="0098606C" w:rsidRPr="00A54A41" w14:paraId="7B2FF535"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4FC1F0B8" w14:textId="37DA91C0"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Podiatr</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5E3C91AB"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20,111</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54AD2A42"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2,483</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123AF75A"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$6.4 m</w:t>
            </w:r>
          </w:p>
        </w:tc>
      </w:tr>
      <w:tr w:rsidR="0098606C" w:rsidRPr="00A54A41" w14:paraId="71254BF6"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79DEF753" w14:textId="7B4ED71E"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Music Therap</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79C31BC4"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3,907</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4D0D2EB4"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819</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0DC59D04"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$5.2 m</w:t>
            </w:r>
          </w:p>
        </w:tc>
      </w:tr>
      <w:tr w:rsidR="0098606C" w:rsidRPr="00A54A41" w14:paraId="43F6D810"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EE00E55" w14:textId="595186E2"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Art Therap</w:t>
            </w:r>
            <w:r w:rsidR="009A1A80">
              <w:rPr>
                <w:rFonts w:cs="Arial"/>
                <w:sz w:val="18"/>
                <w:szCs w:val="18"/>
              </w:rPr>
              <w:t>ists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492B75C"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3,539</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7B910E26"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1,033</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06D8BDD2"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$4.2 m</w:t>
            </w:r>
          </w:p>
        </w:tc>
      </w:tr>
      <w:tr w:rsidR="0098606C" w:rsidRPr="00A54A41" w14:paraId="4E33A81A"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6FCBAF2F" w14:textId="606FAED7"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Development</w:t>
            </w:r>
            <w:r w:rsidR="009A1A80">
              <w:rPr>
                <w:rFonts w:cs="Arial"/>
                <w:sz w:val="18"/>
                <w:szCs w:val="18"/>
              </w:rPr>
              <w:t xml:space="preserve"> Educators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740C81F3"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2,132</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1EE24C6D"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333</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6A9AC2E5"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$3.4 m</w:t>
            </w:r>
          </w:p>
        </w:tc>
      </w:tr>
      <w:tr w:rsidR="0098606C" w:rsidRPr="00A54A41" w14:paraId="7C2E5492" w14:textId="77777777" w:rsidTr="002919AC">
        <w:trPr>
          <w:trHeight w:val="284"/>
        </w:trPr>
        <w:tc>
          <w:tcPr>
            <w:tcW w:w="2438"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2EC4D047" w14:textId="37935415"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Orthoptist</w:t>
            </w:r>
            <w:r w:rsidR="009A1A80">
              <w:rPr>
                <w:rFonts w:cs="Arial"/>
                <w:sz w:val="18"/>
                <w:szCs w:val="18"/>
              </w:rPr>
              <w:t>s</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4F76FDAC"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1,206</w:t>
            </w:r>
          </w:p>
        </w:tc>
        <w:tc>
          <w:tcPr>
            <w:tcW w:w="1474"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22EE8D12"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280</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34A6C05C"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$0.6 m</w:t>
            </w:r>
          </w:p>
        </w:tc>
      </w:tr>
      <w:tr w:rsidR="0098606C" w:rsidRPr="00A54A41" w14:paraId="780A74D9" w14:textId="77777777" w:rsidTr="002919AC">
        <w:trPr>
          <w:trHeight w:val="284"/>
        </w:trPr>
        <w:tc>
          <w:tcPr>
            <w:tcW w:w="2438" w:type="dxa"/>
            <w:tcBorders>
              <w:top w:val="single" w:sz="6" w:space="0" w:color="B962C8" w:themeColor="accent1" w:themeTint="99"/>
              <w:left w:val="single" w:sz="4" w:space="0" w:color="B962C8" w:themeColor="accent1" w:themeTint="99"/>
              <w:bottom w:val="single" w:sz="4" w:space="0" w:color="B962C8" w:themeColor="accent1" w:themeTint="99"/>
              <w:right w:val="single" w:sz="6" w:space="0" w:color="B962C8" w:themeColor="accent1" w:themeTint="99"/>
            </w:tcBorders>
            <w:shd w:val="clear" w:color="auto" w:fill="auto"/>
            <w:noWrap/>
            <w:vAlign w:val="center"/>
          </w:tcPr>
          <w:p w14:paraId="186F6C5D" w14:textId="2A0D8BA3"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Rehabilitation</w:t>
            </w:r>
            <w:r w:rsidR="0094795B">
              <w:rPr>
                <w:rFonts w:cs="Arial"/>
                <w:sz w:val="18"/>
                <w:szCs w:val="18"/>
              </w:rPr>
              <w:t xml:space="preserve"> Counsellor</w:t>
            </w:r>
            <w:r w:rsidR="009A1A80">
              <w:rPr>
                <w:rFonts w:cs="Arial"/>
                <w:sz w:val="18"/>
                <w:szCs w:val="18"/>
              </w:rPr>
              <w:t>s</w:t>
            </w:r>
          </w:p>
        </w:tc>
        <w:tc>
          <w:tcPr>
            <w:tcW w:w="1474" w:type="dxa"/>
            <w:tcBorders>
              <w:top w:val="single" w:sz="6" w:space="0" w:color="B962C8" w:themeColor="accent1" w:themeTint="99"/>
              <w:left w:val="single" w:sz="6" w:space="0" w:color="B962C8" w:themeColor="accent1" w:themeTint="99"/>
              <w:bottom w:val="single" w:sz="4" w:space="0" w:color="B962C8" w:themeColor="accent1" w:themeTint="99"/>
              <w:right w:val="single" w:sz="6" w:space="0" w:color="B962C8" w:themeColor="accent1" w:themeTint="99"/>
            </w:tcBorders>
            <w:shd w:val="clear" w:color="auto" w:fill="auto"/>
            <w:noWrap/>
            <w:vAlign w:val="center"/>
          </w:tcPr>
          <w:p w14:paraId="059CE110"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443</w:t>
            </w:r>
          </w:p>
        </w:tc>
        <w:tc>
          <w:tcPr>
            <w:tcW w:w="1474" w:type="dxa"/>
            <w:tcBorders>
              <w:top w:val="single" w:sz="6" w:space="0" w:color="B962C8" w:themeColor="accent1" w:themeTint="99"/>
              <w:left w:val="single" w:sz="6" w:space="0" w:color="B962C8" w:themeColor="accent1" w:themeTint="99"/>
              <w:bottom w:val="single" w:sz="4" w:space="0" w:color="B962C8" w:themeColor="accent1" w:themeTint="99"/>
              <w:right w:val="single" w:sz="6" w:space="0" w:color="B962C8" w:themeColor="accent1" w:themeTint="99"/>
            </w:tcBorders>
            <w:shd w:val="clear" w:color="auto" w:fill="auto"/>
            <w:noWrap/>
            <w:vAlign w:val="center"/>
          </w:tcPr>
          <w:p w14:paraId="6E72DBE8"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280</w:t>
            </w:r>
          </w:p>
        </w:tc>
        <w:tc>
          <w:tcPr>
            <w:tcW w:w="1701" w:type="dxa"/>
            <w:tcBorders>
              <w:top w:val="single" w:sz="6" w:space="0" w:color="B962C8" w:themeColor="accent1" w:themeTint="99"/>
              <w:left w:val="single" w:sz="6" w:space="0" w:color="B962C8" w:themeColor="accent1" w:themeTint="99"/>
              <w:bottom w:val="single" w:sz="4" w:space="0" w:color="B962C8" w:themeColor="accent1" w:themeTint="99"/>
              <w:right w:val="single" w:sz="4" w:space="0" w:color="B962C8" w:themeColor="accent1" w:themeTint="99"/>
            </w:tcBorders>
            <w:vAlign w:val="center"/>
          </w:tcPr>
          <w:p w14:paraId="476B3CDB"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$0.3 m</w:t>
            </w:r>
          </w:p>
        </w:tc>
      </w:tr>
      <w:tr w:rsidR="0098606C" w:rsidRPr="00A54A41" w14:paraId="1E7A839E" w14:textId="77777777" w:rsidTr="002919AC">
        <w:trPr>
          <w:trHeight w:val="284"/>
        </w:trPr>
        <w:tc>
          <w:tcPr>
            <w:tcW w:w="2438" w:type="dxa"/>
            <w:tcBorders>
              <w:top w:val="single" w:sz="4" w:space="0" w:color="B962C8" w:themeColor="accent1" w:themeTint="99"/>
              <w:left w:val="single" w:sz="4" w:space="0" w:color="B962C8" w:themeColor="accent1" w:themeTint="99"/>
              <w:bottom w:val="single" w:sz="18" w:space="0" w:color="6B2976" w:themeColor="accent1"/>
              <w:right w:val="single" w:sz="4" w:space="0" w:color="B962C8" w:themeColor="accent1" w:themeTint="99"/>
            </w:tcBorders>
            <w:shd w:val="clear" w:color="auto" w:fill="E8CAED" w:themeFill="text1" w:themeFillTint="33"/>
            <w:noWrap/>
            <w:vAlign w:val="center"/>
          </w:tcPr>
          <w:p w14:paraId="44319A20" w14:textId="5F8547E6" w:rsidR="0098606C" w:rsidRPr="005A4415" w:rsidRDefault="0098606C" w:rsidP="005A6787">
            <w:pPr>
              <w:spacing w:before="60" w:after="60" w:line="240" w:lineRule="auto"/>
              <w:rPr>
                <w:rFonts w:eastAsia="Times New Roman" w:cs="Arial"/>
                <w:color w:val="000000"/>
                <w:sz w:val="18"/>
                <w:szCs w:val="18"/>
                <w:lang w:eastAsia="zh-CN" w:bidi="th-TH"/>
              </w:rPr>
            </w:pPr>
            <w:r w:rsidRPr="005A4415">
              <w:rPr>
                <w:rFonts w:cs="Arial"/>
                <w:sz w:val="18"/>
                <w:szCs w:val="18"/>
              </w:rPr>
              <w:t>Audiolog</w:t>
            </w:r>
            <w:r w:rsidR="009A1A80">
              <w:rPr>
                <w:rFonts w:cs="Arial"/>
                <w:sz w:val="18"/>
                <w:szCs w:val="18"/>
              </w:rPr>
              <w:t>ists</w:t>
            </w:r>
          </w:p>
        </w:tc>
        <w:tc>
          <w:tcPr>
            <w:tcW w:w="1474" w:type="dxa"/>
            <w:tcBorders>
              <w:top w:val="single" w:sz="4" w:space="0" w:color="B962C8" w:themeColor="accent1" w:themeTint="99"/>
              <w:left w:val="single" w:sz="4" w:space="0" w:color="B962C8" w:themeColor="accent1" w:themeTint="99"/>
              <w:bottom w:val="single" w:sz="18" w:space="0" w:color="6B2976" w:themeColor="accent1"/>
              <w:right w:val="single" w:sz="4" w:space="0" w:color="B962C8" w:themeColor="accent1" w:themeTint="99"/>
            </w:tcBorders>
            <w:shd w:val="clear" w:color="auto" w:fill="E8CAED" w:themeFill="text1" w:themeFillTint="33"/>
            <w:noWrap/>
            <w:vAlign w:val="center"/>
          </w:tcPr>
          <w:p w14:paraId="3DF289AD" w14:textId="77777777" w:rsidR="0098606C" w:rsidRPr="005A4415" w:rsidRDefault="0098606C" w:rsidP="005A6787">
            <w:pPr>
              <w:spacing w:before="60" w:after="60" w:line="240" w:lineRule="auto"/>
              <w:ind w:right="340"/>
              <w:jc w:val="right"/>
              <w:rPr>
                <w:rFonts w:eastAsia="Times New Roman" w:cs="Arial"/>
                <w:color w:val="000000"/>
                <w:sz w:val="18"/>
                <w:szCs w:val="18"/>
                <w:lang w:eastAsia="zh-CN" w:bidi="th-TH"/>
              </w:rPr>
            </w:pPr>
            <w:r w:rsidRPr="005A4415">
              <w:rPr>
                <w:rFonts w:cs="Arial"/>
                <w:sz w:val="18"/>
                <w:szCs w:val="18"/>
              </w:rPr>
              <w:t>729</w:t>
            </w:r>
          </w:p>
        </w:tc>
        <w:tc>
          <w:tcPr>
            <w:tcW w:w="1474" w:type="dxa"/>
            <w:tcBorders>
              <w:top w:val="single" w:sz="4" w:space="0" w:color="B962C8" w:themeColor="accent1" w:themeTint="99"/>
              <w:left w:val="single" w:sz="4" w:space="0" w:color="B962C8" w:themeColor="accent1" w:themeTint="99"/>
              <w:bottom w:val="single" w:sz="18" w:space="0" w:color="6B2976" w:themeColor="accent1"/>
              <w:right w:val="single" w:sz="4" w:space="0" w:color="B962C8" w:themeColor="accent1" w:themeTint="99"/>
            </w:tcBorders>
            <w:shd w:val="clear" w:color="auto" w:fill="E8CAED" w:themeFill="text1" w:themeFillTint="33"/>
            <w:noWrap/>
            <w:vAlign w:val="center"/>
          </w:tcPr>
          <w:p w14:paraId="1C9899B3" w14:textId="77777777" w:rsidR="0098606C" w:rsidRPr="005A4415" w:rsidRDefault="0098606C" w:rsidP="005A6787">
            <w:pPr>
              <w:spacing w:before="60" w:after="60" w:line="240" w:lineRule="auto"/>
              <w:ind w:right="397"/>
              <w:jc w:val="right"/>
              <w:rPr>
                <w:rFonts w:eastAsia="Times New Roman" w:cs="Arial"/>
                <w:color w:val="000000"/>
                <w:sz w:val="18"/>
                <w:szCs w:val="18"/>
                <w:lang w:eastAsia="zh-CN" w:bidi="th-TH"/>
              </w:rPr>
            </w:pPr>
            <w:r w:rsidRPr="005A4415">
              <w:rPr>
                <w:rFonts w:cs="Arial"/>
                <w:sz w:val="18"/>
                <w:szCs w:val="18"/>
              </w:rPr>
              <w:t>181</w:t>
            </w:r>
          </w:p>
        </w:tc>
        <w:tc>
          <w:tcPr>
            <w:tcW w:w="1701" w:type="dxa"/>
            <w:tcBorders>
              <w:top w:val="single" w:sz="4" w:space="0" w:color="B962C8" w:themeColor="accent1" w:themeTint="99"/>
              <w:left w:val="single" w:sz="4" w:space="0" w:color="B962C8" w:themeColor="accent1" w:themeTint="99"/>
              <w:bottom w:val="single" w:sz="18" w:space="0" w:color="6B2976" w:themeColor="accent1"/>
              <w:right w:val="single" w:sz="4" w:space="0" w:color="B962C8" w:themeColor="accent1" w:themeTint="99"/>
            </w:tcBorders>
            <w:shd w:val="clear" w:color="auto" w:fill="E8CAED" w:themeFill="text1" w:themeFillTint="33"/>
            <w:vAlign w:val="center"/>
          </w:tcPr>
          <w:p w14:paraId="254D386D" w14:textId="77777777" w:rsidR="0098606C" w:rsidRPr="005A4415" w:rsidRDefault="0098606C" w:rsidP="005A6787">
            <w:pPr>
              <w:spacing w:before="60" w:after="60" w:line="240" w:lineRule="auto"/>
              <w:ind w:right="454"/>
              <w:jc w:val="right"/>
              <w:rPr>
                <w:rFonts w:cs="Arial"/>
                <w:sz w:val="18"/>
                <w:szCs w:val="18"/>
              </w:rPr>
            </w:pPr>
            <w:r w:rsidRPr="005A4415">
              <w:rPr>
                <w:rFonts w:cs="Arial"/>
                <w:sz w:val="18"/>
                <w:szCs w:val="18"/>
              </w:rPr>
              <w:t>$0.3 m</w:t>
            </w:r>
          </w:p>
        </w:tc>
      </w:tr>
      <w:tr w:rsidR="0098606C" w:rsidRPr="00A54A41" w14:paraId="3A296432" w14:textId="77777777" w:rsidTr="005A6787">
        <w:trPr>
          <w:trHeight w:val="315"/>
        </w:trPr>
        <w:tc>
          <w:tcPr>
            <w:tcW w:w="2438" w:type="dxa"/>
            <w:tcBorders>
              <w:top w:val="single" w:sz="18" w:space="0" w:color="6B2976" w:themeColor="accent1"/>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tcPr>
          <w:p w14:paraId="5D180BF4" w14:textId="77777777" w:rsidR="0098606C" w:rsidRPr="005A4415" w:rsidRDefault="0098606C" w:rsidP="005A6787">
            <w:pPr>
              <w:spacing w:before="60" w:after="60" w:line="240" w:lineRule="auto"/>
              <w:rPr>
                <w:rFonts w:cs="Arial"/>
                <w:b/>
                <w:sz w:val="18"/>
                <w:szCs w:val="18"/>
              </w:rPr>
            </w:pPr>
            <w:r w:rsidRPr="005A4415">
              <w:rPr>
                <w:rFonts w:cs="Arial"/>
                <w:b/>
                <w:sz w:val="18"/>
                <w:szCs w:val="18"/>
              </w:rPr>
              <w:t>TOTAL</w:t>
            </w:r>
          </w:p>
          <w:p w14:paraId="7E8F7B62" w14:textId="77777777" w:rsidR="0098606C" w:rsidRPr="005A4415" w:rsidRDefault="0098606C" w:rsidP="005A6787">
            <w:pPr>
              <w:spacing w:before="60" w:after="60" w:line="240" w:lineRule="auto"/>
              <w:rPr>
                <w:rFonts w:cs="Arial"/>
                <w:b/>
                <w:sz w:val="18"/>
                <w:szCs w:val="18"/>
              </w:rPr>
            </w:pPr>
            <w:r w:rsidRPr="005A4415">
              <w:rPr>
                <w:rFonts w:cs="Arial"/>
                <w:b/>
                <w:sz w:val="18"/>
                <w:szCs w:val="18"/>
              </w:rPr>
              <w:t>July-December 2022</w:t>
            </w:r>
          </w:p>
        </w:tc>
        <w:tc>
          <w:tcPr>
            <w:tcW w:w="1474" w:type="dxa"/>
            <w:tcBorders>
              <w:top w:val="single" w:sz="18" w:space="0" w:color="6B2976" w:themeColor="accent1"/>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tcPr>
          <w:p w14:paraId="617D6672" w14:textId="77777777" w:rsidR="0098606C" w:rsidRPr="005A4415" w:rsidRDefault="0098606C" w:rsidP="005A6787">
            <w:pPr>
              <w:spacing w:before="60" w:after="60" w:line="240" w:lineRule="auto"/>
              <w:ind w:right="340"/>
              <w:jc w:val="right"/>
              <w:rPr>
                <w:rFonts w:cs="Arial"/>
                <w:b/>
                <w:sz w:val="18"/>
                <w:szCs w:val="18"/>
              </w:rPr>
            </w:pPr>
            <w:r w:rsidRPr="005A4415">
              <w:rPr>
                <w:rFonts w:cs="Arial"/>
                <w:b/>
                <w:sz w:val="18"/>
                <w:szCs w:val="18"/>
              </w:rPr>
              <w:t xml:space="preserve">325,319 </w:t>
            </w:r>
          </w:p>
        </w:tc>
        <w:tc>
          <w:tcPr>
            <w:tcW w:w="1474" w:type="dxa"/>
            <w:tcBorders>
              <w:top w:val="single" w:sz="18" w:space="0" w:color="6B2976" w:themeColor="accent1"/>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tcPr>
          <w:p w14:paraId="22D00965" w14:textId="77777777" w:rsidR="0098606C" w:rsidRPr="005A4415" w:rsidRDefault="0098606C" w:rsidP="005A6787">
            <w:pPr>
              <w:spacing w:before="60" w:after="60" w:line="240" w:lineRule="auto"/>
              <w:ind w:right="397"/>
              <w:jc w:val="right"/>
              <w:rPr>
                <w:rFonts w:eastAsia="Times New Roman" w:cs="Arial"/>
                <w:b/>
                <w:color w:val="000000"/>
                <w:sz w:val="18"/>
                <w:szCs w:val="18"/>
                <w:lang w:eastAsia="zh-CN" w:bidi="th-TH"/>
              </w:rPr>
            </w:pPr>
            <w:r w:rsidRPr="005A4415">
              <w:rPr>
                <w:rFonts w:cs="Arial"/>
                <w:b/>
                <w:sz w:val="18"/>
                <w:szCs w:val="18"/>
              </w:rPr>
              <w:t xml:space="preserve">46,434 </w:t>
            </w:r>
          </w:p>
        </w:tc>
        <w:tc>
          <w:tcPr>
            <w:tcW w:w="1701" w:type="dxa"/>
            <w:tcBorders>
              <w:top w:val="single" w:sz="18" w:space="0" w:color="6B2976" w:themeColor="accent1"/>
              <w:left w:val="single" w:sz="4" w:space="0" w:color="B962C8" w:themeColor="accent1" w:themeTint="99"/>
              <w:bottom w:val="single" w:sz="4" w:space="0" w:color="B962C8" w:themeColor="accent1" w:themeTint="99"/>
              <w:right w:val="single" w:sz="4" w:space="0" w:color="B962C8" w:themeColor="accent1" w:themeTint="99"/>
            </w:tcBorders>
            <w:vAlign w:val="center"/>
          </w:tcPr>
          <w:p w14:paraId="22052356" w14:textId="77777777" w:rsidR="0098606C" w:rsidRPr="005A4415" w:rsidRDefault="0098606C" w:rsidP="005A6787">
            <w:pPr>
              <w:spacing w:before="60" w:after="60" w:line="240" w:lineRule="auto"/>
              <w:ind w:right="454"/>
              <w:jc w:val="right"/>
              <w:rPr>
                <w:rFonts w:cs="Arial"/>
                <w:b/>
                <w:sz w:val="18"/>
                <w:szCs w:val="18"/>
              </w:rPr>
            </w:pPr>
            <w:r w:rsidRPr="005A4415">
              <w:rPr>
                <w:rFonts w:cs="Arial"/>
                <w:b/>
                <w:sz w:val="18"/>
                <w:szCs w:val="18"/>
              </w:rPr>
              <w:t>$1.6 b</w:t>
            </w:r>
          </w:p>
        </w:tc>
      </w:tr>
    </w:tbl>
    <w:p w14:paraId="66E3A3B5" w14:textId="77777777" w:rsidR="003327BB" w:rsidRPr="009C0AF6" w:rsidRDefault="0098606C" w:rsidP="0098606C">
      <w:pPr>
        <w:pStyle w:val="Footnote"/>
        <w:ind w:left="0" w:firstLine="0"/>
        <w:rPr>
          <w:b/>
          <w:i/>
          <w:sz w:val="16"/>
          <w:szCs w:val="16"/>
        </w:rPr>
      </w:pPr>
      <w:r w:rsidRPr="009C0AF6">
        <w:rPr>
          <w:b/>
          <w:i/>
          <w:sz w:val="16"/>
          <w:szCs w:val="16"/>
        </w:rPr>
        <w:t>Source: NDIS internal administrative data</w:t>
      </w:r>
    </w:p>
    <w:p w14:paraId="5F2A214F" w14:textId="29515991" w:rsidR="00290E1C" w:rsidRDefault="0098606C" w:rsidP="0098606C">
      <w:pPr>
        <w:pStyle w:val="Footnote"/>
        <w:ind w:left="0" w:firstLine="0"/>
      </w:pPr>
      <w:r>
        <w:t>Note: Please n</w:t>
      </w:r>
      <w:r w:rsidRPr="0047494E">
        <w:t>ote</w:t>
      </w:r>
      <w:r>
        <w:t xml:space="preserve"> t</w:t>
      </w:r>
      <w:r w:rsidRPr="0047494E">
        <w:t xml:space="preserve">he above totals for number of participants and number of providers are based on unique participants and </w:t>
      </w:r>
      <w:r w:rsidRPr="0047494E">
        <w:t xml:space="preserve">providers </w:t>
      </w:r>
      <w:r w:rsidR="001A3B80">
        <w:t>over the six months</w:t>
      </w:r>
      <w:r w:rsidRPr="0047494E">
        <w:t xml:space="preserve"> </w:t>
      </w:r>
      <w:r>
        <w:t xml:space="preserve">to December 2022. </w:t>
      </w:r>
      <w:r w:rsidR="0078299C">
        <w:t>The group of “</w:t>
      </w:r>
      <w:r>
        <w:t xml:space="preserve">Other </w:t>
      </w:r>
      <w:r w:rsidR="0078299C">
        <w:t xml:space="preserve">Professionals” delivering </w:t>
      </w:r>
      <w:r>
        <w:t>therapy encapsulate assessments, recommendations, and group therapies which could have been delivered by a range of therapists</w:t>
      </w:r>
      <w:r w:rsidR="0078299C">
        <w:t xml:space="preserve"> not otherwise listed</w:t>
      </w:r>
      <w:r>
        <w:t>.</w:t>
      </w:r>
    </w:p>
    <w:p w14:paraId="039DE2C3" w14:textId="7CE379A7" w:rsidR="00ED6E47" w:rsidRPr="00E927EC" w:rsidRDefault="003327BB" w:rsidP="00E927EC">
      <w:pPr>
        <w:spacing w:before="240"/>
      </w:pPr>
      <w:r>
        <w:t xml:space="preserve">This </w:t>
      </w:r>
      <w:r w:rsidR="00511B2E">
        <w:t xml:space="preserve">section has highlighted the growing demand of participants accessing therapy supports in the NDIS (up 14% in the six months to December 2022 compared to </w:t>
      </w:r>
      <w:r w:rsidR="00C6410D">
        <w:t>six months to December 2021</w:t>
      </w:r>
      <w:r w:rsidR="00F55BBD">
        <w:t xml:space="preserve">). Many of whom require access to a </w:t>
      </w:r>
      <w:r w:rsidR="00290E1C">
        <w:t xml:space="preserve">wide range of </w:t>
      </w:r>
      <w:r>
        <w:t xml:space="preserve">therapy </w:t>
      </w:r>
      <w:r w:rsidR="00290E1C">
        <w:t xml:space="preserve">services </w:t>
      </w:r>
      <w:r>
        <w:t xml:space="preserve">delivered in the NDIS to support </w:t>
      </w:r>
      <w:r w:rsidR="00290E1C">
        <w:t xml:space="preserve">different participant needs. </w:t>
      </w:r>
      <w:r w:rsidR="009E3FAE">
        <w:t xml:space="preserve">As such, the NDIS requires a diverse range </w:t>
      </w:r>
      <w:r w:rsidR="00ED6E47">
        <w:t xml:space="preserve">and stable supply </w:t>
      </w:r>
      <w:r w:rsidR="009E3FAE">
        <w:t>of therapists to best support participants</w:t>
      </w:r>
      <w:r w:rsidR="0037140E">
        <w:t xml:space="preserve"> </w:t>
      </w:r>
      <w:r w:rsidR="137AE861">
        <w:t>and</w:t>
      </w:r>
      <w:r w:rsidR="0037140E">
        <w:t xml:space="preserve"> ensure they receive quality outcomes.</w:t>
      </w:r>
    </w:p>
    <w:p w14:paraId="2334395F" w14:textId="73294E7B" w:rsidR="00EF1171" w:rsidRDefault="00EF1171" w:rsidP="00E927EC">
      <w:pPr>
        <w:spacing w:before="240"/>
        <w:rPr>
          <w:b/>
          <w:u w:val="single"/>
        </w:rPr>
      </w:pPr>
      <w:r w:rsidRPr="00DC7710">
        <w:rPr>
          <w:b/>
          <w:u w:val="single"/>
        </w:rPr>
        <w:lastRenderedPageBreak/>
        <w:t>Providers</w:t>
      </w:r>
    </w:p>
    <w:p w14:paraId="506E1A01" w14:textId="03789048" w:rsidR="00DD12DB" w:rsidRDefault="00756C33" w:rsidP="00756C33">
      <w:pPr>
        <w:rPr>
          <w:rStyle w:val="normaltextrun"/>
          <w:rFonts w:cs="Arial"/>
          <w:color w:val="000000"/>
          <w:shd w:val="clear" w:color="auto" w:fill="FFFFFF"/>
        </w:rPr>
      </w:pPr>
      <w:r>
        <w:rPr>
          <w:rStyle w:val="normaltextrun"/>
          <w:rFonts w:cs="Arial"/>
          <w:color w:val="000000"/>
          <w:shd w:val="clear" w:color="auto" w:fill="FFFFFF"/>
        </w:rPr>
        <w:t xml:space="preserve">As seen </w:t>
      </w:r>
      <w:r w:rsidR="00B275C2" w:rsidRPr="24232EA1">
        <w:rPr>
          <w:rStyle w:val="normaltextrun"/>
          <w:rFonts w:cs="Arial"/>
          <w:color w:val="000000"/>
        </w:rPr>
        <w:t xml:space="preserve">in </w:t>
      </w:r>
      <w:r w:rsidR="00D762B8">
        <w:rPr>
          <w:rStyle w:val="normaltextrun"/>
          <w:rFonts w:cs="Arial"/>
          <w:color w:val="000000"/>
          <w:shd w:val="clear" w:color="auto" w:fill="FFFFFF"/>
        </w:rPr>
        <w:fldChar w:fldCharType="begin"/>
      </w:r>
      <w:r w:rsidR="00D762B8">
        <w:rPr>
          <w:rStyle w:val="normaltextrun"/>
          <w:rFonts w:cs="Arial"/>
          <w:color w:val="000000"/>
          <w:shd w:val="clear" w:color="auto" w:fill="FFFFFF"/>
        </w:rPr>
        <w:instrText xml:space="preserve"> REF _Ref134303474 </w:instrText>
      </w:r>
      <w:r w:rsidR="00D762B8">
        <w:rPr>
          <w:rStyle w:val="normaltextrun"/>
          <w:rFonts w:cs="Arial"/>
          <w:color w:val="000000"/>
          <w:shd w:val="clear" w:color="auto" w:fill="FFFFFF"/>
        </w:rPr>
        <w:fldChar w:fldCharType="separate"/>
      </w:r>
      <w:r w:rsidR="00D64E4C">
        <w:t xml:space="preserve">Table </w:t>
      </w:r>
      <w:r w:rsidR="00D64E4C">
        <w:rPr>
          <w:noProof/>
        </w:rPr>
        <w:t>7</w:t>
      </w:r>
      <w:r w:rsidR="00D762B8">
        <w:rPr>
          <w:rStyle w:val="normaltextrun"/>
          <w:rFonts w:cs="Arial"/>
          <w:color w:val="000000"/>
          <w:shd w:val="clear" w:color="auto" w:fill="FFFFFF"/>
        </w:rPr>
        <w:fldChar w:fldCharType="end"/>
      </w:r>
      <w:r w:rsidR="00D762B8">
        <w:rPr>
          <w:rStyle w:val="normaltextrun"/>
          <w:rFonts w:cs="Arial"/>
          <w:color w:val="000000"/>
          <w:shd w:val="clear" w:color="auto" w:fill="FFFFFF"/>
        </w:rPr>
        <w:t xml:space="preserve"> </w:t>
      </w:r>
      <w:r w:rsidR="001B4BBC">
        <w:rPr>
          <w:rStyle w:val="normaltextrun"/>
          <w:rFonts w:cs="Arial"/>
          <w:color w:val="000000"/>
          <w:shd w:val="clear" w:color="auto" w:fill="FFFFFF"/>
        </w:rPr>
        <w:t>above, were</w:t>
      </w:r>
      <w:r w:rsidR="00B275C2" w:rsidRPr="24232EA1">
        <w:rPr>
          <w:rStyle w:val="normaltextrun"/>
          <w:rFonts w:cs="Arial"/>
          <w:color w:val="000000"/>
        </w:rPr>
        <w:t xml:space="preserve"> </w:t>
      </w:r>
      <w:r>
        <w:rPr>
          <w:rStyle w:val="normaltextrun"/>
          <w:rFonts w:cs="Arial"/>
          <w:color w:val="000000"/>
          <w:shd w:val="clear" w:color="auto" w:fill="FFFFFF"/>
        </w:rPr>
        <w:t>46,434 providers</w:t>
      </w:r>
      <w:r w:rsidR="001B4BBC">
        <w:rPr>
          <w:rStyle w:val="normaltextrun"/>
          <w:rFonts w:cs="Arial"/>
          <w:color w:val="000000"/>
          <w:shd w:val="clear" w:color="auto" w:fill="FFFFFF"/>
        </w:rPr>
        <w:t xml:space="preserve"> who</w:t>
      </w:r>
      <w:r>
        <w:rPr>
          <w:rStyle w:val="normaltextrun"/>
          <w:rFonts w:cs="Arial"/>
          <w:color w:val="000000"/>
          <w:shd w:val="clear" w:color="auto" w:fill="FFFFFF"/>
        </w:rPr>
        <w:t xml:space="preserve"> </w:t>
      </w:r>
      <w:r w:rsidR="57AC34E7">
        <w:rPr>
          <w:rStyle w:val="normaltextrun"/>
          <w:rFonts w:cs="Arial"/>
          <w:color w:val="000000"/>
          <w:shd w:val="clear" w:color="auto" w:fill="FFFFFF"/>
        </w:rPr>
        <w:t>claim</w:t>
      </w:r>
      <w:r w:rsidR="1AABDEFF">
        <w:rPr>
          <w:rStyle w:val="normaltextrun"/>
          <w:rFonts w:cs="Arial"/>
          <w:color w:val="000000"/>
          <w:shd w:val="clear" w:color="auto" w:fill="FFFFFF"/>
        </w:rPr>
        <w:t>ed</w:t>
      </w:r>
      <w:r>
        <w:rPr>
          <w:rStyle w:val="normaltextrun"/>
          <w:rFonts w:cs="Arial"/>
          <w:color w:val="000000"/>
          <w:shd w:val="clear" w:color="auto" w:fill="FFFFFF"/>
        </w:rPr>
        <w:t xml:space="preserve"> for therapy services in the six months to December 2022. </w:t>
      </w:r>
      <w:r w:rsidR="00DD12DB">
        <w:rPr>
          <w:rStyle w:val="normaltextrun"/>
          <w:rFonts w:cs="Arial"/>
          <w:color w:val="000000"/>
          <w:shd w:val="clear" w:color="auto" w:fill="FFFFFF"/>
        </w:rPr>
        <w:t>The therapist supports with the highest number of providers claiming these supports were for “Other Professionals” (25,544), Psychologists (11,631)</w:t>
      </w:r>
      <w:r w:rsidR="006A307F">
        <w:rPr>
          <w:rStyle w:val="normaltextrun"/>
          <w:rFonts w:cs="Arial"/>
          <w:color w:val="000000"/>
          <w:shd w:val="clear" w:color="auto" w:fill="FFFFFF"/>
        </w:rPr>
        <w:t>, Professionals delivering Early Childhood supports (10,362)</w:t>
      </w:r>
      <w:r w:rsidR="00DD12DB">
        <w:rPr>
          <w:rStyle w:val="normaltextrun"/>
          <w:rFonts w:cs="Arial"/>
          <w:color w:val="000000"/>
          <w:shd w:val="clear" w:color="auto" w:fill="FFFFFF"/>
        </w:rPr>
        <w:t xml:space="preserve"> and Physiotherapists (</w:t>
      </w:r>
      <w:r w:rsidR="006A307F">
        <w:rPr>
          <w:rStyle w:val="normaltextrun"/>
          <w:rFonts w:cs="Arial"/>
          <w:color w:val="000000"/>
          <w:shd w:val="clear" w:color="auto" w:fill="FFFFFF"/>
        </w:rPr>
        <w:t>10,249)</w:t>
      </w:r>
      <w:r w:rsidR="00B275C2" w:rsidRPr="24232EA1">
        <w:rPr>
          <w:rStyle w:val="normaltextrun"/>
          <w:rFonts w:cs="Arial"/>
          <w:color w:val="000000"/>
        </w:rPr>
        <w:t>.</w:t>
      </w:r>
    </w:p>
    <w:p w14:paraId="107481A4" w14:textId="6E46C51F" w:rsidR="000A5A6E" w:rsidRDefault="00070986" w:rsidP="00756C33">
      <w:pPr>
        <w:rPr>
          <w:rStyle w:val="normaltextrun"/>
          <w:rFonts w:cs="Arial"/>
          <w:color w:val="000000"/>
          <w:shd w:val="clear" w:color="auto" w:fill="FFFFFF"/>
        </w:rPr>
      </w:pPr>
      <w:r w:rsidRPr="006253A6">
        <w:t xml:space="preserve">In the six </w:t>
      </w:r>
      <w:r w:rsidRPr="006253A6">
        <w:t>months to December 2022</w:t>
      </w:r>
      <w:r>
        <w:t xml:space="preserve">, there were 8,900 registered providers </w:t>
      </w:r>
      <w:r w:rsidRPr="0053065E">
        <w:t xml:space="preserve">who </w:t>
      </w:r>
      <w:r>
        <w:t>delivered</w:t>
      </w:r>
      <w:r w:rsidRPr="0053065E">
        <w:t xml:space="preserve"> therapy services</w:t>
      </w:r>
      <w:r>
        <w:t xml:space="preserve"> compared to 8,833 </w:t>
      </w:r>
      <w:r w:rsidR="007D7E1F">
        <w:t>in the six months to December 2021</w:t>
      </w:r>
      <w:r>
        <w:t>. However, o</w:t>
      </w:r>
      <w:r w:rsidR="007A4F12">
        <w:rPr>
          <w:rStyle w:val="normaltextrun"/>
          <w:rFonts w:cs="Arial"/>
          <w:color w:val="000000"/>
          <w:shd w:val="clear" w:color="auto" w:fill="FFFFFF"/>
        </w:rPr>
        <w:t>f the $1.6 billion</w:t>
      </w:r>
      <w:r w:rsidR="00756C33" w:rsidRPr="08993FAB">
        <w:rPr>
          <w:rStyle w:val="normaltextrun"/>
          <w:rFonts w:cs="Arial"/>
          <w:color w:val="000000"/>
          <w:shd w:val="clear" w:color="auto" w:fill="FFFFFF"/>
        </w:rPr>
        <w:t xml:space="preserve"> </w:t>
      </w:r>
      <w:r w:rsidR="007A4F12">
        <w:rPr>
          <w:rStyle w:val="normaltextrun"/>
          <w:rFonts w:cs="Arial"/>
          <w:color w:val="000000"/>
          <w:shd w:val="clear" w:color="auto" w:fill="FFFFFF"/>
        </w:rPr>
        <w:t xml:space="preserve">claimed by providers </w:t>
      </w:r>
      <w:r w:rsidR="00267AF3">
        <w:rPr>
          <w:rStyle w:val="normaltextrun"/>
          <w:rFonts w:cs="Arial"/>
          <w:color w:val="000000"/>
          <w:shd w:val="clear" w:color="auto" w:fill="FFFFFF"/>
        </w:rPr>
        <w:t>in the six months to December 2022</w:t>
      </w:r>
      <w:r w:rsidR="007A4F12">
        <w:rPr>
          <w:rStyle w:val="normaltextrun"/>
          <w:rFonts w:cs="Arial"/>
          <w:color w:val="000000"/>
          <w:shd w:val="clear" w:color="auto" w:fill="FFFFFF"/>
        </w:rPr>
        <w:t xml:space="preserve">, </w:t>
      </w:r>
      <w:r w:rsidR="00756C33" w:rsidRPr="08993FAB">
        <w:rPr>
          <w:rStyle w:val="normaltextrun"/>
          <w:rFonts w:cs="Arial"/>
          <w:color w:val="000000"/>
          <w:shd w:val="clear" w:color="auto" w:fill="FFFFFF"/>
        </w:rPr>
        <w:t xml:space="preserve">$1.2 billion </w:t>
      </w:r>
      <w:r w:rsidR="007A4F12">
        <w:rPr>
          <w:rStyle w:val="normaltextrun"/>
          <w:rFonts w:cs="Arial"/>
          <w:color w:val="000000"/>
          <w:shd w:val="clear" w:color="auto" w:fill="FFFFFF"/>
        </w:rPr>
        <w:t xml:space="preserve">was made to registered providers, up from </w:t>
      </w:r>
      <w:r w:rsidR="00756C33" w:rsidRPr="08993FAB">
        <w:rPr>
          <w:rStyle w:val="normaltextrun"/>
          <w:rFonts w:cs="Arial"/>
          <w:color w:val="000000"/>
          <w:shd w:val="clear" w:color="auto" w:fill="FFFFFF"/>
        </w:rPr>
        <w:t>$990 million</w:t>
      </w:r>
      <w:r w:rsidR="007A4F12">
        <w:rPr>
          <w:rStyle w:val="normaltextrun"/>
          <w:rFonts w:cs="Arial"/>
          <w:color w:val="000000"/>
          <w:shd w:val="clear" w:color="auto" w:fill="FFFFFF"/>
        </w:rPr>
        <w:t xml:space="preserve"> </w:t>
      </w:r>
      <w:r w:rsidR="00FB1060">
        <w:rPr>
          <w:rStyle w:val="normaltextrun"/>
          <w:rFonts w:cs="Arial"/>
          <w:color w:val="000000"/>
          <w:shd w:val="clear" w:color="auto" w:fill="FFFFFF"/>
        </w:rPr>
        <w:t>in the</w:t>
      </w:r>
      <w:r w:rsidR="00267AF3">
        <w:rPr>
          <w:rStyle w:val="normaltextrun"/>
          <w:rFonts w:cs="Arial"/>
          <w:color w:val="000000"/>
          <w:shd w:val="clear" w:color="auto" w:fill="FFFFFF"/>
        </w:rPr>
        <w:t xml:space="preserve"> six months to December 2021</w:t>
      </w:r>
      <w:r w:rsidR="00756C33" w:rsidRPr="08993FAB">
        <w:rPr>
          <w:rStyle w:val="normaltextrun"/>
          <w:rFonts w:cs="Arial"/>
          <w:color w:val="000000"/>
          <w:shd w:val="clear" w:color="auto" w:fill="FFFFFF"/>
        </w:rPr>
        <w:t xml:space="preserve">. </w:t>
      </w:r>
    </w:p>
    <w:p w14:paraId="33994A64" w14:textId="72D4CE59" w:rsidR="00756C33" w:rsidRDefault="6D3C590A" w:rsidP="24862EB2">
      <w:pPr>
        <w:rPr>
          <w:rStyle w:val="normaltextrun"/>
          <w:rFonts w:cs="Arial"/>
          <w:color w:val="000000"/>
        </w:rPr>
      </w:pPr>
      <w:bookmarkStart w:id="86" w:name="_Int_YIUbV2RQ"/>
      <w:r>
        <w:rPr>
          <w:rStyle w:val="normaltextrun"/>
          <w:rFonts w:cs="Arial"/>
          <w:color w:val="000000"/>
          <w:shd w:val="clear" w:color="auto" w:fill="FFFFFF"/>
        </w:rPr>
        <w:t>This</w:t>
      </w:r>
      <w:bookmarkEnd w:id="86"/>
      <w:r w:rsidR="00316400">
        <w:rPr>
          <w:rStyle w:val="normaltextrun"/>
          <w:rFonts w:cs="Arial"/>
          <w:color w:val="000000"/>
          <w:shd w:val="clear" w:color="auto" w:fill="FFFFFF"/>
        </w:rPr>
        <w:t>,</w:t>
      </w:r>
      <w:r>
        <w:rPr>
          <w:rStyle w:val="normaltextrun"/>
          <w:rFonts w:cs="Arial"/>
          <w:color w:val="000000"/>
          <w:shd w:val="clear" w:color="auto" w:fill="FFFFFF"/>
        </w:rPr>
        <w:t xml:space="preserve"> </w:t>
      </w:r>
      <w:r w:rsidR="6F085A9B">
        <w:rPr>
          <w:rStyle w:val="normaltextrun"/>
          <w:rFonts w:cs="Arial"/>
          <w:color w:val="000000"/>
          <w:shd w:val="clear" w:color="auto" w:fill="FFFFFF"/>
        </w:rPr>
        <w:t>however</w:t>
      </w:r>
      <w:r w:rsidR="7B01ADD2">
        <w:rPr>
          <w:rStyle w:val="normaltextrun"/>
          <w:rFonts w:cs="Arial"/>
          <w:color w:val="000000"/>
          <w:shd w:val="clear" w:color="auto" w:fill="FFFFFF"/>
        </w:rPr>
        <w:t>,</w:t>
      </w:r>
      <w:r w:rsidR="6F085A9B">
        <w:rPr>
          <w:rStyle w:val="normaltextrun"/>
          <w:rFonts w:cs="Arial"/>
          <w:color w:val="000000"/>
          <w:shd w:val="clear" w:color="auto" w:fill="FFFFFF"/>
        </w:rPr>
        <w:t xml:space="preserve"> </w:t>
      </w:r>
      <w:r>
        <w:rPr>
          <w:rStyle w:val="normaltextrun"/>
          <w:rFonts w:cs="Arial"/>
          <w:color w:val="000000"/>
          <w:shd w:val="clear" w:color="auto" w:fill="FFFFFF"/>
        </w:rPr>
        <w:t xml:space="preserve">represents a drop in the proportion of therapy </w:t>
      </w:r>
      <w:r w:rsidR="6F085A9B">
        <w:rPr>
          <w:rStyle w:val="normaltextrun"/>
          <w:rFonts w:cs="Arial"/>
          <w:color w:val="000000"/>
          <w:shd w:val="clear" w:color="auto" w:fill="FFFFFF"/>
        </w:rPr>
        <w:t xml:space="preserve">payments being made to registered providers compared to the same </w:t>
      </w:r>
      <w:r w:rsidR="7FF7DA22">
        <w:rPr>
          <w:rStyle w:val="normaltextrun"/>
          <w:rFonts w:cs="Arial"/>
          <w:color w:val="000000"/>
          <w:shd w:val="clear" w:color="auto" w:fill="FFFFFF"/>
        </w:rPr>
        <w:t>period</w:t>
      </w:r>
      <w:r w:rsidR="6F085A9B">
        <w:rPr>
          <w:rStyle w:val="normaltextrun"/>
          <w:rFonts w:cs="Arial"/>
          <w:color w:val="000000"/>
          <w:shd w:val="clear" w:color="auto" w:fill="FFFFFF"/>
        </w:rPr>
        <w:t xml:space="preserve"> in the previous year (77% compared to 72%</w:t>
      </w:r>
      <w:r w:rsidR="73AD781F">
        <w:rPr>
          <w:rStyle w:val="normaltextrun"/>
          <w:rFonts w:cs="Arial"/>
          <w:color w:val="000000"/>
          <w:shd w:val="clear" w:color="auto" w:fill="FFFFFF"/>
        </w:rPr>
        <w:t>)</w:t>
      </w:r>
      <w:r w:rsidR="6F085A9B">
        <w:rPr>
          <w:rStyle w:val="normaltextrun"/>
          <w:rFonts w:cs="Arial"/>
          <w:color w:val="000000"/>
          <w:shd w:val="clear" w:color="auto" w:fill="FFFFFF"/>
        </w:rPr>
        <w:t xml:space="preserve">. </w:t>
      </w:r>
      <w:r w:rsidR="0EFF2DBE" w:rsidRPr="08993FAB">
        <w:rPr>
          <w:rStyle w:val="normaltextrun"/>
          <w:rFonts w:cs="Arial"/>
          <w:color w:val="000000"/>
          <w:shd w:val="clear" w:color="auto" w:fill="FFFFFF"/>
        </w:rPr>
        <w:t xml:space="preserve">This was </w:t>
      </w:r>
      <w:r w:rsidR="73AD781F">
        <w:rPr>
          <w:rStyle w:val="normaltextrun"/>
          <w:rFonts w:cs="Arial"/>
          <w:color w:val="000000"/>
          <w:shd w:val="clear" w:color="auto" w:fill="FFFFFF"/>
        </w:rPr>
        <w:t xml:space="preserve">due to </w:t>
      </w:r>
      <w:r w:rsidR="0EFF2DBE" w:rsidRPr="08993FAB">
        <w:rPr>
          <w:rStyle w:val="normaltextrun"/>
          <w:rFonts w:cs="Arial"/>
          <w:color w:val="000000"/>
          <w:shd w:val="clear" w:color="auto" w:fill="FFFFFF"/>
        </w:rPr>
        <w:t xml:space="preserve">the number of payments </w:t>
      </w:r>
      <w:r w:rsidR="73AD781F">
        <w:rPr>
          <w:rStyle w:val="normaltextrun"/>
          <w:rFonts w:cs="Arial"/>
          <w:color w:val="000000"/>
          <w:shd w:val="clear" w:color="auto" w:fill="FFFFFF"/>
        </w:rPr>
        <w:t xml:space="preserve">being </w:t>
      </w:r>
      <w:r w:rsidR="0EFF2DBE" w:rsidRPr="08993FAB">
        <w:rPr>
          <w:rStyle w:val="normaltextrun"/>
          <w:rFonts w:cs="Arial"/>
          <w:color w:val="000000"/>
          <w:shd w:val="clear" w:color="auto" w:fill="FFFFFF"/>
        </w:rPr>
        <w:t>made to unregistered providers increas</w:t>
      </w:r>
      <w:r w:rsidR="73AD781F">
        <w:rPr>
          <w:rStyle w:val="normaltextrun"/>
          <w:rFonts w:cs="Arial"/>
          <w:color w:val="000000"/>
          <w:shd w:val="clear" w:color="auto" w:fill="FFFFFF"/>
        </w:rPr>
        <w:t xml:space="preserve">ing </w:t>
      </w:r>
      <w:r w:rsidR="0EFF2DBE" w:rsidRPr="08993FAB">
        <w:rPr>
          <w:rStyle w:val="normaltextrun"/>
          <w:rFonts w:cs="Arial"/>
          <w:color w:val="000000"/>
          <w:shd w:val="clear" w:color="auto" w:fill="FFFFFF"/>
        </w:rPr>
        <w:t xml:space="preserve">from 23% to 28% </w:t>
      </w:r>
      <w:r w:rsidR="73AD781F">
        <w:rPr>
          <w:rStyle w:val="normaltextrun"/>
          <w:rFonts w:cs="Arial"/>
          <w:color w:val="000000"/>
          <w:shd w:val="clear" w:color="auto" w:fill="FFFFFF"/>
        </w:rPr>
        <w:t>across these periods</w:t>
      </w:r>
      <w:r w:rsidR="0EFF2DBE" w:rsidRPr="08993FAB">
        <w:rPr>
          <w:rStyle w:val="normaltextrun"/>
          <w:rFonts w:cs="Arial"/>
          <w:color w:val="000000"/>
          <w:shd w:val="clear" w:color="auto" w:fill="FFFFFF"/>
        </w:rPr>
        <w:t xml:space="preserve">. </w:t>
      </w:r>
      <w:r w:rsidR="36E1EA08">
        <w:rPr>
          <w:rStyle w:val="normaltextrun"/>
          <w:rFonts w:cs="Arial"/>
          <w:color w:val="000000"/>
          <w:shd w:val="clear" w:color="auto" w:fill="FFFFFF"/>
        </w:rPr>
        <w:t>A monthly breakdown can be seen in</w:t>
      </w:r>
      <w:r w:rsidR="1A79A921">
        <w:rPr>
          <w:rStyle w:val="normaltextrun"/>
          <w:rFonts w:cs="Arial"/>
          <w:color w:val="000000"/>
          <w:shd w:val="clear" w:color="auto" w:fill="FFFFFF"/>
        </w:rPr>
        <w:t xml:space="preserve"> </w:t>
      </w:r>
      <w:r w:rsidR="00C829E5">
        <w:rPr>
          <w:rStyle w:val="normaltextrun"/>
          <w:rFonts w:cs="Arial"/>
          <w:color w:val="000000"/>
          <w:shd w:val="clear" w:color="auto" w:fill="FFFFFF"/>
        </w:rPr>
        <w:fldChar w:fldCharType="begin"/>
      </w:r>
      <w:r w:rsidR="00C829E5">
        <w:rPr>
          <w:rStyle w:val="normaltextrun"/>
          <w:rFonts w:cs="Arial"/>
          <w:color w:val="000000"/>
          <w:shd w:val="clear" w:color="auto" w:fill="FFFFFF"/>
        </w:rPr>
        <w:instrText xml:space="preserve"> REF _Ref134303243 </w:instrText>
      </w:r>
      <w:r w:rsidR="00C829E5">
        <w:rPr>
          <w:rStyle w:val="normaltextrun"/>
          <w:rFonts w:cs="Arial"/>
          <w:color w:val="000000"/>
          <w:shd w:val="clear" w:color="auto" w:fill="FFFFFF"/>
        </w:rPr>
        <w:fldChar w:fldCharType="separate"/>
      </w:r>
      <w:r w:rsidR="00D64E4C">
        <w:t xml:space="preserve">Figure </w:t>
      </w:r>
      <w:r w:rsidR="00D64E4C">
        <w:rPr>
          <w:noProof/>
        </w:rPr>
        <w:t>14</w:t>
      </w:r>
      <w:r w:rsidR="00C829E5">
        <w:rPr>
          <w:rStyle w:val="normaltextrun"/>
          <w:rFonts w:cs="Arial"/>
          <w:color w:val="000000"/>
          <w:shd w:val="clear" w:color="auto" w:fill="FFFFFF"/>
        </w:rPr>
        <w:fldChar w:fldCharType="end"/>
      </w:r>
      <w:r w:rsidR="1A79A921">
        <w:rPr>
          <w:rStyle w:val="normaltextrun"/>
          <w:rFonts w:cs="Arial"/>
          <w:color w:val="000000"/>
          <w:shd w:val="clear" w:color="auto" w:fill="FFFFFF"/>
        </w:rPr>
        <w:t>.</w:t>
      </w:r>
      <w:r w:rsidR="36E1EA08">
        <w:rPr>
          <w:rStyle w:val="normaltextrun"/>
          <w:rFonts w:cs="Arial"/>
          <w:color w:val="000000"/>
          <w:shd w:val="clear" w:color="auto" w:fill="FFFFFF"/>
        </w:rPr>
        <w:t xml:space="preserve"> </w:t>
      </w:r>
    </w:p>
    <w:p w14:paraId="7DDA83B3" w14:textId="6098C2C9" w:rsidR="006F4B1E" w:rsidRDefault="006F4B1E" w:rsidP="006F4B1E">
      <w:pPr>
        <w:pStyle w:val="Caption"/>
        <w:jc w:val="left"/>
      </w:pPr>
      <w:bookmarkStart w:id="87" w:name="_Ref134303243"/>
      <w:r>
        <w:t xml:space="preserve">Figure </w:t>
      </w:r>
      <w:r>
        <w:fldChar w:fldCharType="begin"/>
      </w:r>
      <w:r>
        <w:instrText>SEQ Figure \* ARABIC</w:instrText>
      </w:r>
      <w:r>
        <w:fldChar w:fldCharType="separate"/>
      </w:r>
      <w:r w:rsidR="00D64E4C">
        <w:rPr>
          <w:noProof/>
        </w:rPr>
        <w:t>14</w:t>
      </w:r>
      <w:r>
        <w:fldChar w:fldCharType="end"/>
      </w:r>
      <w:bookmarkEnd w:id="87"/>
      <w:r>
        <w:t xml:space="preserve">: </w:t>
      </w:r>
      <w:r w:rsidRPr="000D38E7">
        <w:t>TOTAL PAYMENTS FOR THERAPY SUPPORT ITEMS BY PROVIDER REGISTRATION, 2021 – 2022</w:t>
      </w:r>
    </w:p>
    <w:p w14:paraId="7FEB69C9" w14:textId="3E0D6630" w:rsidR="00EF1171" w:rsidRDefault="00756C33" w:rsidP="00EF1171">
      <w:pPr>
        <w:rPr>
          <w:szCs w:val="22"/>
        </w:rPr>
      </w:pPr>
      <w:r>
        <w:rPr>
          <w:noProof/>
        </w:rPr>
        <w:drawing>
          <wp:inline distT="0" distB="0" distL="0" distR="0" wp14:anchorId="76D7EA7E" wp14:editId="6B2F8CD1">
            <wp:extent cx="5403848" cy="2698750"/>
            <wp:effectExtent l="0" t="0" r="6350" b="6350"/>
            <wp:docPr id="1" name="Picture 1" descr="FIGURE 14: TOTAL PAYMENTS FOR THERAPY SUPPORT ITEMS BY PROVIDER REGISTRATION, 2021 – 2022&#10;&#10;Payments to registered therapy providers are larger than non-registered providers. Roughly 3/4 of total therapy payments go toward registered therapists. However, since January 2021 the share total payments that are directed towards unregistered providers has risen. Currently (as of Dec 2022) 29% of therapy expenditure is directed towards unregistered providers. A small share of total payments has always been directed towards providers with unknown registration however this share has declined overtime. Currently less than 1% of payments are directed to providers with an unknown registration stat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4: TOTAL PAYMENTS FOR THERAPY SUPPORT ITEMS BY PROVIDER REGISTRATION, 2021 – 2022&#10;&#10;Payments to registered therapy providers are larger than non-registered providers. Roughly 3/4 of total therapy payments go toward registered therapists. However, since January 2021 the share total payments that are directed towards unregistered providers has risen. Currently (as of Dec 2022) 29% of therapy expenditure is directed towards unregistered providers. A small share of total payments has always been directed towards providers with unknown registration however this share has declined overtime. Currently less than 1% of payments are directed to providers with an unknown registration status.&#10;"/>
                    <pic:cNvPicPr/>
                  </pic:nvPicPr>
                  <pic:blipFill>
                    <a:blip r:embed="rId31">
                      <a:extLst>
                        <a:ext uri="{28A0092B-C50C-407E-A947-70E740481C1C}">
                          <a14:useLocalDpi xmlns:a14="http://schemas.microsoft.com/office/drawing/2010/main" val="0"/>
                        </a:ext>
                      </a:extLst>
                    </a:blip>
                    <a:stretch>
                      <a:fillRect/>
                    </a:stretch>
                  </pic:blipFill>
                  <pic:spPr>
                    <a:xfrm>
                      <a:off x="0" y="0"/>
                      <a:ext cx="5403848" cy="2698750"/>
                    </a:xfrm>
                    <a:prstGeom prst="rect">
                      <a:avLst/>
                    </a:prstGeom>
                  </pic:spPr>
                </pic:pic>
              </a:graphicData>
            </a:graphic>
          </wp:inline>
        </w:drawing>
      </w:r>
      <w:r>
        <w:br/>
      </w:r>
      <w:r w:rsidR="0087436B">
        <w:rPr>
          <w:szCs w:val="22"/>
        </w:rPr>
        <w:t>In the six months to December 2022, t</w:t>
      </w:r>
      <w:r w:rsidR="00EF1171">
        <w:rPr>
          <w:szCs w:val="22"/>
        </w:rPr>
        <w:t>he t</w:t>
      </w:r>
      <w:r w:rsidR="00EF1171" w:rsidRPr="002F4330">
        <w:rPr>
          <w:szCs w:val="22"/>
        </w:rPr>
        <w:t xml:space="preserve">op five </w:t>
      </w:r>
      <w:r w:rsidR="00EF1171" w:rsidRPr="009F5783">
        <w:rPr>
          <w:szCs w:val="22"/>
        </w:rPr>
        <w:t>types</w:t>
      </w:r>
      <w:r w:rsidR="00EF1171" w:rsidRPr="002F4330">
        <w:rPr>
          <w:szCs w:val="22"/>
        </w:rPr>
        <w:t xml:space="preserve"> of therap</w:t>
      </w:r>
      <w:r w:rsidR="00BE1FEB">
        <w:rPr>
          <w:szCs w:val="22"/>
        </w:rPr>
        <w:t xml:space="preserve">ists </w:t>
      </w:r>
      <w:r w:rsidR="00052258">
        <w:rPr>
          <w:szCs w:val="22"/>
        </w:rPr>
        <w:t xml:space="preserve">(excluding “Other Professionals”) </w:t>
      </w:r>
      <w:r w:rsidR="00BE1FEB">
        <w:rPr>
          <w:szCs w:val="22"/>
        </w:rPr>
        <w:t xml:space="preserve">claimed against in the NDIS, </w:t>
      </w:r>
      <w:r w:rsidR="00EF1171">
        <w:rPr>
          <w:szCs w:val="22"/>
        </w:rPr>
        <w:t>based on total p</w:t>
      </w:r>
      <w:r w:rsidR="00EF1171" w:rsidRPr="002F4330">
        <w:rPr>
          <w:szCs w:val="22"/>
        </w:rPr>
        <w:t>ayments</w:t>
      </w:r>
      <w:r w:rsidR="00BE1FEB">
        <w:rPr>
          <w:szCs w:val="22"/>
        </w:rPr>
        <w:t>, were</w:t>
      </w:r>
      <w:r w:rsidR="00EF1171">
        <w:rPr>
          <w:szCs w:val="22"/>
        </w:rPr>
        <w:t xml:space="preserve"> </w:t>
      </w:r>
      <w:r w:rsidR="00EF1171" w:rsidRPr="004E6488">
        <w:rPr>
          <w:szCs w:val="22"/>
        </w:rPr>
        <w:t>Occupational Therap</w:t>
      </w:r>
      <w:r w:rsidR="00BE1FEB">
        <w:rPr>
          <w:szCs w:val="22"/>
        </w:rPr>
        <w:t>ist</w:t>
      </w:r>
      <w:r w:rsidR="00EF1171">
        <w:rPr>
          <w:szCs w:val="22"/>
        </w:rPr>
        <w:t xml:space="preserve"> (</w:t>
      </w:r>
      <w:r w:rsidR="00EF1171" w:rsidRPr="004E6488">
        <w:rPr>
          <w:szCs w:val="22"/>
        </w:rPr>
        <w:t>$280</w:t>
      </w:r>
      <w:r w:rsidR="00EF1171">
        <w:rPr>
          <w:szCs w:val="22"/>
        </w:rPr>
        <w:t xml:space="preserve">.9 million), </w:t>
      </w:r>
      <w:r w:rsidR="00BE1FEB">
        <w:rPr>
          <w:szCs w:val="22"/>
        </w:rPr>
        <w:t xml:space="preserve">Professionals delivering </w:t>
      </w:r>
      <w:r w:rsidR="00EF1171" w:rsidRPr="002F4330">
        <w:rPr>
          <w:szCs w:val="22"/>
        </w:rPr>
        <w:t xml:space="preserve">Early </w:t>
      </w:r>
      <w:r w:rsidR="00EF1171" w:rsidRPr="004E6488">
        <w:rPr>
          <w:szCs w:val="22"/>
        </w:rPr>
        <w:t>Childhood</w:t>
      </w:r>
      <w:r w:rsidR="00EF1171">
        <w:rPr>
          <w:szCs w:val="22"/>
        </w:rPr>
        <w:t xml:space="preserve"> (</w:t>
      </w:r>
      <w:r w:rsidR="00EF1171" w:rsidRPr="004E6488">
        <w:rPr>
          <w:szCs w:val="22"/>
        </w:rPr>
        <w:t>$248</w:t>
      </w:r>
      <w:r w:rsidR="00EF1171">
        <w:rPr>
          <w:szCs w:val="22"/>
        </w:rPr>
        <w:t>.</w:t>
      </w:r>
      <w:r w:rsidR="00EF1171" w:rsidRPr="004E6488">
        <w:rPr>
          <w:szCs w:val="22"/>
        </w:rPr>
        <w:t>0</w:t>
      </w:r>
      <w:r w:rsidR="00EF1171">
        <w:rPr>
          <w:szCs w:val="22"/>
        </w:rPr>
        <w:t xml:space="preserve"> million), </w:t>
      </w:r>
      <w:r w:rsidR="00EF1171" w:rsidRPr="004E6488">
        <w:rPr>
          <w:szCs w:val="22"/>
        </w:rPr>
        <w:t>Behaviour</w:t>
      </w:r>
      <w:r w:rsidR="00BE1FEB">
        <w:rPr>
          <w:szCs w:val="22"/>
        </w:rPr>
        <w:t xml:space="preserve">al Therapists </w:t>
      </w:r>
      <w:r w:rsidR="00EF1171">
        <w:rPr>
          <w:szCs w:val="22"/>
        </w:rPr>
        <w:t>(</w:t>
      </w:r>
      <w:r w:rsidR="00EF1171" w:rsidRPr="004E6488">
        <w:rPr>
          <w:szCs w:val="22"/>
        </w:rPr>
        <w:t>$207</w:t>
      </w:r>
      <w:r w:rsidR="00EF1171">
        <w:rPr>
          <w:szCs w:val="22"/>
        </w:rPr>
        <w:t xml:space="preserve">.7 million), </w:t>
      </w:r>
      <w:r w:rsidR="00EF1171" w:rsidRPr="004E6488">
        <w:rPr>
          <w:szCs w:val="22"/>
        </w:rPr>
        <w:t>Physiotherap</w:t>
      </w:r>
      <w:r w:rsidR="00BE1FEB">
        <w:rPr>
          <w:szCs w:val="22"/>
        </w:rPr>
        <w:t>ists</w:t>
      </w:r>
      <w:r w:rsidR="00EF1171">
        <w:rPr>
          <w:szCs w:val="22"/>
        </w:rPr>
        <w:t xml:space="preserve"> (</w:t>
      </w:r>
      <w:r w:rsidR="00EF1171" w:rsidRPr="004E6488">
        <w:rPr>
          <w:szCs w:val="22"/>
        </w:rPr>
        <w:t>$166</w:t>
      </w:r>
      <w:r w:rsidR="00EF1171">
        <w:rPr>
          <w:szCs w:val="22"/>
        </w:rPr>
        <w:t>.</w:t>
      </w:r>
      <w:r w:rsidR="00EF1171" w:rsidRPr="004E6488">
        <w:rPr>
          <w:szCs w:val="22"/>
        </w:rPr>
        <w:t>5</w:t>
      </w:r>
      <w:r w:rsidR="00EF1171">
        <w:rPr>
          <w:szCs w:val="22"/>
        </w:rPr>
        <w:t xml:space="preserve"> million) and </w:t>
      </w:r>
      <w:r w:rsidR="00EF1171" w:rsidRPr="004E6488">
        <w:rPr>
          <w:szCs w:val="22"/>
        </w:rPr>
        <w:t>Psycholog</w:t>
      </w:r>
      <w:r w:rsidR="00BE1FEB">
        <w:rPr>
          <w:szCs w:val="22"/>
        </w:rPr>
        <w:t>ists</w:t>
      </w:r>
      <w:r w:rsidR="00EF1171">
        <w:rPr>
          <w:szCs w:val="22"/>
        </w:rPr>
        <w:t xml:space="preserve"> (</w:t>
      </w:r>
      <w:r w:rsidR="00EF1171" w:rsidRPr="004E6488">
        <w:rPr>
          <w:szCs w:val="22"/>
        </w:rPr>
        <w:t>$138</w:t>
      </w:r>
      <w:r w:rsidR="00EF1171">
        <w:rPr>
          <w:szCs w:val="22"/>
        </w:rPr>
        <w:t>.</w:t>
      </w:r>
      <w:r w:rsidR="00EF1171" w:rsidRPr="004E6488">
        <w:rPr>
          <w:szCs w:val="22"/>
        </w:rPr>
        <w:t>7</w:t>
      </w:r>
      <w:r w:rsidR="00EF1171">
        <w:rPr>
          <w:szCs w:val="22"/>
        </w:rPr>
        <w:t xml:space="preserve"> million). These </w:t>
      </w:r>
      <w:r w:rsidR="00BE1FEB">
        <w:rPr>
          <w:szCs w:val="22"/>
        </w:rPr>
        <w:t xml:space="preserve">five types of therapists accounted for </w:t>
      </w:r>
      <w:r w:rsidR="00EF1171" w:rsidRPr="004E6488">
        <w:rPr>
          <w:szCs w:val="22"/>
        </w:rPr>
        <w:t>$1</w:t>
      </w:r>
      <w:r w:rsidR="00EF1171">
        <w:rPr>
          <w:szCs w:val="22"/>
        </w:rPr>
        <w:t>.</w:t>
      </w:r>
      <w:r w:rsidR="00EF1171" w:rsidRPr="004E6488">
        <w:rPr>
          <w:szCs w:val="22"/>
        </w:rPr>
        <w:t>0</w:t>
      </w:r>
      <w:r w:rsidR="00EF1171">
        <w:rPr>
          <w:szCs w:val="22"/>
        </w:rPr>
        <w:t xml:space="preserve"> billion</w:t>
      </w:r>
      <w:r w:rsidR="00BE1FEB">
        <w:rPr>
          <w:szCs w:val="22"/>
        </w:rPr>
        <w:t xml:space="preserve"> worth of claims</w:t>
      </w:r>
      <w:r w:rsidR="00EF1171">
        <w:rPr>
          <w:szCs w:val="22"/>
        </w:rPr>
        <w:t xml:space="preserve">, </w:t>
      </w:r>
      <w:r w:rsidR="00EF1171" w:rsidRPr="00C377EE">
        <w:rPr>
          <w:szCs w:val="22"/>
        </w:rPr>
        <w:t>comprising 64%</w:t>
      </w:r>
      <w:r w:rsidR="00052258">
        <w:rPr>
          <w:szCs w:val="22"/>
        </w:rPr>
        <w:t>,</w:t>
      </w:r>
      <w:r w:rsidR="00EF1171" w:rsidRPr="00C377EE">
        <w:rPr>
          <w:szCs w:val="22"/>
        </w:rPr>
        <w:t xml:space="preserve"> </w:t>
      </w:r>
      <w:r w:rsidR="00EF1171">
        <w:rPr>
          <w:szCs w:val="22"/>
        </w:rPr>
        <w:t xml:space="preserve">close </w:t>
      </w:r>
      <w:r w:rsidR="007C4745">
        <w:rPr>
          <w:szCs w:val="22"/>
        </w:rPr>
        <w:t xml:space="preserve">to </w:t>
      </w:r>
      <w:r w:rsidR="007C4745" w:rsidRPr="00C377EE">
        <w:rPr>
          <w:szCs w:val="22"/>
        </w:rPr>
        <w:t>two thirds</w:t>
      </w:r>
      <w:r w:rsidR="00EF1171">
        <w:rPr>
          <w:szCs w:val="22"/>
        </w:rPr>
        <w:t xml:space="preserve"> of the $1.6 billion </w:t>
      </w:r>
      <w:r w:rsidR="00052258">
        <w:rPr>
          <w:szCs w:val="22"/>
        </w:rPr>
        <w:t xml:space="preserve">NDIS expenditure </w:t>
      </w:r>
      <w:r w:rsidR="00EF1171">
        <w:rPr>
          <w:szCs w:val="22"/>
        </w:rPr>
        <w:t>on therapy.</w:t>
      </w:r>
    </w:p>
    <w:p w14:paraId="0FCCABBF" w14:textId="46AA64D8" w:rsidR="00290E1C" w:rsidRPr="003327BB" w:rsidRDefault="62369DF4" w:rsidP="003327BB">
      <w:r>
        <w:t xml:space="preserve">It should be </w:t>
      </w:r>
      <w:r w:rsidR="72B92B95">
        <w:t xml:space="preserve">noted </w:t>
      </w:r>
      <w:r>
        <w:t>that</w:t>
      </w:r>
      <w:r w:rsidR="685EDB60">
        <w:t xml:space="preserve"> prior to 1 July 2022, many types of therapists </w:t>
      </w:r>
      <w:r w:rsidR="00791772">
        <w:t xml:space="preserve">were </w:t>
      </w:r>
      <w:r w:rsidR="685EDB60">
        <w:t xml:space="preserve">not </w:t>
      </w:r>
      <w:r w:rsidR="00791772">
        <w:t xml:space="preserve">categorised into </w:t>
      </w:r>
      <w:r w:rsidR="685EDB60">
        <w:t>individual support items and were included in the “Other Therapy” support</w:t>
      </w:r>
      <w:r w:rsidR="605CDF16">
        <w:t>. The breakdown of these types of therapists were not captured until after this date. Since 1 July 2022</w:t>
      </w:r>
      <w:r w:rsidR="58C72A4B">
        <w:t xml:space="preserve">, it can be </w:t>
      </w:r>
      <w:bookmarkStart w:id="88" w:name="_Int_XjE07FMU"/>
      <w:r w:rsidR="7FF7DA22">
        <w:t>reasonably assumed</w:t>
      </w:r>
      <w:bookmarkEnd w:id="88"/>
      <w:r w:rsidR="7FF7DA22">
        <w:t xml:space="preserve"> that </w:t>
      </w:r>
      <w:r w:rsidR="1F042988">
        <w:t xml:space="preserve">many of the supports delivered under </w:t>
      </w:r>
      <w:r w:rsidR="58C72A4B">
        <w:t xml:space="preserve">“Other Professionals” </w:t>
      </w:r>
      <w:r w:rsidR="1F042988">
        <w:t xml:space="preserve">were </w:t>
      </w:r>
      <w:bookmarkStart w:id="89" w:name="_Int_2HDrjxKy"/>
      <w:r w:rsidR="1F042988">
        <w:t xml:space="preserve">likely </w:t>
      </w:r>
      <w:r w:rsidR="7FF7DA22">
        <w:t>through</w:t>
      </w:r>
      <w:bookmarkEnd w:id="89"/>
      <w:r w:rsidR="7FF7DA22">
        <w:t xml:space="preserve"> </w:t>
      </w:r>
      <w:r w:rsidR="1F042988">
        <w:t xml:space="preserve">Occupational Therapists and Speech Pathologists. </w:t>
      </w:r>
      <w:r w:rsidR="5D67DE0A">
        <w:t xml:space="preserve">The other most claimed types of therapies delivered appear to be </w:t>
      </w:r>
      <w:bookmarkStart w:id="90" w:name="_Int_Tak1Athx"/>
      <w:r w:rsidR="5D67DE0A">
        <w:t>relatively stable</w:t>
      </w:r>
      <w:bookmarkEnd w:id="90"/>
      <w:r w:rsidR="5D67DE0A">
        <w:t xml:space="preserve"> since December 2020 quarter. </w:t>
      </w:r>
      <w:r w:rsidR="2A8FE384">
        <w:t>These are shown in</w:t>
      </w:r>
      <w:r w:rsidR="1A79A921">
        <w:t xml:space="preserve"> </w:t>
      </w:r>
      <w:fldSimple w:instr=" REF _Ref134303256 ">
        <w:r w:rsidR="00D64E4C">
          <w:t xml:space="preserve">Figure </w:t>
        </w:r>
        <w:r w:rsidR="00D64E4C">
          <w:rPr>
            <w:noProof/>
          </w:rPr>
          <w:t>15</w:t>
        </w:r>
      </w:fldSimple>
      <w:r w:rsidR="2A8FE384">
        <w:t>.</w:t>
      </w:r>
    </w:p>
    <w:p w14:paraId="6D927047" w14:textId="7738BFFF" w:rsidR="0098606C" w:rsidRDefault="006F4B1E" w:rsidP="007D224D">
      <w:pPr>
        <w:pStyle w:val="Caption"/>
        <w:rPr>
          <w:szCs w:val="22"/>
        </w:rPr>
      </w:pPr>
      <w:bookmarkStart w:id="91" w:name="_Ref134303256"/>
      <w:r>
        <w:lastRenderedPageBreak/>
        <w:t xml:space="preserve">Figure </w:t>
      </w:r>
      <w:r>
        <w:fldChar w:fldCharType="begin"/>
      </w:r>
      <w:r>
        <w:instrText>SEQ Figure \* ARABIC</w:instrText>
      </w:r>
      <w:r>
        <w:fldChar w:fldCharType="separate"/>
      </w:r>
      <w:r w:rsidR="00D64E4C">
        <w:rPr>
          <w:noProof/>
        </w:rPr>
        <w:t>15</w:t>
      </w:r>
      <w:r>
        <w:fldChar w:fldCharType="end"/>
      </w:r>
      <w:bookmarkEnd w:id="91"/>
      <w:r>
        <w:t xml:space="preserve">: </w:t>
      </w:r>
      <w:r w:rsidRPr="005F49A3">
        <w:t>largest ten therapy types based on total payments, OCTOBeR 2020 – DECEMBER 2022</w:t>
      </w:r>
    </w:p>
    <w:p w14:paraId="069383F8" w14:textId="5D16CB5F" w:rsidR="00BC67BD" w:rsidRDefault="00BC67BD" w:rsidP="0098606C">
      <w:pPr>
        <w:jc w:val="center"/>
        <w:rPr>
          <w:szCs w:val="22"/>
        </w:rPr>
      </w:pPr>
      <w:r>
        <w:rPr>
          <w:noProof/>
          <w:szCs w:val="22"/>
        </w:rPr>
        <w:drawing>
          <wp:inline distT="0" distB="0" distL="0" distR="0" wp14:anchorId="042FDA46" wp14:editId="4C572F09">
            <wp:extent cx="5724525" cy="2700655"/>
            <wp:effectExtent l="0" t="0" r="9525" b="4445"/>
            <wp:docPr id="5" name="Picture 5" descr="LARGEST TEN THERAPY TYPES BASED ON TOTAL PAYMENTS, OCTOBER 2020 – DECEMBER 2022&#10;&#10; In terms of payments, the other therapy category has been a largest since 2020. However in the last quarter occupational therapy, behaviour supports and early childhood supports overtook other therapy and is now the largest in terms of payments. In the December quarter of 2022 roughly $160 million was directed to occupational therapy. This was followed by $126 million for early childhood supports, $105 million for behaviour supports, $94 million for other therapy, $84 million for physiotherapy $75 million for speech pathology, $70 million for psychology, $32 million for exercise Physiology, $18 million for therapy assistants and $13 million for counsell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ARGEST TEN THERAPY TYPES BASED ON TOTAL PAYMENTS, OCTOBER 2020 – DECEMBER 2022&#10;&#10; In terms of payments, the other therapy category has been a largest since 2020. However in the last quarter occupational therapy, behaviour supports and early childhood supports overtook other therapy and is now the largest in terms of payments. In the December quarter of 2022 roughly $160 million was directed to occupational therapy. This was followed by $126 million for early childhood supports, $105 million for behaviour supports, $94 million for other therapy, $84 million for physiotherapy $75 million for speech pathology, $70 million for psychology, $32 million for exercise Physiology, $18 million for therapy assistants and $13 million for counselling.&#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4525" cy="2700655"/>
                    </a:xfrm>
                    <a:prstGeom prst="rect">
                      <a:avLst/>
                    </a:prstGeom>
                    <a:noFill/>
                  </pic:spPr>
                </pic:pic>
              </a:graphicData>
            </a:graphic>
          </wp:inline>
        </w:drawing>
      </w:r>
    </w:p>
    <w:p w14:paraId="23B6F8EE" w14:textId="5879614F" w:rsidR="0098606C" w:rsidRDefault="0098606C" w:rsidP="000A5A6E">
      <w:pPr>
        <w:pStyle w:val="Footnote"/>
        <w:ind w:left="0" w:firstLine="0"/>
      </w:pPr>
      <w:r>
        <w:t xml:space="preserve">Note: Please note in the above chart </w:t>
      </w:r>
      <w:r w:rsidRPr="00230ADA">
        <w:t>Occupational Therapy</w:t>
      </w:r>
      <w:r>
        <w:t xml:space="preserve"> and </w:t>
      </w:r>
      <w:r w:rsidRPr="00230ADA">
        <w:t>Speech</w:t>
      </w:r>
      <w:r>
        <w:t xml:space="preserve"> therapy</w:t>
      </w:r>
      <w:r w:rsidRPr="00230ADA">
        <w:t xml:space="preserve"> are </w:t>
      </w:r>
      <w:r>
        <w:t xml:space="preserve">introduced as standalone lines of supports </w:t>
      </w:r>
      <w:r w:rsidRPr="00230ADA">
        <w:t>from July 2022</w:t>
      </w:r>
      <w:r>
        <w:t xml:space="preserve">. Before July 2022 these lines of supports were claimed by providers under </w:t>
      </w:r>
      <w:r w:rsidR="007C4745">
        <w:t>other</w:t>
      </w:r>
      <w:r>
        <w:t xml:space="preserve"> groups of therapy without clear indicators of supports provided.</w:t>
      </w:r>
    </w:p>
    <w:p w14:paraId="369D873D" w14:textId="472755D6" w:rsidR="00527C9C" w:rsidRPr="00E927EC" w:rsidRDefault="001674E4" w:rsidP="00396DC8">
      <w:pPr>
        <w:rPr>
          <w:szCs w:val="22"/>
        </w:rPr>
      </w:pPr>
      <w:r>
        <w:rPr>
          <w:szCs w:val="22"/>
        </w:rPr>
        <w:t xml:space="preserve">This section has shown the increase in supply of providers delivering therapy supports to NDIS participants. However, with the growing number of NDIS participants receiving therapy supports, this may put pressure on </w:t>
      </w:r>
      <w:r w:rsidR="00B30334">
        <w:rPr>
          <w:szCs w:val="22"/>
        </w:rPr>
        <w:t xml:space="preserve">the number of therapists </w:t>
      </w:r>
      <w:r w:rsidR="0095644F">
        <w:rPr>
          <w:szCs w:val="22"/>
        </w:rPr>
        <w:t xml:space="preserve">needed </w:t>
      </w:r>
      <w:r w:rsidR="00B30334">
        <w:rPr>
          <w:szCs w:val="22"/>
        </w:rPr>
        <w:t>to continue supporting NDIS participants.</w:t>
      </w:r>
    </w:p>
    <w:p w14:paraId="0218B694" w14:textId="4D336546" w:rsidR="000907CC" w:rsidRPr="002F770B" w:rsidRDefault="000907CC" w:rsidP="00D9646F">
      <w:pPr>
        <w:pStyle w:val="Heading3"/>
      </w:pPr>
      <w:r w:rsidRPr="002F770B">
        <w:t>5.3</w:t>
      </w:r>
      <w:r w:rsidRPr="002F770B">
        <w:tab/>
        <w:t>Employment Statistics</w:t>
      </w:r>
    </w:p>
    <w:p w14:paraId="7C012BB2" w14:textId="53ABD50A" w:rsidR="004E11BF" w:rsidRPr="007D6B2B" w:rsidRDefault="1CB52957" w:rsidP="004E11BF">
      <w:pPr>
        <w:rPr>
          <w:szCs w:val="22"/>
        </w:rPr>
      </w:pPr>
      <w:r w:rsidRPr="6879FC30">
        <w:t xml:space="preserve">On current reported data through Australian Health Practitioners Registration Agency (AHPRA), as of February 2023, the Department of </w:t>
      </w:r>
      <w:proofErr w:type="gramStart"/>
      <w:r w:rsidRPr="6879FC30">
        <w:t>Health</w:t>
      </w:r>
      <w:proofErr w:type="gramEnd"/>
      <w:r w:rsidRPr="6879FC30">
        <w:t xml:space="preserve"> and Aged Care’s Allied Health Factsheets</w:t>
      </w:r>
      <w:r>
        <w:rPr>
          <w:szCs w:val="22"/>
        </w:rPr>
        <w:t xml:space="preserve"> </w:t>
      </w:r>
      <w:r w:rsidRPr="6879FC30">
        <w:t>Dashboard</w:t>
      </w:r>
      <w:r w:rsidR="00C320FE">
        <w:rPr>
          <w:rStyle w:val="FootnoteReference"/>
        </w:rPr>
        <w:footnoteReference w:id="28"/>
      </w:r>
      <w:r w:rsidRPr="6879FC30">
        <w:t xml:space="preserve"> stated there are</w:t>
      </w:r>
      <w:r w:rsidRPr="007D6B2B">
        <w:rPr>
          <w:szCs w:val="22"/>
        </w:rPr>
        <w:t>:</w:t>
      </w:r>
    </w:p>
    <w:p w14:paraId="53F63A8F" w14:textId="77375913" w:rsidR="004E11BF" w:rsidRPr="007D6B2B" w:rsidRDefault="004E11BF" w:rsidP="00F317CA">
      <w:pPr>
        <w:pStyle w:val="CEOBrief-Paragraph2"/>
        <w:numPr>
          <w:ilvl w:val="2"/>
          <w:numId w:val="8"/>
        </w:numPr>
        <w:rPr>
          <w:sz w:val="22"/>
          <w:szCs w:val="22"/>
        </w:rPr>
      </w:pPr>
      <w:r w:rsidRPr="1B640AC1">
        <w:rPr>
          <w:sz w:val="22"/>
          <w:szCs w:val="22"/>
        </w:rPr>
        <w:t>41,791 Psychologists registered with AHPRA. The number of registrations grew by 20.3% between 2017 (34,752) and 2021.</w:t>
      </w:r>
    </w:p>
    <w:p w14:paraId="28315332" w14:textId="77777777" w:rsidR="004E11BF" w:rsidRPr="007D6B2B" w:rsidRDefault="004E11BF" w:rsidP="00F317CA">
      <w:pPr>
        <w:pStyle w:val="CEOBrief-Paragraph2"/>
        <w:numPr>
          <w:ilvl w:val="2"/>
          <w:numId w:val="8"/>
        </w:numPr>
        <w:rPr>
          <w:sz w:val="22"/>
          <w:szCs w:val="22"/>
        </w:rPr>
      </w:pPr>
      <w:r w:rsidRPr="1B640AC1">
        <w:rPr>
          <w:sz w:val="22"/>
          <w:szCs w:val="22"/>
        </w:rPr>
        <w:t>38,882 Physiotherapists registered with AHPRA in 2021, up by 25.8% from 30,916 in 2017.</w:t>
      </w:r>
    </w:p>
    <w:p w14:paraId="07517770" w14:textId="77777777" w:rsidR="004E11BF" w:rsidRPr="007D6B2B" w:rsidRDefault="004E11BF" w:rsidP="00F317CA">
      <w:pPr>
        <w:pStyle w:val="CEOBrief-Paragraph2"/>
        <w:numPr>
          <w:ilvl w:val="2"/>
          <w:numId w:val="8"/>
        </w:numPr>
        <w:rPr>
          <w:sz w:val="22"/>
          <w:szCs w:val="22"/>
        </w:rPr>
      </w:pPr>
      <w:r w:rsidRPr="1B640AC1">
        <w:rPr>
          <w:sz w:val="22"/>
          <w:szCs w:val="22"/>
        </w:rPr>
        <w:t>26,904 Occupational Therapists registered with AHPRA. The number of registrations grew by 33.6% between 2017 (20,145) and 2021 (26,904).</w:t>
      </w:r>
    </w:p>
    <w:p w14:paraId="5B5FC818" w14:textId="77777777" w:rsidR="004E11BF" w:rsidRPr="007D6B2B" w:rsidRDefault="004E11BF" w:rsidP="00F317CA">
      <w:pPr>
        <w:pStyle w:val="CEOBrief-Paragraph2"/>
        <w:numPr>
          <w:ilvl w:val="2"/>
          <w:numId w:val="8"/>
        </w:numPr>
        <w:rPr>
          <w:sz w:val="22"/>
          <w:szCs w:val="22"/>
        </w:rPr>
      </w:pPr>
      <w:r w:rsidRPr="1B640AC1">
        <w:rPr>
          <w:sz w:val="22"/>
          <w:szCs w:val="22"/>
        </w:rPr>
        <w:t>5,819 Podiatrists registered with AHPRA, up by 18.8% from 4,900 in 2017.</w:t>
      </w:r>
    </w:p>
    <w:p w14:paraId="048C3AB5" w14:textId="132F9577" w:rsidR="004E11BF" w:rsidRDefault="004E11BF" w:rsidP="004E11BF">
      <w:pPr>
        <w:rPr>
          <w:szCs w:val="22"/>
        </w:rPr>
      </w:pPr>
      <w:r>
        <w:rPr>
          <w:szCs w:val="22"/>
        </w:rPr>
        <w:t xml:space="preserve">The total number of </w:t>
      </w:r>
      <w:r w:rsidRPr="007D6B2B">
        <w:rPr>
          <w:szCs w:val="22"/>
        </w:rPr>
        <w:t>Psychologists</w:t>
      </w:r>
      <w:r>
        <w:rPr>
          <w:szCs w:val="22"/>
        </w:rPr>
        <w:t xml:space="preserve">, </w:t>
      </w:r>
      <w:r w:rsidRPr="007D6B2B">
        <w:rPr>
          <w:szCs w:val="22"/>
        </w:rPr>
        <w:t>Physiotherapists</w:t>
      </w:r>
      <w:r>
        <w:rPr>
          <w:szCs w:val="22"/>
        </w:rPr>
        <w:t xml:space="preserve">, </w:t>
      </w:r>
      <w:r w:rsidRPr="007D6B2B">
        <w:rPr>
          <w:szCs w:val="22"/>
        </w:rPr>
        <w:t>Occupational Therapists</w:t>
      </w:r>
      <w:r>
        <w:rPr>
          <w:szCs w:val="22"/>
        </w:rPr>
        <w:t xml:space="preserve"> and </w:t>
      </w:r>
      <w:r w:rsidRPr="007D6B2B">
        <w:rPr>
          <w:szCs w:val="22"/>
        </w:rPr>
        <w:t xml:space="preserve">Podiatrists </w:t>
      </w:r>
      <w:r>
        <w:rPr>
          <w:szCs w:val="22"/>
        </w:rPr>
        <w:t xml:space="preserve">registered </w:t>
      </w:r>
      <w:r w:rsidRPr="007D6B2B">
        <w:rPr>
          <w:szCs w:val="22"/>
        </w:rPr>
        <w:t>with AHPRA has grown significantly in the last five years</w:t>
      </w:r>
      <w:r>
        <w:rPr>
          <w:szCs w:val="22"/>
        </w:rPr>
        <w:t>,</w:t>
      </w:r>
      <w:r w:rsidRPr="007D6B2B">
        <w:rPr>
          <w:szCs w:val="22"/>
        </w:rPr>
        <w:t xml:space="preserve"> </w:t>
      </w:r>
      <w:r>
        <w:rPr>
          <w:szCs w:val="22"/>
        </w:rPr>
        <w:t xml:space="preserve">up 26% from 90,713 in 2017 to 113,396 in </w:t>
      </w:r>
      <w:r w:rsidRPr="007D6B2B">
        <w:rPr>
          <w:szCs w:val="22"/>
        </w:rPr>
        <w:t>2021</w:t>
      </w:r>
      <w:r>
        <w:rPr>
          <w:szCs w:val="22"/>
        </w:rPr>
        <w:t>, whilst those</w:t>
      </w:r>
      <w:r w:rsidRPr="007D6B2B">
        <w:rPr>
          <w:szCs w:val="22"/>
        </w:rPr>
        <w:t xml:space="preserve"> </w:t>
      </w:r>
      <w:r>
        <w:rPr>
          <w:szCs w:val="22"/>
        </w:rPr>
        <w:t xml:space="preserve">registered </w:t>
      </w:r>
      <w:r w:rsidRPr="007D6B2B">
        <w:rPr>
          <w:szCs w:val="22"/>
        </w:rPr>
        <w:t xml:space="preserve">with AHPRA </w:t>
      </w:r>
      <w:r>
        <w:rPr>
          <w:szCs w:val="22"/>
        </w:rPr>
        <w:t xml:space="preserve">and are employed </w:t>
      </w:r>
      <w:r w:rsidRPr="007D6B2B">
        <w:rPr>
          <w:szCs w:val="22"/>
        </w:rPr>
        <w:t xml:space="preserve">has </w:t>
      </w:r>
      <w:r>
        <w:rPr>
          <w:szCs w:val="22"/>
        </w:rPr>
        <w:t xml:space="preserve">increased by 26% from 73,350 in 2017 to 92,406 in </w:t>
      </w:r>
      <w:r w:rsidRPr="007D6B2B">
        <w:rPr>
          <w:szCs w:val="22"/>
        </w:rPr>
        <w:t>2021</w:t>
      </w:r>
      <w:r>
        <w:rPr>
          <w:szCs w:val="22"/>
        </w:rPr>
        <w:t xml:space="preserve"> (</w:t>
      </w:r>
      <w:r w:rsidRPr="007D6B2B">
        <w:rPr>
          <w:szCs w:val="22"/>
        </w:rPr>
        <w:t xml:space="preserve">see </w:t>
      </w:r>
      <w:r w:rsidR="00C829E5">
        <w:rPr>
          <w:szCs w:val="22"/>
        </w:rPr>
        <w:fldChar w:fldCharType="begin"/>
      </w:r>
      <w:r w:rsidR="00C829E5">
        <w:rPr>
          <w:szCs w:val="22"/>
        </w:rPr>
        <w:instrText xml:space="preserve"> REF _Ref134303270 </w:instrText>
      </w:r>
      <w:r w:rsidR="00C829E5">
        <w:rPr>
          <w:szCs w:val="22"/>
        </w:rPr>
        <w:fldChar w:fldCharType="separate"/>
      </w:r>
      <w:r w:rsidR="00D64E4C">
        <w:t xml:space="preserve">Figure </w:t>
      </w:r>
      <w:r w:rsidR="00D64E4C">
        <w:rPr>
          <w:noProof/>
        </w:rPr>
        <w:t>16</w:t>
      </w:r>
      <w:r w:rsidR="00C829E5">
        <w:rPr>
          <w:szCs w:val="22"/>
        </w:rPr>
        <w:fldChar w:fldCharType="end"/>
      </w:r>
      <w:r w:rsidR="00C829E5">
        <w:rPr>
          <w:szCs w:val="22"/>
        </w:rPr>
        <w:t>).</w:t>
      </w:r>
    </w:p>
    <w:p w14:paraId="3DA04D3D" w14:textId="2EDC9B44" w:rsidR="006F4B1E" w:rsidRDefault="006F4B1E" w:rsidP="006F4B1E">
      <w:pPr>
        <w:pStyle w:val="Caption"/>
      </w:pPr>
      <w:bookmarkStart w:id="92" w:name="_Ref134303270"/>
      <w:r>
        <w:lastRenderedPageBreak/>
        <w:t xml:space="preserve">Figure </w:t>
      </w:r>
      <w:r>
        <w:fldChar w:fldCharType="begin"/>
      </w:r>
      <w:r>
        <w:instrText>SEQ Figure \* ARABIC</w:instrText>
      </w:r>
      <w:r>
        <w:fldChar w:fldCharType="separate"/>
      </w:r>
      <w:r w:rsidR="00D64E4C">
        <w:rPr>
          <w:noProof/>
        </w:rPr>
        <w:t>16</w:t>
      </w:r>
      <w:r>
        <w:fldChar w:fldCharType="end"/>
      </w:r>
      <w:bookmarkEnd w:id="92"/>
      <w:r>
        <w:t xml:space="preserve">: </w:t>
      </w:r>
      <w:r w:rsidRPr="00BE4F8E">
        <w:t>NUMBER OF REGISTERED THERAPISTs, 2017 TO 2021</w:t>
      </w:r>
    </w:p>
    <w:p w14:paraId="524E6FBE" w14:textId="77777777" w:rsidR="004E11BF" w:rsidRDefault="004E11BF" w:rsidP="004E11BF">
      <w:pPr>
        <w:jc w:val="center"/>
      </w:pPr>
      <w:r>
        <w:rPr>
          <w:noProof/>
        </w:rPr>
        <w:drawing>
          <wp:inline distT="0" distB="0" distL="0" distR="0" wp14:anchorId="2621AE42" wp14:editId="1A1C23EA">
            <wp:extent cx="5401310" cy="2694940"/>
            <wp:effectExtent l="0" t="0" r="8890" b="0"/>
            <wp:docPr id="35" name="Picture 35" descr="FIGURE 16: NUMBER OF REGISTERED THERAPISTS, 2017 TO 2021&#10;&#10;The number of registered occupational therapists in Australia delivering services to NDIS participants has risen from around 20,000 in 2017 to around 27,000 in 2021. The number of registered physiotherapists providing services to NDIS participants has risen from around 31,000 in 2017 to around 39,000 in 2021. The number of registered psychologist has risen from around 35,000 in 2017 to 42,000 in 2021, while the number of registered podiatrists had risen from around 5000 in 2017 to around 6000 in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IGURE 16: NUMBER OF REGISTERED THERAPISTS, 2017 TO 2021&#10;&#10;The number of registered occupational therapists in Australia delivering services to NDIS participants has risen from around 20,000 in 2017 to around 27,000 in 2021. The number of registered physiotherapists providing services to NDIS participants has risen from around 31,000 in 2017 to around 39,000 in 2021. The number of registered psychologist has risen from around 35,000 in 2017 to 42,000 in 2021, while the number of registered podiatrists had risen from around 5000 in 2017 to around 6000 in 2021.&#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1310" cy="2694940"/>
                    </a:xfrm>
                    <a:prstGeom prst="rect">
                      <a:avLst/>
                    </a:prstGeom>
                    <a:noFill/>
                  </pic:spPr>
                </pic:pic>
              </a:graphicData>
            </a:graphic>
          </wp:inline>
        </w:drawing>
      </w:r>
    </w:p>
    <w:p w14:paraId="0DDA4119" w14:textId="2E5F4D8C" w:rsidR="003D29B1" w:rsidRPr="006F4B1E" w:rsidRDefault="003D29B1" w:rsidP="006F4B1E">
      <w:pPr>
        <w:rPr>
          <w:szCs w:val="22"/>
        </w:rPr>
      </w:pPr>
      <w:r>
        <w:t xml:space="preserve">Jobs and Skills Australia (formerly known as </w:t>
      </w:r>
      <w:r w:rsidRPr="001B5A90">
        <w:t>National Skills Commission</w:t>
      </w:r>
      <w:r>
        <w:t>) projects employment growth of the entire Australian workforce for five years to November 2026 at 9.1%. The growth in the therapy space will continue over this period with therapists making up three of the 11 fastest growing occupations, those being A</w:t>
      </w:r>
      <w:r w:rsidRPr="007D6B2B">
        <w:rPr>
          <w:szCs w:val="22"/>
        </w:rPr>
        <w:t xml:space="preserve">udiologists and Speech Pathologists </w:t>
      </w:r>
      <w:r>
        <w:rPr>
          <w:szCs w:val="22"/>
        </w:rPr>
        <w:t xml:space="preserve">(34.7%, </w:t>
      </w:r>
      <w:r w:rsidRPr="007D6B2B">
        <w:rPr>
          <w:szCs w:val="22"/>
        </w:rPr>
        <w:t>close to four times the projected rate of growth of the entire Australian workforce over that period</w:t>
      </w:r>
      <w:r>
        <w:rPr>
          <w:szCs w:val="22"/>
        </w:rPr>
        <w:t>)</w:t>
      </w:r>
      <w:r w:rsidRPr="007D6B2B">
        <w:rPr>
          <w:szCs w:val="22"/>
        </w:rPr>
        <w:t>,</w:t>
      </w:r>
      <w:r>
        <w:rPr>
          <w:szCs w:val="22"/>
        </w:rPr>
        <w:t xml:space="preserve"> </w:t>
      </w:r>
      <w:r w:rsidRPr="007D6B2B">
        <w:rPr>
          <w:szCs w:val="22"/>
        </w:rPr>
        <w:t xml:space="preserve">Podiatrists </w:t>
      </w:r>
      <w:r>
        <w:rPr>
          <w:szCs w:val="22"/>
        </w:rPr>
        <w:t>(</w:t>
      </w:r>
      <w:r w:rsidRPr="007D6B2B">
        <w:rPr>
          <w:szCs w:val="22"/>
        </w:rPr>
        <w:t>31.8%</w:t>
      </w:r>
      <w:r>
        <w:rPr>
          <w:szCs w:val="22"/>
        </w:rPr>
        <w:t xml:space="preserve">) and </w:t>
      </w:r>
      <w:r w:rsidRPr="007D6B2B">
        <w:rPr>
          <w:szCs w:val="22"/>
        </w:rPr>
        <w:t xml:space="preserve">Physiotherapists </w:t>
      </w:r>
      <w:r>
        <w:rPr>
          <w:szCs w:val="22"/>
        </w:rPr>
        <w:t>(</w:t>
      </w:r>
      <w:r w:rsidRPr="007D6B2B">
        <w:rPr>
          <w:szCs w:val="22"/>
        </w:rPr>
        <w:t>28.7%</w:t>
      </w:r>
      <w:r>
        <w:rPr>
          <w:szCs w:val="22"/>
        </w:rPr>
        <w:t xml:space="preserve">), as shown in </w:t>
      </w:r>
      <w:r w:rsidR="00DD01AE">
        <w:rPr>
          <w:szCs w:val="22"/>
        </w:rPr>
        <w:fldChar w:fldCharType="begin"/>
      </w:r>
      <w:r w:rsidR="00DD01AE">
        <w:rPr>
          <w:szCs w:val="22"/>
        </w:rPr>
        <w:instrText xml:space="preserve"> REF _Ref134303490 </w:instrText>
      </w:r>
      <w:r w:rsidR="00DD01AE">
        <w:rPr>
          <w:szCs w:val="22"/>
        </w:rPr>
        <w:fldChar w:fldCharType="separate"/>
      </w:r>
      <w:r w:rsidR="00D64E4C">
        <w:t xml:space="preserve">Table </w:t>
      </w:r>
      <w:r w:rsidR="00D64E4C">
        <w:rPr>
          <w:noProof/>
        </w:rPr>
        <w:t>8</w:t>
      </w:r>
      <w:r w:rsidR="00DD01AE">
        <w:rPr>
          <w:szCs w:val="22"/>
        </w:rPr>
        <w:fldChar w:fldCharType="end"/>
      </w:r>
      <w:r w:rsidR="00DD01AE">
        <w:rPr>
          <w:szCs w:val="22"/>
        </w:rPr>
        <w:t>.</w:t>
      </w:r>
    </w:p>
    <w:p w14:paraId="234568CC" w14:textId="7C833DEC" w:rsidR="006F4B1E" w:rsidRDefault="006F4B1E" w:rsidP="006F4B1E">
      <w:pPr>
        <w:pStyle w:val="Caption"/>
      </w:pPr>
      <w:bookmarkStart w:id="93" w:name="_Ref134303490"/>
      <w:r>
        <w:t xml:space="preserve">Table </w:t>
      </w:r>
      <w:r>
        <w:fldChar w:fldCharType="begin"/>
      </w:r>
      <w:r>
        <w:instrText>SEQ Table \* ARABIC</w:instrText>
      </w:r>
      <w:r>
        <w:fldChar w:fldCharType="separate"/>
      </w:r>
      <w:r w:rsidR="00D64E4C">
        <w:rPr>
          <w:noProof/>
        </w:rPr>
        <w:t>8</w:t>
      </w:r>
      <w:r>
        <w:fldChar w:fldCharType="end"/>
      </w:r>
      <w:bookmarkEnd w:id="93"/>
      <w:r>
        <w:t xml:space="preserve">: </w:t>
      </w:r>
      <w:r w:rsidRPr="00FC5FFC">
        <w:t>GROWTH IN EXPENDITURE ON THERAPY BY FUNDING SOURCE, 2016-17 TO 2019-20</w:t>
      </w:r>
    </w:p>
    <w:tbl>
      <w:tblPr>
        <w:tblW w:w="9073" w:type="dxa"/>
        <w:tblInd w:w="-5" w:type="dxa"/>
        <w:tbl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insideH w:val="single" w:sz="6" w:space="0" w:color="4F1E58" w:themeColor="accent1" w:themeShade="BF"/>
          <w:insideV w:val="single" w:sz="6" w:space="0" w:color="4F1E58" w:themeColor="accent1" w:themeShade="BF"/>
        </w:tblBorders>
        <w:tblLayout w:type="fixed"/>
        <w:tblLook w:val="04A0" w:firstRow="1" w:lastRow="0" w:firstColumn="1" w:lastColumn="0" w:noHBand="0" w:noVBand="1"/>
        <w:tblCaption w:val="TABLE 8: GROWTH IN EXPENDITURE ON THERAPY BY FUNDING SOURCE, 2016-17 TO 2019-20"/>
        <w:tblDescription w:val="Jobs and skills Australia projects the strongest growth in the number of audiologists and speech pathologists over the five years to November 2026. Jobs and Skills Australia projects there will be 16,600 of these occupations a growth of 34.7% over the five years to November 2026. The second strongest projected growth over this. Is in podiatrists jobs and skills Australia predicts there will be 8500 in November 2026 a growth of 31.8% on levels seen at the end of 2021. The third highest projected growth is in physiotherapists; Jobs and Skills Australia expects there will be 42,200 in November 2026, a growth of 28.7% over the same period. Jobs and skills Australia predicts there will be 8000 complementary health therapists in November 2026 a growth of 27.9% over the same period, 27,800 councillors, a growth of 14.2%, 35,100 psychologists, a growth of 13.3 percent, 25,600 occupational therapists, a growth of 7.4%, and and 8500 nutritional professionals, a growth of 7.2%."/>
      </w:tblPr>
      <w:tblGrid>
        <w:gridCol w:w="1247"/>
        <w:gridCol w:w="2268"/>
        <w:gridCol w:w="1418"/>
        <w:gridCol w:w="1418"/>
        <w:gridCol w:w="1361"/>
        <w:gridCol w:w="1361"/>
      </w:tblGrid>
      <w:tr w:rsidR="003A5C87" w:rsidRPr="00F10874" w14:paraId="2DC8E93A" w14:textId="77777777" w:rsidTr="002919AC">
        <w:trPr>
          <w:trHeight w:val="820"/>
        </w:trPr>
        <w:tc>
          <w:tcPr>
            <w:tcW w:w="1247" w:type="dxa"/>
            <w:shd w:val="clear" w:color="auto" w:fill="6B2976"/>
            <w:hideMark/>
          </w:tcPr>
          <w:p w14:paraId="090024D7" w14:textId="77777777" w:rsidR="003D29B1" w:rsidRPr="00F10874" w:rsidRDefault="003D29B1" w:rsidP="00D608D6">
            <w:pPr>
              <w:spacing w:before="60" w:after="60" w:line="240" w:lineRule="auto"/>
              <w:jc w:val="center"/>
              <w:rPr>
                <w:rFonts w:eastAsia="Times New Roman" w:cs="Arial"/>
                <w:b/>
                <w:bCs/>
                <w:color w:val="000000"/>
                <w:sz w:val="18"/>
                <w:szCs w:val="18"/>
                <w:lang w:eastAsia="zh-CN" w:bidi="th-TH"/>
              </w:rPr>
            </w:pPr>
            <w:r w:rsidRPr="00F10874">
              <w:rPr>
                <w:rFonts w:eastAsia="Times New Roman" w:cs="Arial"/>
                <w:b/>
                <w:bCs/>
                <w:color w:val="FFFFFF"/>
                <w:sz w:val="18"/>
                <w:szCs w:val="18"/>
                <w:lang w:eastAsia="zh-CN" w:bidi="th-TH"/>
              </w:rPr>
              <w:t>Occupation Code</w:t>
            </w:r>
          </w:p>
        </w:tc>
        <w:tc>
          <w:tcPr>
            <w:tcW w:w="2268" w:type="dxa"/>
            <w:shd w:val="clear" w:color="auto" w:fill="6B2976"/>
            <w:hideMark/>
          </w:tcPr>
          <w:p w14:paraId="65920DE4" w14:textId="77777777" w:rsidR="003D29B1" w:rsidRPr="00F10874" w:rsidRDefault="003D29B1" w:rsidP="00D608D6">
            <w:pPr>
              <w:spacing w:before="60" w:after="60" w:line="240" w:lineRule="auto"/>
              <w:jc w:val="center"/>
              <w:rPr>
                <w:rFonts w:eastAsia="Times New Roman" w:cs="Arial"/>
                <w:b/>
                <w:bCs/>
                <w:color w:val="000000"/>
                <w:sz w:val="18"/>
                <w:szCs w:val="18"/>
                <w:lang w:eastAsia="zh-CN" w:bidi="th-TH"/>
              </w:rPr>
            </w:pPr>
            <w:r w:rsidRPr="00F10874">
              <w:rPr>
                <w:rFonts w:eastAsia="Times New Roman" w:cs="Arial"/>
                <w:b/>
                <w:bCs/>
                <w:color w:val="FFFFFF"/>
                <w:sz w:val="18"/>
                <w:szCs w:val="18"/>
                <w:lang w:eastAsia="zh-CN" w:bidi="th-TH"/>
              </w:rPr>
              <w:t>Occupation</w:t>
            </w:r>
          </w:p>
        </w:tc>
        <w:tc>
          <w:tcPr>
            <w:tcW w:w="1418" w:type="dxa"/>
            <w:shd w:val="clear" w:color="auto" w:fill="6B2976"/>
            <w:hideMark/>
          </w:tcPr>
          <w:p w14:paraId="2F2BD01A" w14:textId="38AAB1C6" w:rsidR="003D29B1" w:rsidRPr="00F10874" w:rsidRDefault="003D29B1" w:rsidP="00D608D6">
            <w:pPr>
              <w:spacing w:before="60" w:after="60" w:line="240" w:lineRule="auto"/>
              <w:jc w:val="center"/>
              <w:rPr>
                <w:rFonts w:eastAsia="Times New Roman" w:cs="Arial"/>
                <w:b/>
                <w:bCs/>
                <w:color w:val="000000"/>
                <w:sz w:val="18"/>
                <w:szCs w:val="18"/>
                <w:lang w:eastAsia="zh-CN" w:bidi="th-TH"/>
              </w:rPr>
            </w:pPr>
            <w:r w:rsidRPr="00F10874">
              <w:rPr>
                <w:rFonts w:eastAsia="Times New Roman" w:cs="Arial"/>
                <w:b/>
                <w:bCs/>
                <w:color w:val="FFFFFF"/>
                <w:sz w:val="18"/>
                <w:szCs w:val="18"/>
                <w:lang w:eastAsia="zh-CN" w:bidi="th-TH"/>
              </w:rPr>
              <w:t xml:space="preserve">Employment level </w:t>
            </w:r>
            <w:r w:rsidR="002B0448">
              <w:rPr>
                <w:rFonts w:eastAsia="Times New Roman" w:cs="Arial"/>
                <w:b/>
                <w:bCs/>
                <w:color w:val="FFFFFF"/>
                <w:sz w:val="18"/>
                <w:szCs w:val="18"/>
                <w:lang w:eastAsia="zh-CN" w:bidi="th-TH"/>
              </w:rPr>
              <w:t>–</w:t>
            </w:r>
            <w:r w:rsidRPr="00F10874">
              <w:rPr>
                <w:rFonts w:eastAsia="Times New Roman" w:cs="Arial"/>
                <w:b/>
                <w:bCs/>
                <w:color w:val="FFFFFF"/>
                <w:sz w:val="18"/>
                <w:szCs w:val="18"/>
                <w:lang w:eastAsia="zh-CN" w:bidi="th-TH"/>
              </w:rPr>
              <w:t xml:space="preserve"> November 2021</w:t>
            </w:r>
          </w:p>
        </w:tc>
        <w:tc>
          <w:tcPr>
            <w:tcW w:w="1418" w:type="dxa"/>
            <w:shd w:val="clear" w:color="auto" w:fill="6B2976"/>
            <w:hideMark/>
          </w:tcPr>
          <w:p w14:paraId="3EDB3AFB" w14:textId="0772D5C5" w:rsidR="003D29B1" w:rsidRPr="00F10874" w:rsidRDefault="003D29B1" w:rsidP="00D608D6">
            <w:pPr>
              <w:spacing w:before="60" w:after="60" w:line="240" w:lineRule="auto"/>
              <w:jc w:val="center"/>
              <w:rPr>
                <w:rFonts w:eastAsia="Times New Roman" w:cs="Arial"/>
                <w:b/>
                <w:bCs/>
                <w:color w:val="FEFFFF" w:themeColor="background1"/>
                <w:sz w:val="18"/>
                <w:szCs w:val="18"/>
                <w:lang w:eastAsia="zh-CN" w:bidi="th-TH"/>
              </w:rPr>
            </w:pPr>
            <w:r w:rsidRPr="00F10874">
              <w:rPr>
                <w:rFonts w:eastAsia="Times New Roman" w:cs="Arial"/>
                <w:b/>
                <w:bCs/>
                <w:color w:val="FEFFFF" w:themeColor="background1"/>
                <w:sz w:val="18"/>
                <w:szCs w:val="18"/>
                <w:lang w:eastAsia="zh-CN" w:bidi="th-TH"/>
              </w:rPr>
              <w:t xml:space="preserve">JSA Projected employment level </w:t>
            </w:r>
            <w:r w:rsidR="002B0448">
              <w:rPr>
                <w:rFonts w:eastAsia="Times New Roman" w:cs="Arial"/>
                <w:b/>
                <w:bCs/>
                <w:color w:val="FEFFFF" w:themeColor="background1"/>
                <w:sz w:val="18"/>
                <w:szCs w:val="18"/>
                <w:lang w:eastAsia="zh-CN" w:bidi="th-TH"/>
              </w:rPr>
              <w:t>–</w:t>
            </w:r>
            <w:r w:rsidRPr="00F10874">
              <w:rPr>
                <w:rFonts w:eastAsia="Times New Roman" w:cs="Arial"/>
                <w:b/>
                <w:bCs/>
                <w:color w:val="FEFFFF" w:themeColor="background1"/>
                <w:sz w:val="18"/>
                <w:szCs w:val="18"/>
                <w:lang w:eastAsia="zh-CN" w:bidi="th-TH"/>
              </w:rPr>
              <w:t xml:space="preserve"> November 2026</w:t>
            </w:r>
          </w:p>
        </w:tc>
        <w:tc>
          <w:tcPr>
            <w:tcW w:w="1361" w:type="dxa"/>
            <w:shd w:val="clear" w:color="auto" w:fill="6B2976"/>
            <w:hideMark/>
          </w:tcPr>
          <w:p w14:paraId="7B72783C" w14:textId="5B7F9C10" w:rsidR="003D29B1" w:rsidRPr="002E72BC" w:rsidRDefault="003D29B1" w:rsidP="00D608D6">
            <w:pPr>
              <w:spacing w:before="60" w:after="60" w:line="240" w:lineRule="auto"/>
              <w:jc w:val="center"/>
              <w:rPr>
                <w:rFonts w:eastAsia="Times New Roman" w:cs="Arial"/>
                <w:b/>
                <w:bCs/>
                <w:color w:val="FEFFFF" w:themeColor="background1"/>
                <w:sz w:val="18"/>
                <w:szCs w:val="18"/>
                <w:lang w:eastAsia="zh-CN" w:bidi="th-TH"/>
              </w:rPr>
            </w:pPr>
            <w:r w:rsidRPr="00F10874">
              <w:rPr>
                <w:rFonts w:eastAsia="Times New Roman" w:cs="Arial"/>
                <w:b/>
                <w:bCs/>
                <w:color w:val="FEFFFF" w:themeColor="background1"/>
                <w:sz w:val="18"/>
                <w:szCs w:val="18"/>
                <w:lang w:eastAsia="zh-CN" w:bidi="th-TH"/>
              </w:rPr>
              <w:t xml:space="preserve">JSA Projected employment growth </w:t>
            </w:r>
            <w:r w:rsidR="002B0448">
              <w:rPr>
                <w:rFonts w:eastAsia="Times New Roman" w:cs="Arial"/>
                <w:b/>
                <w:bCs/>
                <w:color w:val="FEFFFF" w:themeColor="background1"/>
                <w:sz w:val="18"/>
                <w:szCs w:val="18"/>
                <w:lang w:eastAsia="zh-CN" w:bidi="th-TH"/>
              </w:rPr>
              <w:t>–</w:t>
            </w:r>
            <w:r w:rsidRPr="00F10874">
              <w:rPr>
                <w:rFonts w:eastAsia="Times New Roman" w:cs="Arial"/>
                <w:b/>
                <w:bCs/>
                <w:color w:val="FEFFFF" w:themeColor="background1"/>
                <w:sz w:val="18"/>
                <w:szCs w:val="18"/>
                <w:lang w:eastAsia="zh-CN" w:bidi="th-TH"/>
              </w:rPr>
              <w:t xml:space="preserve"> five years to November 2026</w:t>
            </w:r>
          </w:p>
        </w:tc>
        <w:tc>
          <w:tcPr>
            <w:tcW w:w="1361" w:type="dxa"/>
            <w:shd w:val="clear" w:color="auto" w:fill="6B2976"/>
          </w:tcPr>
          <w:p w14:paraId="717B99D1" w14:textId="4993062D" w:rsidR="003D29B1" w:rsidRPr="00F10874" w:rsidRDefault="003D29B1" w:rsidP="00D608D6">
            <w:pPr>
              <w:spacing w:before="60" w:after="60" w:line="240" w:lineRule="auto"/>
              <w:jc w:val="center"/>
              <w:rPr>
                <w:rFonts w:eastAsia="Times New Roman" w:cs="Arial"/>
                <w:b/>
                <w:bCs/>
                <w:color w:val="FEFFFF" w:themeColor="background1"/>
                <w:sz w:val="18"/>
                <w:szCs w:val="18"/>
                <w:lang w:eastAsia="zh-CN" w:bidi="th-TH"/>
              </w:rPr>
            </w:pPr>
            <w:r w:rsidRPr="00F10874">
              <w:rPr>
                <w:rFonts w:eastAsia="Times New Roman" w:cs="Arial"/>
                <w:b/>
                <w:bCs/>
                <w:color w:val="FEFFFF" w:themeColor="background1"/>
                <w:sz w:val="18"/>
                <w:szCs w:val="18"/>
                <w:lang w:eastAsia="zh-CN" w:bidi="th-TH"/>
              </w:rPr>
              <w:t xml:space="preserve">JSA Projected employment growth </w:t>
            </w:r>
            <w:r w:rsidR="002B0448">
              <w:rPr>
                <w:rFonts w:eastAsia="Times New Roman" w:cs="Arial"/>
                <w:b/>
                <w:bCs/>
                <w:color w:val="FEFFFF" w:themeColor="background1"/>
                <w:sz w:val="18"/>
                <w:szCs w:val="18"/>
                <w:lang w:eastAsia="zh-CN" w:bidi="th-TH"/>
              </w:rPr>
              <w:t>–</w:t>
            </w:r>
            <w:r w:rsidRPr="00F10874">
              <w:rPr>
                <w:rFonts w:eastAsia="Times New Roman" w:cs="Arial"/>
                <w:b/>
                <w:bCs/>
                <w:color w:val="FEFFFF" w:themeColor="background1"/>
                <w:sz w:val="18"/>
                <w:szCs w:val="18"/>
                <w:lang w:eastAsia="zh-CN" w:bidi="th-TH"/>
              </w:rPr>
              <w:t xml:space="preserve"> five years to November 2026</w:t>
            </w:r>
          </w:p>
        </w:tc>
      </w:tr>
      <w:tr w:rsidR="00875376" w:rsidRPr="00F10874" w14:paraId="2509FC1E" w14:textId="77777777" w:rsidTr="006F4B1E">
        <w:trPr>
          <w:trHeight w:val="300"/>
        </w:trPr>
        <w:tc>
          <w:tcPr>
            <w:tcW w:w="1247"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0FA82B1E" w14:textId="77777777" w:rsidR="003D29B1" w:rsidRPr="00F10874" w:rsidRDefault="003D29B1" w:rsidP="005A6787">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2527</w:t>
            </w:r>
          </w:p>
        </w:tc>
        <w:tc>
          <w:tcPr>
            <w:tcW w:w="2268"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418AD798"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Audiologists and Speech Pathologists/Therapists</w:t>
            </w:r>
          </w:p>
        </w:tc>
        <w:tc>
          <w:tcPr>
            <w:tcW w:w="1418"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067DB6D1" w14:textId="77777777" w:rsidR="003D29B1" w:rsidRPr="00F10874" w:rsidRDefault="003D29B1" w:rsidP="005A6787">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12,300</w:t>
            </w:r>
          </w:p>
        </w:tc>
        <w:tc>
          <w:tcPr>
            <w:tcW w:w="1418"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1FDB262D" w14:textId="77777777" w:rsidR="003D29B1" w:rsidRPr="00F10874" w:rsidRDefault="003D29B1" w:rsidP="005A6787">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16,600</w:t>
            </w:r>
          </w:p>
        </w:tc>
        <w:tc>
          <w:tcPr>
            <w:tcW w:w="1361"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3554534E" w14:textId="77777777" w:rsidR="003D29B1" w:rsidRPr="00F10874" w:rsidRDefault="003D29B1" w:rsidP="005A6787">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4,300</w:t>
            </w:r>
          </w:p>
        </w:tc>
        <w:tc>
          <w:tcPr>
            <w:tcW w:w="1361" w:type="dxa"/>
            <w:tcBorders>
              <w:top w:val="single" w:sz="6"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F0CB1B2" w14:textId="77777777" w:rsidR="003D29B1" w:rsidRPr="00F10874" w:rsidRDefault="003D29B1" w:rsidP="005A6787">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34.7%</w:t>
            </w:r>
          </w:p>
        </w:tc>
      </w:tr>
      <w:tr w:rsidR="007D224D" w:rsidRPr="00F10874" w14:paraId="3F1482AB" w14:textId="77777777" w:rsidTr="006F4B1E">
        <w:trPr>
          <w:trHeight w:val="300"/>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B19C785"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2526</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7707EAC4"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Podiatrists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5C65CEA"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6,400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25E72C4A"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8,500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309ADDF6"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2,100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4042005B"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31.8%</w:t>
            </w:r>
          </w:p>
        </w:tc>
      </w:tr>
      <w:tr w:rsidR="00656496" w:rsidRPr="00F10874" w14:paraId="35E34939" w14:textId="77777777" w:rsidTr="006F4B1E">
        <w:trPr>
          <w:trHeight w:val="300"/>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10E5AB46"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2525</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55E8450A"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Physiotherapists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4AAD7BB4"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32,800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C6F97E1"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42,200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60229DBB"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9,400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2B09E6AD"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28.7%</w:t>
            </w:r>
          </w:p>
        </w:tc>
      </w:tr>
      <w:tr w:rsidR="007D224D" w:rsidRPr="00F10874" w14:paraId="185A169C" w14:textId="77777777" w:rsidTr="006F4B1E">
        <w:trPr>
          <w:trHeight w:val="300"/>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6B7CE965"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2522</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3212B1CB"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Complementary Health Therapists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123B7404"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6,300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DDE8AEF"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8,000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2D849F42"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1,800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53DE75CD"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27.9%</w:t>
            </w:r>
          </w:p>
        </w:tc>
      </w:tr>
      <w:tr w:rsidR="00656496" w:rsidRPr="00F10874" w14:paraId="7244756B" w14:textId="77777777" w:rsidTr="002919AC">
        <w:trPr>
          <w:trHeight w:val="284"/>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5322300B"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2721</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6199F9E0"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Counsellors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6B13E515"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24,400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548473E"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27,800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0E21606"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3,500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2C73D1CD"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14.2%</w:t>
            </w:r>
          </w:p>
        </w:tc>
      </w:tr>
      <w:tr w:rsidR="007D224D" w:rsidRPr="00F10874" w14:paraId="318FAB02" w14:textId="77777777" w:rsidTr="002919AC">
        <w:trPr>
          <w:trHeight w:val="284"/>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475982CE"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2723</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4FFBF945"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Psychologists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10969D24"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31,000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7D173615"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35,100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7E82B2D2"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4,100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77131168"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13.3%</w:t>
            </w:r>
          </w:p>
        </w:tc>
      </w:tr>
      <w:tr w:rsidR="00656496" w:rsidRPr="00F10874" w14:paraId="4837F1AC" w14:textId="77777777" w:rsidTr="002919AC">
        <w:trPr>
          <w:trHeight w:val="284"/>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6FA038AD"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2524</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0AB3397"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Occupational Therapists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72E713AD"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23,900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25EABC60"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25,600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39497156"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1,800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auto"/>
            <w:noWrap/>
            <w:vAlign w:val="center"/>
            <w:hideMark/>
          </w:tcPr>
          <w:p w14:paraId="518DCE80"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7.4%</w:t>
            </w:r>
          </w:p>
        </w:tc>
      </w:tr>
      <w:tr w:rsidR="007D224D" w:rsidRPr="00F10874" w14:paraId="02DF864A" w14:textId="77777777" w:rsidTr="002919AC">
        <w:trPr>
          <w:trHeight w:val="284"/>
        </w:trPr>
        <w:tc>
          <w:tcPr>
            <w:tcW w:w="124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253F1FEA" w14:textId="77777777" w:rsidR="003D29B1" w:rsidRPr="00F10874" w:rsidRDefault="003D29B1" w:rsidP="002919AC">
            <w:pPr>
              <w:spacing w:before="60" w:after="60" w:line="240" w:lineRule="auto"/>
              <w:jc w:val="center"/>
              <w:rPr>
                <w:rFonts w:eastAsia="Times New Roman" w:cs="Arial"/>
                <w:color w:val="000000"/>
                <w:sz w:val="18"/>
                <w:szCs w:val="18"/>
                <w:lang w:eastAsia="zh-CN" w:bidi="th-TH"/>
              </w:rPr>
            </w:pPr>
            <w:r w:rsidRPr="00F10874">
              <w:rPr>
                <w:rFonts w:eastAsia="Times New Roman" w:cs="Arial"/>
                <w:color w:val="000000"/>
                <w:sz w:val="18"/>
                <w:szCs w:val="18"/>
                <w:lang w:eastAsia="zh-CN" w:bidi="th-TH"/>
              </w:rPr>
              <w:t>2511</w:t>
            </w:r>
          </w:p>
        </w:tc>
        <w:tc>
          <w:tcPr>
            <w:tcW w:w="226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1B811FA" w14:textId="77777777" w:rsidR="003D29B1" w:rsidRPr="00F10874" w:rsidRDefault="003D29B1" w:rsidP="005A6787">
            <w:pPr>
              <w:spacing w:before="60" w:after="60" w:line="240" w:lineRule="auto"/>
              <w:rPr>
                <w:rFonts w:eastAsia="Times New Roman" w:cs="Arial"/>
                <w:color w:val="000000"/>
                <w:sz w:val="18"/>
                <w:szCs w:val="18"/>
                <w:lang w:eastAsia="zh-CN" w:bidi="th-TH"/>
              </w:rPr>
            </w:pPr>
            <w:r w:rsidRPr="00F10874">
              <w:rPr>
                <w:rFonts w:eastAsia="Times New Roman" w:cs="Arial"/>
                <w:color w:val="000000"/>
                <w:sz w:val="18"/>
                <w:szCs w:val="18"/>
                <w:lang w:eastAsia="zh-CN" w:bidi="th-TH"/>
              </w:rPr>
              <w:t>Nutrition Professionals</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D965F9E"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7,900</w:t>
            </w:r>
          </w:p>
        </w:tc>
        <w:tc>
          <w:tcPr>
            <w:tcW w:w="1418"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5CDEE1ED" w14:textId="77777777" w:rsidR="003D29B1" w:rsidRPr="00F10874" w:rsidRDefault="003D29B1" w:rsidP="002919AC">
            <w:pPr>
              <w:spacing w:before="60" w:after="60" w:line="240" w:lineRule="auto"/>
              <w:ind w:right="284"/>
              <w:jc w:val="right"/>
              <w:rPr>
                <w:rFonts w:eastAsia="Times New Roman" w:cs="Arial"/>
                <w:color w:val="000000"/>
                <w:sz w:val="18"/>
                <w:szCs w:val="18"/>
                <w:lang w:eastAsia="zh-CN" w:bidi="th-TH"/>
              </w:rPr>
            </w:pPr>
            <w:r w:rsidRPr="00F10874">
              <w:rPr>
                <w:rFonts w:cs="Arial"/>
                <w:sz w:val="18"/>
                <w:szCs w:val="18"/>
              </w:rPr>
              <w:t>8,500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6D8E3469" w14:textId="77777777" w:rsidR="003D29B1" w:rsidRPr="00F10874" w:rsidRDefault="003D29B1" w:rsidP="002919AC">
            <w:pPr>
              <w:spacing w:before="60" w:after="60" w:line="240" w:lineRule="auto"/>
              <w:ind w:right="321"/>
              <w:jc w:val="right"/>
              <w:rPr>
                <w:rFonts w:eastAsia="Times New Roman" w:cs="Arial"/>
                <w:color w:val="000000"/>
                <w:sz w:val="18"/>
                <w:szCs w:val="18"/>
                <w:lang w:eastAsia="zh-CN" w:bidi="th-TH"/>
              </w:rPr>
            </w:pPr>
            <w:r w:rsidRPr="00F10874">
              <w:rPr>
                <w:rFonts w:cs="Arial"/>
                <w:sz w:val="18"/>
                <w:szCs w:val="18"/>
              </w:rPr>
              <w:t>600</w:t>
            </w:r>
          </w:p>
        </w:tc>
        <w:tc>
          <w:tcPr>
            <w:tcW w:w="1361"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noWrap/>
            <w:vAlign w:val="center"/>
            <w:hideMark/>
          </w:tcPr>
          <w:p w14:paraId="037D8EE5" w14:textId="77777777" w:rsidR="003D29B1" w:rsidRPr="00F10874" w:rsidRDefault="003D29B1" w:rsidP="002919AC">
            <w:pPr>
              <w:spacing w:before="60" w:after="60" w:line="240" w:lineRule="auto"/>
              <w:ind w:right="324"/>
              <w:jc w:val="right"/>
              <w:rPr>
                <w:rFonts w:eastAsia="Times New Roman" w:cs="Arial"/>
                <w:color w:val="000000"/>
                <w:sz w:val="18"/>
                <w:szCs w:val="18"/>
                <w:lang w:eastAsia="zh-CN" w:bidi="th-TH"/>
              </w:rPr>
            </w:pPr>
            <w:r w:rsidRPr="00F10874">
              <w:rPr>
                <w:rFonts w:eastAsia="Times New Roman" w:cs="Arial"/>
                <w:color w:val="000000"/>
                <w:sz w:val="18"/>
                <w:szCs w:val="18"/>
                <w:lang w:eastAsia="zh-CN" w:bidi="th-TH"/>
              </w:rPr>
              <w:t>7.2%</w:t>
            </w:r>
          </w:p>
        </w:tc>
      </w:tr>
    </w:tbl>
    <w:p w14:paraId="542F86F8" w14:textId="2168C857" w:rsidR="003D29B1" w:rsidRDefault="341494F2" w:rsidP="00635F9C">
      <w:pPr>
        <w:spacing w:before="60" w:after="60" w:line="240" w:lineRule="atLeast"/>
        <w:rPr>
          <w:b/>
          <w:bCs/>
          <w:i/>
          <w:iCs/>
          <w:sz w:val="16"/>
          <w:szCs w:val="16"/>
        </w:rPr>
      </w:pPr>
      <w:r w:rsidRPr="24862EB2">
        <w:rPr>
          <w:b/>
          <w:bCs/>
          <w:i/>
          <w:iCs/>
          <w:sz w:val="16"/>
          <w:szCs w:val="16"/>
        </w:rPr>
        <w:t>Source: Employment Projections | National Skills Commission (now Job and Skills Australia)</w:t>
      </w:r>
      <w:r w:rsidR="00C320FE">
        <w:rPr>
          <w:rStyle w:val="FootnoteReference"/>
          <w:b/>
          <w:bCs/>
          <w:i/>
          <w:iCs/>
          <w:sz w:val="16"/>
          <w:szCs w:val="16"/>
        </w:rPr>
        <w:footnoteReference w:id="29"/>
      </w:r>
    </w:p>
    <w:p w14:paraId="60DA9FAD" w14:textId="480AAB60" w:rsidR="000A5A6E" w:rsidRPr="00E927EC" w:rsidRDefault="001D6D54" w:rsidP="00E84B97">
      <w:pPr>
        <w:rPr>
          <w:rStyle w:val="Hyperlink"/>
          <w:color w:val="auto"/>
          <w:u w:val="none"/>
        </w:rPr>
      </w:pPr>
      <w:r>
        <w:t>Th</w:t>
      </w:r>
      <w:r w:rsidR="0090400C">
        <w:t xml:space="preserve">ese </w:t>
      </w:r>
      <w:r w:rsidR="00CF681E">
        <w:t xml:space="preserve">projections highlight strong future demand </w:t>
      </w:r>
      <w:r w:rsidR="0090400C">
        <w:t xml:space="preserve">for therapists </w:t>
      </w:r>
      <w:r w:rsidR="00C3447C">
        <w:t>in Australia</w:t>
      </w:r>
      <w:r w:rsidR="0090400C">
        <w:t xml:space="preserve">, with the NDIS </w:t>
      </w:r>
      <w:r w:rsidR="001D3D71">
        <w:t xml:space="preserve">being </w:t>
      </w:r>
      <w:r w:rsidR="00C3447C">
        <w:t xml:space="preserve">one of the </w:t>
      </w:r>
      <w:r w:rsidR="0090400C">
        <w:t>contributor</w:t>
      </w:r>
      <w:r w:rsidR="003A2FDF">
        <w:t>s</w:t>
      </w:r>
      <w:r w:rsidR="0090400C">
        <w:t xml:space="preserve"> to this demand. </w:t>
      </w:r>
    </w:p>
    <w:p w14:paraId="5283549B" w14:textId="218CA18E" w:rsidR="00AF690F" w:rsidRPr="00310389" w:rsidRDefault="00AF690F" w:rsidP="00D9646F">
      <w:pPr>
        <w:pStyle w:val="Heading3"/>
      </w:pPr>
      <w:r w:rsidRPr="00310389">
        <w:lastRenderedPageBreak/>
        <w:t>5.4</w:t>
      </w:r>
      <w:r w:rsidRPr="00310389">
        <w:tab/>
        <w:t>Business Dynamism</w:t>
      </w:r>
    </w:p>
    <w:p w14:paraId="29A18801" w14:textId="15F426DB" w:rsidR="0075259B" w:rsidRDefault="0075259B" w:rsidP="0075259B">
      <w:pPr>
        <w:rPr>
          <w:rFonts w:eastAsia="Arial" w:cs="Arial"/>
        </w:rPr>
      </w:pPr>
      <w:r>
        <w:rPr>
          <w:rFonts w:eastAsia="Arial" w:cs="Arial"/>
        </w:rPr>
        <w:t>T</w:t>
      </w:r>
      <w:r w:rsidRPr="000E68FA">
        <w:rPr>
          <w:rFonts w:eastAsia="Arial" w:cs="Arial"/>
        </w:rPr>
        <w:t xml:space="preserve">o supplement </w:t>
      </w:r>
      <w:r>
        <w:rPr>
          <w:rFonts w:eastAsia="Arial" w:cs="Arial"/>
        </w:rPr>
        <w:t>the Scheme statistics</w:t>
      </w:r>
      <w:r w:rsidRPr="000E68FA">
        <w:rPr>
          <w:rFonts w:eastAsia="Arial" w:cs="Arial"/>
        </w:rPr>
        <w:t xml:space="preserve">, </w:t>
      </w:r>
      <w:r w:rsidRPr="007C18ED">
        <w:rPr>
          <w:rFonts w:eastAsia="Arial" w:cs="Arial"/>
        </w:rPr>
        <w:t>the NDIA has</w:t>
      </w:r>
      <w:r w:rsidRPr="000E68FA">
        <w:rPr>
          <w:rFonts w:eastAsia="Arial" w:cs="Arial"/>
        </w:rPr>
        <w:t xml:space="preserve"> analysed registered provider payment activity</w:t>
      </w:r>
      <w:r w:rsidRPr="007C18ED">
        <w:rPr>
          <w:rFonts w:eastAsia="Arial" w:cs="Arial"/>
        </w:rPr>
        <w:t>. That is,</w:t>
      </w:r>
      <w:r w:rsidRPr="000E68FA">
        <w:rPr>
          <w:rFonts w:eastAsia="Arial" w:cs="Arial"/>
        </w:rPr>
        <w:t xml:space="preserve"> payments made </w:t>
      </w:r>
      <w:r>
        <w:rPr>
          <w:rFonts w:eastAsia="Arial" w:cs="Arial"/>
        </w:rPr>
        <w:t>against</w:t>
      </w:r>
      <w:r w:rsidRPr="000E68FA">
        <w:rPr>
          <w:rFonts w:eastAsia="Arial" w:cs="Arial"/>
        </w:rPr>
        <w:t xml:space="preserve"> Agency and Plan Managed plans </w:t>
      </w:r>
      <w:proofErr w:type="gramStart"/>
      <w:r w:rsidRPr="000E68FA">
        <w:rPr>
          <w:rFonts w:eastAsia="Arial" w:cs="Arial"/>
        </w:rPr>
        <w:t>are considered to be</w:t>
      </w:r>
      <w:proofErr w:type="gramEnd"/>
      <w:r w:rsidRPr="000E68FA">
        <w:rPr>
          <w:rFonts w:eastAsia="Arial" w:cs="Arial"/>
        </w:rPr>
        <w:t xml:space="preserve"> made by registered providers</w:t>
      </w:r>
      <w:r w:rsidRPr="007C18ED">
        <w:rPr>
          <w:rFonts w:eastAsia="Arial" w:cs="Arial"/>
        </w:rPr>
        <w:t>.  </w:t>
      </w:r>
    </w:p>
    <w:p w14:paraId="23B151D0" w14:textId="11E7D5B3" w:rsidR="00E73F2C" w:rsidRPr="00977D04" w:rsidRDefault="006B3966" w:rsidP="00E73F2C">
      <w:r>
        <w:fldChar w:fldCharType="begin"/>
      </w:r>
      <w:r>
        <w:instrText xml:space="preserve"> REF _Ref135243650 \h </w:instrText>
      </w:r>
      <w:r w:rsidR="009509BC">
        <w:instrText xml:space="preserve"> \* MERGEFORMAT </w:instrText>
      </w:r>
      <w:r>
        <w:fldChar w:fldCharType="separate"/>
      </w:r>
      <w:r w:rsidR="00D64E4C">
        <w:t>Figure 17</w:t>
      </w:r>
      <w:r>
        <w:fldChar w:fldCharType="end"/>
      </w:r>
      <w:r>
        <w:t xml:space="preserve"> </w:t>
      </w:r>
      <w:r w:rsidR="00E73F2C">
        <w:t xml:space="preserve">shows the number of registered Therapy providers with the payments between </w:t>
      </w:r>
      <w:r w:rsidR="00E73F2C">
        <w:t>Ju</w:t>
      </w:r>
      <w:r w:rsidR="007C2A14">
        <w:t>ly</w:t>
      </w:r>
      <w:r w:rsidR="00E73F2C">
        <w:t xml:space="preserve"> 2020 and December 2022, split by the number of half-year periods in which each provider received a payment. Half-years are defined as the six-month time intervals from January to June and July to December. As seen in</w:t>
      </w:r>
      <w:r>
        <w:t xml:space="preserve"> </w:t>
      </w:r>
      <w:r>
        <w:fldChar w:fldCharType="begin"/>
      </w:r>
      <w:r>
        <w:instrText xml:space="preserve"> REF _Ref135243650 \h </w:instrText>
      </w:r>
      <w:r w:rsidR="009509BC">
        <w:instrText xml:space="preserve"> \* MERGEFORMAT </w:instrText>
      </w:r>
      <w:r>
        <w:fldChar w:fldCharType="separate"/>
      </w:r>
      <w:r w:rsidR="00D64E4C">
        <w:t>Figure 17</w:t>
      </w:r>
      <w:r>
        <w:fldChar w:fldCharType="end"/>
      </w:r>
      <w:r w:rsidR="00412E28">
        <w:t xml:space="preserve"> below</w:t>
      </w:r>
      <w:r w:rsidR="00E73F2C">
        <w:t xml:space="preserve">, 5,219 out of 12,112 (43%) registered providers have </w:t>
      </w:r>
      <w:r w:rsidR="00412E28">
        <w:t xml:space="preserve">received </w:t>
      </w:r>
      <w:r w:rsidR="00E73F2C">
        <w:t>payments in all five half-years between Ju</w:t>
      </w:r>
      <w:r w:rsidR="006C167D">
        <w:t>ly</w:t>
      </w:r>
      <w:r w:rsidR="00E73F2C">
        <w:t xml:space="preserve"> </w:t>
      </w:r>
      <w:r w:rsidR="00E73F2C">
        <w:t xml:space="preserve">2020 and December 2022. These providers account for 92% of the total payments across the two-and-a-half-year period. </w:t>
      </w:r>
    </w:p>
    <w:p w14:paraId="605EEC47" w14:textId="00E04308" w:rsidR="00856ACF" w:rsidRDefault="00856ACF" w:rsidP="00A8258A">
      <w:pPr>
        <w:pStyle w:val="Caption"/>
        <w:jc w:val="left"/>
      </w:pPr>
      <w:bookmarkStart w:id="94" w:name="_Ref135243650"/>
      <w:r>
        <w:t xml:space="preserve">Figure </w:t>
      </w:r>
      <w:fldSimple w:instr=" SEQ Figure \* ARABIC ">
        <w:r w:rsidR="00D64E4C">
          <w:rPr>
            <w:noProof/>
          </w:rPr>
          <w:t>17</w:t>
        </w:r>
      </w:fldSimple>
      <w:bookmarkEnd w:id="94"/>
      <w:r>
        <w:t xml:space="preserve">: </w:t>
      </w:r>
      <w:r w:rsidRPr="00626817">
        <w:t>registered therapy provider half-yearly payments histogram, june 2020 – december 2022</w:t>
      </w:r>
    </w:p>
    <w:p w14:paraId="5D8DB13D" w14:textId="77777777" w:rsidR="00E73F2C" w:rsidRDefault="00E73F2C" w:rsidP="00E73F2C">
      <w:r>
        <w:rPr>
          <w:noProof/>
        </w:rPr>
        <w:drawing>
          <wp:inline distT="0" distB="0" distL="0" distR="0" wp14:anchorId="06D3B8BA" wp14:editId="067BB7E8">
            <wp:extent cx="5540483" cy="2520000"/>
            <wp:effectExtent l="0" t="0" r="3175" b="0"/>
            <wp:docPr id="2040460810" name="Picture 2040460810" descr="FIGURE 17: REGISTERED THERAPY PROVIDER HALF-YEARLY PAYMENTS HISTOGRAM, JUNE 2020 – DECEMBER 2022&#10;&#10;A chart displaying the number of providers claiming in a number of half year periods between June 2020 to December 2022. There was over 5,000 providers who claimed within each half year period and comprised of 92% of total payments. Those who claimed in 3 and 4 half year periods respectively claimed the next two highest total amounts, with the least amount of providers in these categories relative to other categories but still over 1,000 providers in each.&#10;&#10;Although just under 2,500 providers only claimed in one half year period, these only made up a very small proportion of total payment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0810" name="Picture 2040460810" descr="FIGURE 17: REGISTERED THERAPY PROVIDER HALF-YEARLY PAYMENTS HISTOGRAM, JUNE 2020 – DECEMBER 2022&#10;&#10;A chart displaying the number of providers claiming in a number of half year periods between June 2020 to December 2022. There was over 5,000 providers who claimed within each half year period and comprised of 92% of total payments. Those who claimed in 3 and 4 half year periods respectively claimed the next two highest total amounts, with the least amount of providers in these categories relative to other categories but still over 1,000 providers in each.&#10;&#10;Although just under 2,500 providers only claimed in one half year period, these only made up a very small proportion of total payments mad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0483" cy="2520000"/>
                    </a:xfrm>
                    <a:prstGeom prst="rect">
                      <a:avLst/>
                    </a:prstGeom>
                    <a:noFill/>
                  </pic:spPr>
                </pic:pic>
              </a:graphicData>
            </a:graphic>
          </wp:inline>
        </w:drawing>
      </w:r>
    </w:p>
    <w:p w14:paraId="5E327FC8" w14:textId="70AFAEC6" w:rsidR="00FA4894" w:rsidRPr="009509BC" w:rsidRDefault="00D002BF" w:rsidP="00FA4894">
      <w:r>
        <w:t>T</w:t>
      </w:r>
      <w:r w:rsidR="00CD4CC7" w:rsidRPr="009509BC">
        <w:t xml:space="preserve">o further assess the </w:t>
      </w:r>
      <w:r w:rsidR="00F90A4F">
        <w:t>current state</w:t>
      </w:r>
      <w:r w:rsidR="00CD4CC7" w:rsidRPr="009509BC">
        <w:t xml:space="preserve"> of the provider market, </w:t>
      </w:r>
      <w:r w:rsidR="00CD4CC7">
        <w:t xml:space="preserve">payment activities of </w:t>
      </w:r>
      <w:r w:rsidR="00CD4CC7" w:rsidRPr="009509BC">
        <w:t>registered providers across the two-year period from January 2021 to December 2022</w:t>
      </w:r>
      <w:r w:rsidR="00CD4CC7">
        <w:t xml:space="preserve"> were analysed</w:t>
      </w:r>
      <w:r w:rsidR="00CD4CC7" w:rsidRPr="009509BC">
        <w:t xml:space="preserve">. </w:t>
      </w:r>
      <w:r w:rsidR="00FA4894">
        <w:t>Providers</w:t>
      </w:r>
      <w:r w:rsidR="00FA4894" w:rsidRPr="009509BC">
        <w:t xml:space="preserve"> with </w:t>
      </w:r>
      <w:r w:rsidR="00FA4894" w:rsidRPr="00917286">
        <w:t>New Activity</w:t>
      </w:r>
      <w:r w:rsidR="00FA4894" w:rsidRPr="009509BC">
        <w:t xml:space="preserve"> in a half-year are defined as providers with payments who did not have payments in the prior half-year. Similarly, </w:t>
      </w:r>
      <w:r w:rsidR="00FA4894" w:rsidRPr="00917286">
        <w:t xml:space="preserve">Inactivity </w:t>
      </w:r>
      <w:r w:rsidR="00FA4894" w:rsidRPr="009509BC">
        <w:t xml:space="preserve">in the half-year is defined as providers without a payment who had payments in the prior half-year. Activity for each provider is expressed as a percentage of the total payments for that half-year (for </w:t>
      </w:r>
      <w:r w:rsidR="00FA4894" w:rsidRPr="00917286">
        <w:t>New Activity</w:t>
      </w:r>
      <w:r w:rsidR="00FA4894" w:rsidRPr="009509BC">
        <w:t xml:space="preserve">) or prior half-year (for </w:t>
      </w:r>
      <w:r w:rsidR="00FA4894" w:rsidRPr="00917286">
        <w:t>Inactivity</w:t>
      </w:r>
      <w:r w:rsidR="00FA4894" w:rsidRPr="009509BC">
        <w:t xml:space="preserve">). </w:t>
      </w:r>
      <w:r w:rsidR="00FA4894">
        <w:t xml:space="preserve">The NDIA acknowledges that this is not a perfect measure of market exits but the closest approximation given </w:t>
      </w:r>
      <w:r w:rsidR="00F90A4F">
        <w:t>available data</w:t>
      </w:r>
      <w:r w:rsidR="00FA4894" w:rsidRPr="009509BC">
        <w:t>.</w:t>
      </w:r>
    </w:p>
    <w:p w14:paraId="3B1CF7EF" w14:textId="40D39C22" w:rsidR="00E73F2C" w:rsidRPr="009509BC" w:rsidRDefault="00915B89" w:rsidP="00D0250D">
      <w:r>
        <w:t xml:space="preserve">Results </w:t>
      </w:r>
      <w:r w:rsidR="008F3E52">
        <w:t>suggest</w:t>
      </w:r>
      <w:r w:rsidR="00874555">
        <w:t xml:space="preserve"> that over </w:t>
      </w:r>
      <w:r w:rsidR="0079285C">
        <w:t xml:space="preserve">the past two years, </w:t>
      </w:r>
      <w:r w:rsidR="00E73F2C">
        <w:t xml:space="preserve">inactive </w:t>
      </w:r>
      <w:r w:rsidR="00B177ED">
        <w:t xml:space="preserve">registered </w:t>
      </w:r>
      <w:r w:rsidR="00E73F2C">
        <w:t>providers in each half-year contributed to less than 0.</w:t>
      </w:r>
      <w:r w:rsidR="00276C2F">
        <w:t>7</w:t>
      </w:r>
      <w:r w:rsidR="00E73F2C">
        <w:t xml:space="preserve">% of total payments. In contrast, </w:t>
      </w:r>
      <w:r w:rsidR="00B177ED">
        <w:t xml:space="preserve">registered </w:t>
      </w:r>
      <w:r w:rsidR="00E73F2C">
        <w:t>providers with new activity in a half-year have contributed between 1.4% and 1.9% of total payments for that same period.</w:t>
      </w:r>
    </w:p>
    <w:p w14:paraId="00109496" w14:textId="79A9ABFB" w:rsidR="00856ACF" w:rsidRDefault="00856ACF" w:rsidP="00A8258A">
      <w:pPr>
        <w:pStyle w:val="Caption"/>
        <w:jc w:val="left"/>
      </w:pPr>
      <w:bookmarkStart w:id="95" w:name="_Ref135243687"/>
      <w:r>
        <w:lastRenderedPageBreak/>
        <w:t xml:space="preserve">Figure </w:t>
      </w:r>
      <w:fldSimple w:instr=" SEQ Figure \* ARABIC ">
        <w:r w:rsidR="00D64E4C">
          <w:rPr>
            <w:noProof/>
          </w:rPr>
          <w:t>18</w:t>
        </w:r>
      </w:fldSimple>
      <w:bookmarkEnd w:id="95"/>
      <w:r>
        <w:t xml:space="preserve">: </w:t>
      </w:r>
      <w:r w:rsidRPr="00880631">
        <w:t>therapy REGISTERED PROVIDER activity MOVEMENTS, january 2021 – DECEMBER 2022</w:t>
      </w:r>
    </w:p>
    <w:p w14:paraId="1583148B" w14:textId="77777777" w:rsidR="00E73F2C" w:rsidRDefault="00E73F2C" w:rsidP="00E73F2C">
      <w:r>
        <w:rPr>
          <w:noProof/>
        </w:rPr>
        <w:drawing>
          <wp:inline distT="0" distB="0" distL="0" distR="0" wp14:anchorId="71BA1CA4" wp14:editId="2CCA215B">
            <wp:extent cx="5395595" cy="2524125"/>
            <wp:effectExtent l="0" t="0" r="0" b="9525"/>
            <wp:docPr id="2040460811" name="Picture 2040460811" descr="FIGURE 18: THERAPY REGISTERED PROVIDER ACTIVITY MOVEMENTS, JANUARY 2021 – DECEMBER 2022&#10;&#10;January to June 2021 - new active providers made 1.9% of payments as a percent of total half year payments. For inactivity, 0.4% of payments as a percentage of prior total half year payments.&#10;&#10;July to December 2021 - new active providers made 1.4% of payments as a percent of total half year payments. For inactivity, 0.5% of payments as a percentage of prior total half year payments.&#10;&#10;January to June 2022 - new active providers made 1.4% of payments as a percent of total half year payments. For inactivity, 0.7% of payments as a percentage of prior total half year payments.&#10;&#10;July to December 2022 - new active providers made 1.7% of payments as a percent of total half year payments. For inactivity, 0.5% of payments as a percentage of prior total half year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0811" name="Picture 2040460811" descr="FIGURE 18: THERAPY REGISTERED PROVIDER ACTIVITY MOVEMENTS, JANUARY 2021 – DECEMBER 2022&#10;&#10;January to June 2021 - new active providers made 1.9% of payments as a percent of total half year payments. For inactivity, 0.4% of payments as a percentage of prior total half year payments.&#10;&#10;July to December 2021 - new active providers made 1.4% of payments as a percent of total half year payments. For inactivity, 0.5% of payments as a percentage of prior total half year payments.&#10;&#10;January to June 2022 - new active providers made 1.4% of payments as a percent of total half year payments. For inactivity, 0.7% of payments as a percentage of prior total half year payments.&#10;&#10;July to December 2022 - new active providers made 1.7% of payments as a percent of total half year payments. For inactivity, 0.5% of payments as a percentage of prior total half year paymen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5595" cy="2524125"/>
                    </a:xfrm>
                    <a:prstGeom prst="rect">
                      <a:avLst/>
                    </a:prstGeom>
                    <a:noFill/>
                  </pic:spPr>
                </pic:pic>
              </a:graphicData>
            </a:graphic>
          </wp:inline>
        </w:drawing>
      </w:r>
    </w:p>
    <w:p w14:paraId="35461576" w14:textId="637D97E1" w:rsidR="00436737" w:rsidRPr="00E927EC" w:rsidRDefault="009F6F9F" w:rsidP="00E84B97">
      <w:pPr>
        <w:rPr>
          <w:rStyle w:val="Hyperlink"/>
          <w:color w:val="auto"/>
          <w:u w:val="none"/>
        </w:rPr>
      </w:pPr>
      <w:r>
        <w:t xml:space="preserve">Further analyses </w:t>
      </w:r>
      <w:r w:rsidR="002247B2">
        <w:t xml:space="preserve">indicate </w:t>
      </w:r>
      <w:r w:rsidR="00B835F2">
        <w:t xml:space="preserve">that on average, </w:t>
      </w:r>
      <w:r>
        <w:t xml:space="preserve">inactive </w:t>
      </w:r>
      <w:r w:rsidR="007854FA">
        <w:t xml:space="preserve">registered </w:t>
      </w:r>
      <w:r>
        <w:t xml:space="preserve">providers received </w:t>
      </w:r>
      <w:r w:rsidR="00DD1DA4">
        <w:t xml:space="preserve">$4,234 </w:t>
      </w:r>
      <w:r>
        <w:t xml:space="preserve">in payments in the half-year prior to becoming </w:t>
      </w:r>
      <w:r w:rsidRPr="00F769A5">
        <w:t xml:space="preserve">inactive, with </w:t>
      </w:r>
      <w:r>
        <w:t>84</w:t>
      </w:r>
      <w:r w:rsidRPr="00F769A5">
        <w:t xml:space="preserve">% of </w:t>
      </w:r>
      <w:r w:rsidR="00DD1DA4">
        <w:t xml:space="preserve">registered </w:t>
      </w:r>
      <w:r w:rsidRPr="00F769A5">
        <w:t>providers receiving less than $5,000 in the half-year prior to becoming inactive. In contrast</w:t>
      </w:r>
      <w:r>
        <w:t xml:space="preserve">, active </w:t>
      </w:r>
      <w:r w:rsidR="00DD1DA4">
        <w:t xml:space="preserve">registered </w:t>
      </w:r>
      <w:r>
        <w:t xml:space="preserve">providers received on average </w:t>
      </w:r>
      <w:r w:rsidR="00D204C3">
        <w:t xml:space="preserve">$107,199 </w:t>
      </w:r>
      <w:r>
        <w:t xml:space="preserve">of payments in each half-year period, highlighting that inactive </w:t>
      </w:r>
      <w:r w:rsidR="00D204C3">
        <w:t xml:space="preserve">registered </w:t>
      </w:r>
      <w:r>
        <w:t xml:space="preserve">providers have been claiming lesser amounts on average relative to new and existing </w:t>
      </w:r>
      <w:r w:rsidR="00D204C3">
        <w:t xml:space="preserve">registered </w:t>
      </w:r>
      <w:r>
        <w:t>providers.</w:t>
      </w:r>
    </w:p>
    <w:p w14:paraId="4CD42483" w14:textId="4C87118F" w:rsidR="00E84B62" w:rsidRPr="004A3BF3" w:rsidRDefault="00E84B62" w:rsidP="00D9646F">
      <w:pPr>
        <w:pStyle w:val="Heading3"/>
      </w:pPr>
      <w:r w:rsidRPr="004A3BF3">
        <w:t>5.5</w:t>
      </w:r>
      <w:r w:rsidRPr="004A3BF3">
        <w:tab/>
        <w:t xml:space="preserve">Comparable Government </w:t>
      </w:r>
      <w:r w:rsidR="00D55E76">
        <w:t xml:space="preserve">Insurance </w:t>
      </w:r>
      <w:r w:rsidRPr="004A3BF3">
        <w:t>and Funding Schemes</w:t>
      </w:r>
    </w:p>
    <w:p w14:paraId="5D68761A" w14:textId="70ECF085" w:rsidR="00BF3B14" w:rsidRDefault="05735297" w:rsidP="00BF3B14">
      <w:r>
        <w:t xml:space="preserve">The </w:t>
      </w:r>
      <w:r w:rsidR="1CD0C4EC">
        <w:t xml:space="preserve">NDIA conducted a </w:t>
      </w:r>
      <w:r>
        <w:t xml:space="preserve">comparison of therapy price limits </w:t>
      </w:r>
      <w:r w:rsidR="1CD0C4EC">
        <w:t xml:space="preserve">and arrangements </w:t>
      </w:r>
      <w:r>
        <w:t>across</w:t>
      </w:r>
      <w:r w:rsidR="00AA6F19">
        <w:t xml:space="preserve"> other comparable</w:t>
      </w:r>
      <w:r>
        <w:t xml:space="preserve"> public schemes</w:t>
      </w:r>
      <w:r w:rsidR="1CD0C4EC">
        <w:t xml:space="preserve">. This </w:t>
      </w:r>
      <w:r>
        <w:t xml:space="preserve">is based on the NDIA’s calculations using information published by other schemes as </w:t>
      </w:r>
      <w:r w:rsidR="003618D3">
        <w:t>of</w:t>
      </w:r>
      <w:r>
        <w:t xml:space="preserve"> 31 March 2023; and additional information obtained directly through engagement with other schemes. The NDIA has engaged with sixteen Commonwealth and State Schemes to obtain their therapy pricing as comparison to NDIS limits. </w:t>
      </w:r>
    </w:p>
    <w:p w14:paraId="108A6D79" w14:textId="55F3F62A" w:rsidR="00723FC9" w:rsidRPr="00723FC9" w:rsidRDefault="02367395" w:rsidP="00723FC9">
      <w:r w:rsidRPr="00904CC9">
        <w:t xml:space="preserve">The main </w:t>
      </w:r>
      <w:r w:rsidR="003B2B41" w:rsidRPr="003B2B41">
        <w:t>Medicare Benefits Schedule</w:t>
      </w:r>
      <w:r w:rsidR="00FD7156">
        <w:t xml:space="preserve"> (</w:t>
      </w:r>
      <w:r w:rsidRPr="00904CC9">
        <w:t>MBS</w:t>
      </w:r>
      <w:r w:rsidR="00FD7156">
        <w:t>)</w:t>
      </w:r>
      <w:r w:rsidRPr="00904CC9">
        <w:t xml:space="preserve"> items for allied health have a scheduled fee of $</w:t>
      </w:r>
      <w:r w:rsidR="00BF3B14" w:rsidRPr="00904CC9">
        <w:t>65.85</w:t>
      </w:r>
      <w:r w:rsidRPr="00904CC9">
        <w:t xml:space="preserve"> per 20 minutes</w:t>
      </w:r>
      <w:r>
        <w:t xml:space="preserve"> session. This equates to an effective hourly rate of $</w:t>
      </w:r>
      <w:r w:rsidR="00BF3B14">
        <w:t>197.55</w:t>
      </w:r>
      <w:r>
        <w:t xml:space="preserve"> which is </w:t>
      </w:r>
      <w:r w:rsidR="00BF3B14">
        <w:t xml:space="preserve">slightly higher than </w:t>
      </w:r>
      <w:r>
        <w:t xml:space="preserve">the NDIS hourly price limit. Note, the Commonwealth funding (MBS benefit) for the hour is </w:t>
      </w:r>
      <w:r w:rsidRPr="006F4B1E">
        <w:t>$</w:t>
      </w:r>
      <w:r w:rsidR="00BF3B14" w:rsidRPr="006F4B1E">
        <w:t>167.92</w:t>
      </w:r>
      <w:r w:rsidRPr="006F4B1E">
        <w:t>, but co-payments are common in the MBS and the scheduled fee is a better estimate of the total</w:t>
      </w:r>
      <w:r>
        <w:t xml:space="preserve"> cost of the support – or at least of the Australian Government’s public position on the appropriate cost of the support.</w:t>
      </w:r>
    </w:p>
    <w:p w14:paraId="0D94986B" w14:textId="7C1C0DF9" w:rsidR="004040BB" w:rsidRPr="00C537C8" w:rsidRDefault="47A0AD83" w:rsidP="004040BB">
      <w:r>
        <w:t xml:space="preserve">To calculate the effective hourly price limit, NDIA </w:t>
      </w:r>
      <w:r w:rsidR="00122EDF">
        <w:t xml:space="preserve">sought </w:t>
      </w:r>
      <w:r>
        <w:t xml:space="preserve">information about the regulated length of therapy sessions (for example, the NDIS’ price limits for therapy are per hour). Where this was not already available, this information </w:t>
      </w:r>
      <w:r w:rsidR="004F6ED5">
        <w:t xml:space="preserve">was requested directly </w:t>
      </w:r>
      <w:r>
        <w:t xml:space="preserve">from other schemes. For comparability, the NDIA </w:t>
      </w:r>
      <w:bookmarkStart w:id="96" w:name="_Int_Ev22jQ09"/>
      <w:r>
        <w:t>generally used</w:t>
      </w:r>
      <w:bookmarkEnd w:id="96"/>
      <w:r>
        <w:t xml:space="preserve"> standard or subsequent consultations where possible whilst noting many Schemes have differentiated items and/or pricing for initial consultations and standard/extended consultations.</w:t>
      </w:r>
    </w:p>
    <w:p w14:paraId="621E21EA" w14:textId="28F63ED2" w:rsidR="00865CA8" w:rsidRPr="00C537C8" w:rsidDel="006E2809" w:rsidRDefault="004040BB" w:rsidP="00865CA8">
      <w:r>
        <w:t>The NDIA were able to calculate the</w:t>
      </w:r>
      <w:r w:rsidR="002B0448">
        <w:t xml:space="preserve"> </w:t>
      </w:r>
      <w:r>
        <w:t xml:space="preserve">effective hourly price where the length of a session was provided as a required length (for example, price per 20 minutes); as a required minimum length (for example, price for at least 20 minutes); or as an average session time expected based on the observed length of sessions. </w:t>
      </w:r>
      <w:r w:rsidR="00865CA8" w:rsidDel="006E2809">
        <w:t xml:space="preserve">In all other cases, the NDIA were unable to </w:t>
      </w:r>
      <w:r w:rsidR="00865CA8" w:rsidDel="006E2809">
        <w:lastRenderedPageBreak/>
        <w:t>calculate the effective hourly price</w:t>
      </w:r>
      <w:r w:rsidR="00865CA8">
        <w:t xml:space="preserve">, and not able to directly compare these prices, so these do not appear in </w:t>
      </w:r>
      <w:r w:rsidR="003130F7">
        <w:fldChar w:fldCharType="begin"/>
      </w:r>
      <w:r w:rsidR="003130F7">
        <w:instrText xml:space="preserve"> REF _Ref134303285 \h </w:instrText>
      </w:r>
      <w:r w:rsidR="003130F7">
        <w:fldChar w:fldCharType="separate"/>
      </w:r>
      <w:r w:rsidR="00D64E4C">
        <w:t xml:space="preserve">Figure </w:t>
      </w:r>
      <w:r w:rsidR="00D64E4C">
        <w:rPr>
          <w:noProof/>
        </w:rPr>
        <w:t>19</w:t>
      </w:r>
      <w:r w:rsidR="003130F7">
        <w:fldChar w:fldCharType="end"/>
      </w:r>
      <w:r w:rsidR="00865CA8">
        <w:t xml:space="preserve"> below</w:t>
      </w:r>
      <w:r w:rsidR="00865CA8" w:rsidDel="006E2809">
        <w:t xml:space="preserve">. </w:t>
      </w:r>
    </w:p>
    <w:p w14:paraId="471EC839" w14:textId="2C37C8D7" w:rsidR="001C2D9D" w:rsidRDefault="001C2D9D" w:rsidP="001C2D9D">
      <w:r>
        <w:t xml:space="preserve">Overall, NDIS prices are in line for most types of therapies. </w:t>
      </w:r>
      <w:r w:rsidRPr="00723FC9">
        <w:t xml:space="preserve">As </w:t>
      </w:r>
      <w:r>
        <w:fldChar w:fldCharType="begin"/>
      </w:r>
      <w:r>
        <w:instrText>REF _Ref134303285</w:instrText>
      </w:r>
      <w:r>
        <w:fldChar w:fldCharType="separate"/>
      </w:r>
      <w:r w:rsidR="00D64E4C">
        <w:t xml:space="preserve">Figure </w:t>
      </w:r>
      <w:r w:rsidR="00D64E4C">
        <w:rPr>
          <w:noProof/>
        </w:rPr>
        <w:t>19</w:t>
      </w:r>
      <w:r>
        <w:fldChar w:fldCharType="end"/>
      </w:r>
      <w:r>
        <w:t xml:space="preserve"> </w:t>
      </w:r>
      <w:r w:rsidRPr="00723FC9">
        <w:t xml:space="preserve">illustrates, the current NDIS price limits are broadly consistent with the effective hourly rates paid by other schemes, once proper account is taken of duration of service, co-payments and provisions for travel and consumables. </w:t>
      </w:r>
    </w:p>
    <w:p w14:paraId="02F41DDC" w14:textId="5ADF0C9C" w:rsidR="001C2D9D" w:rsidRDefault="001C2D9D" w:rsidP="001C2D9D">
      <w:r>
        <w:t>However, results this year indicate that many types of therapies have been indexed by other schemes over the past year. This appears to have put NDIS into the middle/lower range for some therapies offered by Professionals, such as Counsellors, Occupational Therapists and Rehabilitation Counsellors.</w:t>
      </w:r>
    </w:p>
    <w:p w14:paraId="618F4A73" w14:textId="7FA80816" w:rsidR="006F4B1E" w:rsidRDefault="006F4B1E" w:rsidP="006F4B1E">
      <w:pPr>
        <w:pStyle w:val="Caption"/>
        <w:jc w:val="left"/>
      </w:pPr>
      <w:bookmarkStart w:id="97" w:name="_Ref134303285"/>
      <w:r>
        <w:t xml:space="preserve">Figure </w:t>
      </w:r>
      <w:r>
        <w:fldChar w:fldCharType="begin"/>
      </w:r>
      <w:r>
        <w:instrText>SEQ Figure \* ARABIC</w:instrText>
      </w:r>
      <w:r>
        <w:fldChar w:fldCharType="separate"/>
      </w:r>
      <w:r w:rsidR="00D64E4C">
        <w:rPr>
          <w:noProof/>
        </w:rPr>
        <w:t>19</w:t>
      </w:r>
      <w:r>
        <w:fldChar w:fldCharType="end"/>
      </w:r>
      <w:bookmarkEnd w:id="97"/>
      <w:r>
        <w:t xml:space="preserve">: </w:t>
      </w:r>
      <w:r w:rsidRPr="00B8329E">
        <w:t>OTHER SCHEME PRICING COMPARED TO NDIS, 2022-23</w:t>
      </w:r>
    </w:p>
    <w:p w14:paraId="4F6B2242" w14:textId="77777777" w:rsidR="00BF3B14" w:rsidRDefault="00BF3B14" w:rsidP="00BF3B14">
      <w:r w:rsidRPr="002D5EB0">
        <w:rPr>
          <w:noProof/>
        </w:rPr>
        <w:drawing>
          <wp:inline distT="0" distB="0" distL="0" distR="0" wp14:anchorId="0FD11B0E" wp14:editId="640799C3">
            <wp:extent cx="5759231" cy="3075305"/>
            <wp:effectExtent l="0" t="0" r="0" b="0"/>
            <wp:docPr id="15" name="Picture 15" descr="Other Scheme Pricing compared to NDIS 2022-23&#10;&#10;Across the majority of therapies, NDIS rates sits around the middle range when considering the comparable hourly rate of schemes.&#10;&#10;The NDIS rates are sitting on the lower end of the ranges for the following Professions: Counsellors, Rehabilitation Counsellors and Psychologists - all of whom may use similar skilled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ther Scheme Pricing compared to NDIS 2022-23&#10;&#10;Across the majority of therapies, NDIS rates sits around the middle range when considering the comparable hourly rate of schemes.&#10;&#10;The NDIS rates are sitting on the lower end of the ranges for the following Professions: Counsellors, Rehabilitation Counsellors and Psychologists - all of whom may use similar skilled Professional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5408" cy="3078604"/>
                    </a:xfrm>
                    <a:prstGeom prst="rect">
                      <a:avLst/>
                    </a:prstGeom>
                    <a:noFill/>
                    <a:ln>
                      <a:noFill/>
                    </a:ln>
                  </pic:spPr>
                </pic:pic>
              </a:graphicData>
            </a:graphic>
          </wp:inline>
        </w:drawing>
      </w:r>
    </w:p>
    <w:p w14:paraId="400F9ECD" w14:textId="3DFE0698" w:rsidR="00EF266E" w:rsidRPr="00E927EC" w:rsidRDefault="00D46BE8" w:rsidP="6D9B8DF4">
      <w:pPr>
        <w:rPr>
          <w:b/>
          <w:i/>
          <w:sz w:val="16"/>
          <w:szCs w:val="16"/>
        </w:rPr>
      </w:pPr>
      <w:r w:rsidRPr="009C0AF6">
        <w:rPr>
          <w:b/>
          <w:i/>
          <w:sz w:val="16"/>
          <w:szCs w:val="16"/>
        </w:rPr>
        <w:t>Source: Data from other schemes with NDI</w:t>
      </w:r>
      <w:r w:rsidR="00F41902" w:rsidRPr="009C0AF6">
        <w:rPr>
          <w:b/>
          <w:i/>
          <w:sz w:val="16"/>
          <w:szCs w:val="16"/>
        </w:rPr>
        <w:t>A</w:t>
      </w:r>
      <w:r w:rsidRPr="009C0AF6">
        <w:rPr>
          <w:b/>
          <w:i/>
          <w:sz w:val="16"/>
          <w:szCs w:val="16"/>
        </w:rPr>
        <w:t xml:space="preserve"> internal calculations</w:t>
      </w:r>
    </w:p>
    <w:p w14:paraId="49604EA7" w14:textId="1D41CD86" w:rsidR="00D77456" w:rsidRPr="00263A14" w:rsidRDefault="00D77456" w:rsidP="00D9646F">
      <w:pPr>
        <w:pStyle w:val="Heading3"/>
      </w:pPr>
      <w:r w:rsidRPr="00263A14">
        <w:t>5.6</w:t>
      </w:r>
      <w:r w:rsidRPr="00263A14">
        <w:tab/>
        <w:t>Private Billing Rates</w:t>
      </w:r>
    </w:p>
    <w:p w14:paraId="00897C76" w14:textId="0660C488" w:rsidR="008B3CBE" w:rsidRPr="00A12F5F" w:rsidRDefault="001212D9" w:rsidP="00380026">
      <w:r w:rsidRPr="00DF0C3D">
        <w:t xml:space="preserve">This section analyses a data set of </w:t>
      </w:r>
      <w:r w:rsidR="006B74F1">
        <w:t>6,053</w:t>
      </w:r>
      <w:r w:rsidRPr="00DF0C3D">
        <w:t xml:space="preserve"> private billing rates for therapy services, including </w:t>
      </w:r>
      <w:r w:rsidR="00D14C34" w:rsidRPr="0031406D">
        <w:rPr>
          <w:rFonts w:eastAsia="MS PGothic" w:cs="Arial"/>
        </w:rPr>
        <w:t>2</w:t>
      </w:r>
      <w:r w:rsidR="00D14C34" w:rsidRPr="008B5824">
        <w:rPr>
          <w:rFonts w:eastAsia="MS PGothic" w:cs="Arial"/>
        </w:rPr>
        <w:t>,</w:t>
      </w:r>
      <w:r w:rsidR="00D14C34" w:rsidRPr="0031406D">
        <w:rPr>
          <w:rFonts w:eastAsia="MS PGothic" w:cs="Arial"/>
        </w:rPr>
        <w:t>857</w:t>
      </w:r>
      <w:r w:rsidR="00D14C34" w:rsidRPr="008B5824">
        <w:rPr>
          <w:rFonts w:eastAsia="MS PGothic" w:cs="Arial"/>
        </w:rPr>
        <w:t xml:space="preserve"> billing rates for weekday </w:t>
      </w:r>
      <w:r w:rsidR="00D14C34">
        <w:rPr>
          <w:rFonts w:eastAsia="MS PGothic" w:cs="Arial"/>
        </w:rPr>
        <w:t>in-room</w:t>
      </w:r>
      <w:r w:rsidR="00D14C34" w:rsidRPr="008B5824">
        <w:rPr>
          <w:rFonts w:eastAsia="MS PGothic" w:cs="Arial"/>
        </w:rPr>
        <w:t xml:space="preserve"> services</w:t>
      </w:r>
      <w:r w:rsidRPr="00DF0C3D">
        <w:t>.</w:t>
      </w:r>
    </w:p>
    <w:p w14:paraId="0EE5E1C1" w14:textId="00B2E19D" w:rsidR="00422FED" w:rsidRDefault="03620D0C" w:rsidP="00380026">
      <w:pPr>
        <w:rPr>
          <w:rFonts w:eastAsia="MS PGothic" w:cs="Arial"/>
        </w:rPr>
      </w:pPr>
      <w:r w:rsidRPr="0056623B">
        <w:rPr>
          <w:rFonts w:eastAsia="MS PGothic" w:cs="Arial"/>
        </w:rPr>
        <w:t xml:space="preserve">The </w:t>
      </w:r>
      <w:r w:rsidR="3AFDCA99">
        <w:rPr>
          <w:rFonts w:eastAsia="MS PGothic" w:cs="Arial"/>
        </w:rPr>
        <w:t xml:space="preserve">private billing </w:t>
      </w:r>
      <w:r w:rsidRPr="0056623B">
        <w:rPr>
          <w:rFonts w:eastAsia="MS PGothic" w:cs="Arial"/>
        </w:rPr>
        <w:t xml:space="preserve">dataset was compiled by the NDIA by scanning </w:t>
      </w:r>
      <w:r w:rsidR="3AFDCA99">
        <w:rPr>
          <w:rFonts w:eastAsia="MS PGothic" w:cs="Arial"/>
        </w:rPr>
        <w:t xml:space="preserve">provider </w:t>
      </w:r>
      <w:r w:rsidRPr="0056623B">
        <w:rPr>
          <w:rFonts w:eastAsia="MS PGothic" w:cs="Arial"/>
        </w:rPr>
        <w:t>websites across Australia</w:t>
      </w:r>
      <w:r>
        <w:rPr>
          <w:rFonts w:eastAsia="MS PGothic" w:cs="Arial"/>
        </w:rPr>
        <w:t xml:space="preserve">. </w:t>
      </w:r>
      <w:r w:rsidR="3D73083A">
        <w:rPr>
          <w:rFonts w:eastAsia="MS PGothic" w:cs="Arial"/>
        </w:rPr>
        <w:t>Prices for weekend, initial and telehealth consultation</w:t>
      </w:r>
      <w:r w:rsidR="5635F402">
        <w:rPr>
          <w:rFonts w:eastAsia="MS PGothic" w:cs="Arial"/>
        </w:rPr>
        <w:t>s</w:t>
      </w:r>
      <w:r w:rsidR="3D73083A">
        <w:rPr>
          <w:rFonts w:eastAsia="MS PGothic" w:cs="Arial"/>
        </w:rPr>
        <w:t xml:space="preserve"> </w:t>
      </w:r>
      <w:r w:rsidR="354C4304">
        <w:rPr>
          <w:rFonts w:eastAsia="MS PGothic" w:cs="Arial"/>
        </w:rPr>
        <w:t xml:space="preserve">were excluded from </w:t>
      </w:r>
      <w:r w:rsidR="3AFDCA99">
        <w:rPr>
          <w:rFonts w:eastAsia="MS PGothic" w:cs="Arial"/>
        </w:rPr>
        <w:t xml:space="preserve">the </w:t>
      </w:r>
      <w:r w:rsidR="354C4304">
        <w:rPr>
          <w:rFonts w:eastAsia="MS PGothic" w:cs="Arial"/>
        </w:rPr>
        <w:t xml:space="preserve">dataset. </w:t>
      </w:r>
      <w:r w:rsidR="6897CEB8">
        <w:rPr>
          <w:rFonts w:eastAsia="MS PGothic" w:cs="Arial"/>
        </w:rPr>
        <w:t xml:space="preserve">Outliers </w:t>
      </w:r>
      <w:r w:rsidR="583958B3">
        <w:rPr>
          <w:rFonts w:eastAsia="MS PGothic" w:cs="Arial"/>
        </w:rPr>
        <w:t>were also removed from the dataset</w:t>
      </w:r>
      <w:r w:rsidR="00C320FE">
        <w:rPr>
          <w:rStyle w:val="FootnoteReference"/>
          <w:rFonts w:eastAsia="MS PGothic" w:cs="Arial"/>
        </w:rPr>
        <w:footnoteReference w:id="30"/>
      </w:r>
      <w:r w:rsidR="16B6F0EF">
        <w:rPr>
          <w:rFonts w:eastAsia="MS PGothic" w:cs="Arial"/>
        </w:rPr>
        <w:t xml:space="preserve"> as well as </w:t>
      </w:r>
      <w:r w:rsidR="16B6F0EF" w:rsidRPr="00422FED">
        <w:rPr>
          <w:rFonts w:eastAsia="MS PGothic" w:cs="Arial"/>
        </w:rPr>
        <w:t>some therapy services</w:t>
      </w:r>
      <w:r w:rsidR="16B6F0EF">
        <w:rPr>
          <w:rFonts w:eastAsia="MS PGothic" w:cs="Arial"/>
        </w:rPr>
        <w:t xml:space="preserve">, </w:t>
      </w:r>
      <w:r w:rsidR="16B6F0EF" w:rsidRPr="00422FED">
        <w:rPr>
          <w:rFonts w:eastAsia="MS PGothic" w:cs="Arial"/>
        </w:rPr>
        <w:t xml:space="preserve">including </w:t>
      </w:r>
      <w:r w:rsidR="001F5157">
        <w:rPr>
          <w:rFonts w:eastAsia="MS PGothic" w:cs="Arial"/>
        </w:rPr>
        <w:t>T</w:t>
      </w:r>
      <w:r w:rsidR="16B6F0EF" w:rsidRPr="00422FED">
        <w:rPr>
          <w:rFonts w:eastAsia="MS PGothic" w:cs="Arial"/>
        </w:rPr>
        <w:t xml:space="preserve">eachers, </w:t>
      </w:r>
      <w:r w:rsidR="001F5157">
        <w:rPr>
          <w:rFonts w:eastAsia="MS PGothic" w:cs="Arial"/>
        </w:rPr>
        <w:t>P</w:t>
      </w:r>
      <w:r w:rsidR="16B6F0EF" w:rsidRPr="00422FED">
        <w:rPr>
          <w:rFonts w:eastAsia="MS PGothic" w:cs="Arial"/>
        </w:rPr>
        <w:t xml:space="preserve">ersonal training, </w:t>
      </w:r>
      <w:r w:rsidR="001F5157">
        <w:rPr>
          <w:rFonts w:eastAsia="MS PGothic" w:cs="Arial"/>
        </w:rPr>
        <w:t>O</w:t>
      </w:r>
      <w:r w:rsidR="16B6F0EF" w:rsidRPr="00422FED">
        <w:rPr>
          <w:rFonts w:eastAsia="MS PGothic" w:cs="Arial"/>
        </w:rPr>
        <w:t xml:space="preserve">steopathy, and </w:t>
      </w:r>
      <w:r w:rsidR="001F5157">
        <w:rPr>
          <w:rFonts w:eastAsia="MS PGothic" w:cs="Arial"/>
        </w:rPr>
        <w:t>T</w:t>
      </w:r>
      <w:r w:rsidR="16B6F0EF" w:rsidRPr="00422FED">
        <w:rPr>
          <w:rFonts w:eastAsia="MS PGothic" w:cs="Arial"/>
        </w:rPr>
        <w:t>herapy assistant</w:t>
      </w:r>
      <w:r w:rsidR="16B6F0EF">
        <w:rPr>
          <w:rFonts w:eastAsia="MS PGothic" w:cs="Arial"/>
        </w:rPr>
        <w:t>s</w:t>
      </w:r>
      <w:r w:rsidR="16B6F0EF" w:rsidRPr="00422FED">
        <w:rPr>
          <w:rFonts w:eastAsia="MS PGothic" w:cs="Arial"/>
        </w:rPr>
        <w:t>.</w:t>
      </w:r>
      <w:r w:rsidR="68A86FBA">
        <w:rPr>
          <w:rFonts w:eastAsia="MS PGothic" w:cs="Arial"/>
        </w:rPr>
        <w:t xml:space="preserve"> </w:t>
      </w:r>
      <w:r w:rsidR="68A86FBA" w:rsidRPr="008B5824">
        <w:rPr>
          <w:rFonts w:eastAsia="MS PGothic" w:cs="Arial"/>
        </w:rPr>
        <w:t>The</w:t>
      </w:r>
      <w:r w:rsidR="68A86FBA">
        <w:rPr>
          <w:rFonts w:eastAsia="MS PGothic" w:cs="Arial"/>
        </w:rPr>
        <w:t xml:space="preserve"> </w:t>
      </w:r>
      <w:r w:rsidR="68A86FBA" w:rsidRPr="008B5824">
        <w:rPr>
          <w:rFonts w:eastAsia="MS PGothic" w:cs="Arial"/>
        </w:rPr>
        <w:t>billing rates were converted to effective hourly rates based on the length of consultation</w:t>
      </w:r>
      <w:r w:rsidR="68A86FBA">
        <w:rPr>
          <w:rFonts w:eastAsia="MS PGothic" w:cs="Arial"/>
        </w:rPr>
        <w:t>.</w:t>
      </w:r>
      <w:r w:rsidR="17911A71">
        <w:rPr>
          <w:rFonts w:eastAsia="MS PGothic" w:cs="Arial"/>
        </w:rPr>
        <w:t xml:space="preserve"> </w:t>
      </w:r>
      <w:r w:rsidR="17911A71" w:rsidRPr="00332E89">
        <w:rPr>
          <w:rFonts w:eastAsia="MS PGothic" w:cs="Arial"/>
        </w:rPr>
        <w:t xml:space="preserve">Some 34% of the </w:t>
      </w:r>
      <w:r w:rsidR="17911A71">
        <w:rPr>
          <w:rFonts w:eastAsia="MS PGothic" w:cs="Arial"/>
        </w:rPr>
        <w:t xml:space="preserve">sample </w:t>
      </w:r>
      <w:r w:rsidR="17911A71" w:rsidRPr="00332E89">
        <w:rPr>
          <w:rFonts w:eastAsia="MS PGothic" w:cs="Arial"/>
        </w:rPr>
        <w:t>observed billing rates were from non-metropolitan</w:t>
      </w:r>
      <w:r w:rsidR="17911A71">
        <w:rPr>
          <w:rFonts w:eastAsia="MS PGothic" w:cs="Arial"/>
        </w:rPr>
        <w:t xml:space="preserve"> areas</w:t>
      </w:r>
      <w:r w:rsidR="17911A71" w:rsidRPr="00332E89">
        <w:rPr>
          <w:rFonts w:eastAsia="MS PGothic" w:cs="Arial"/>
        </w:rPr>
        <w:t>.</w:t>
      </w:r>
    </w:p>
    <w:p w14:paraId="4F585417" w14:textId="4EC40D4B" w:rsidR="00D50F59" w:rsidRDefault="00D50F59" w:rsidP="00606FF4">
      <w:pPr>
        <w:rPr>
          <w:rFonts w:eastAsia="MS PGothic" w:cs="Arial"/>
        </w:rPr>
      </w:pPr>
      <w:r w:rsidRPr="00606FF4">
        <w:rPr>
          <w:rFonts w:eastAsia="MS PGothic" w:cs="Arial"/>
        </w:rPr>
        <w:t xml:space="preserve">Among therapy services, the top </w:t>
      </w:r>
      <w:r w:rsidR="004F4818" w:rsidRPr="00606FF4">
        <w:rPr>
          <w:rFonts w:eastAsia="MS PGothic" w:cs="Arial"/>
        </w:rPr>
        <w:t xml:space="preserve">four </w:t>
      </w:r>
      <w:r w:rsidRPr="00606FF4">
        <w:rPr>
          <w:rFonts w:eastAsia="MS PGothic" w:cs="Arial"/>
        </w:rPr>
        <w:t>therap</w:t>
      </w:r>
      <w:r w:rsidR="00046BA1">
        <w:rPr>
          <w:rFonts w:eastAsia="MS PGothic" w:cs="Arial"/>
        </w:rPr>
        <w:t>ists</w:t>
      </w:r>
      <w:r w:rsidRPr="00606FF4">
        <w:rPr>
          <w:rFonts w:eastAsia="MS PGothic" w:cs="Arial"/>
        </w:rPr>
        <w:t xml:space="preserve"> </w:t>
      </w:r>
      <w:r w:rsidR="003D2A75" w:rsidRPr="00606FF4">
        <w:rPr>
          <w:rFonts w:eastAsia="MS PGothic" w:cs="Arial"/>
        </w:rPr>
        <w:t xml:space="preserve">in the sample </w:t>
      </w:r>
      <w:r w:rsidRPr="00606FF4">
        <w:rPr>
          <w:rFonts w:eastAsia="MS PGothic" w:cs="Arial"/>
        </w:rPr>
        <w:t xml:space="preserve">were </w:t>
      </w:r>
      <w:r w:rsidR="001F5157">
        <w:rPr>
          <w:rFonts w:eastAsia="MS PGothic" w:cs="Arial"/>
        </w:rPr>
        <w:t>P</w:t>
      </w:r>
      <w:r w:rsidRPr="00606FF4">
        <w:rPr>
          <w:rFonts w:eastAsia="MS PGothic" w:cs="Arial"/>
        </w:rPr>
        <w:t>hysiotherap</w:t>
      </w:r>
      <w:r w:rsidR="00046BA1">
        <w:rPr>
          <w:rFonts w:eastAsia="MS PGothic" w:cs="Arial"/>
        </w:rPr>
        <w:t>ists</w:t>
      </w:r>
      <w:r w:rsidRPr="00606FF4">
        <w:rPr>
          <w:rFonts w:eastAsia="MS PGothic" w:cs="Arial"/>
        </w:rPr>
        <w:t xml:space="preserve"> (</w:t>
      </w:r>
      <w:r w:rsidR="0033692B" w:rsidRPr="00606FF4">
        <w:rPr>
          <w:rFonts w:eastAsia="MS PGothic" w:cs="Arial"/>
        </w:rPr>
        <w:t>17.6</w:t>
      </w:r>
      <w:r w:rsidRPr="00606FF4">
        <w:rPr>
          <w:rFonts w:eastAsia="MS PGothic" w:cs="Arial"/>
        </w:rPr>
        <w:t xml:space="preserve">%), </w:t>
      </w:r>
      <w:r w:rsidR="001F5157">
        <w:rPr>
          <w:rFonts w:eastAsia="MS PGothic" w:cs="Arial"/>
        </w:rPr>
        <w:t>P</w:t>
      </w:r>
      <w:r w:rsidRPr="00606FF4">
        <w:rPr>
          <w:rFonts w:eastAsia="MS PGothic" w:cs="Arial"/>
        </w:rPr>
        <w:t>sycholog</w:t>
      </w:r>
      <w:r w:rsidR="00046BA1">
        <w:rPr>
          <w:rFonts w:eastAsia="MS PGothic" w:cs="Arial"/>
        </w:rPr>
        <w:t>ists</w:t>
      </w:r>
      <w:r w:rsidRPr="00606FF4">
        <w:rPr>
          <w:rFonts w:eastAsia="MS PGothic" w:cs="Arial"/>
        </w:rPr>
        <w:t xml:space="preserve"> (1</w:t>
      </w:r>
      <w:r w:rsidR="0033692B" w:rsidRPr="00606FF4">
        <w:rPr>
          <w:rFonts w:eastAsia="MS PGothic" w:cs="Arial"/>
        </w:rPr>
        <w:t>5.2</w:t>
      </w:r>
      <w:r w:rsidRPr="00606FF4">
        <w:rPr>
          <w:rFonts w:eastAsia="MS PGothic" w:cs="Arial"/>
        </w:rPr>
        <w:t>%)</w:t>
      </w:r>
      <w:r w:rsidR="00AF7A91">
        <w:rPr>
          <w:rFonts w:eastAsia="MS PGothic" w:cs="Arial"/>
        </w:rPr>
        <w:t>, C</w:t>
      </w:r>
      <w:r w:rsidR="004F4818" w:rsidRPr="00606FF4">
        <w:rPr>
          <w:rFonts w:eastAsia="MS PGothic" w:cs="Arial"/>
        </w:rPr>
        <w:t xml:space="preserve">linical </w:t>
      </w:r>
      <w:r w:rsidR="00AF7A91">
        <w:rPr>
          <w:rFonts w:eastAsia="MS PGothic" w:cs="Arial"/>
        </w:rPr>
        <w:t>P</w:t>
      </w:r>
      <w:r w:rsidR="004F4818" w:rsidRPr="00606FF4">
        <w:rPr>
          <w:rFonts w:eastAsia="MS PGothic" w:cs="Arial"/>
        </w:rPr>
        <w:t>sycholog</w:t>
      </w:r>
      <w:r w:rsidR="00046BA1">
        <w:rPr>
          <w:rFonts w:eastAsia="MS PGothic" w:cs="Arial"/>
        </w:rPr>
        <w:t>ists</w:t>
      </w:r>
      <w:r w:rsidRPr="00606FF4">
        <w:rPr>
          <w:rFonts w:eastAsia="MS PGothic" w:cs="Arial"/>
        </w:rPr>
        <w:t xml:space="preserve"> (1</w:t>
      </w:r>
      <w:r w:rsidR="004F4818" w:rsidRPr="00606FF4">
        <w:rPr>
          <w:rFonts w:eastAsia="MS PGothic" w:cs="Arial"/>
        </w:rPr>
        <w:t>0.2</w:t>
      </w:r>
      <w:r w:rsidRPr="00606FF4">
        <w:rPr>
          <w:rFonts w:eastAsia="MS PGothic" w:cs="Arial"/>
        </w:rPr>
        <w:t>%)</w:t>
      </w:r>
      <w:r w:rsidR="004F4818" w:rsidRPr="00606FF4">
        <w:rPr>
          <w:rFonts w:eastAsia="MS PGothic" w:cs="Arial"/>
        </w:rPr>
        <w:t xml:space="preserve"> and</w:t>
      </w:r>
      <w:r w:rsidR="00AF7A91">
        <w:rPr>
          <w:rFonts w:eastAsia="MS PGothic" w:cs="Arial"/>
        </w:rPr>
        <w:t xml:space="preserve"> </w:t>
      </w:r>
      <w:r w:rsidR="00EA574E">
        <w:rPr>
          <w:rFonts w:eastAsia="MS PGothic" w:cs="Arial"/>
        </w:rPr>
        <w:t>D</w:t>
      </w:r>
      <w:r w:rsidR="00EA574E" w:rsidRPr="00606FF4">
        <w:rPr>
          <w:rFonts w:eastAsia="MS PGothic" w:cs="Arial"/>
        </w:rPr>
        <w:t>ietit</w:t>
      </w:r>
      <w:r w:rsidR="00EA574E">
        <w:rPr>
          <w:rFonts w:eastAsia="MS PGothic" w:cs="Arial"/>
        </w:rPr>
        <w:t>ians</w:t>
      </w:r>
      <w:r w:rsidR="004F4818" w:rsidRPr="00606FF4">
        <w:rPr>
          <w:rFonts w:eastAsia="MS PGothic" w:cs="Arial"/>
        </w:rPr>
        <w:t xml:space="preserve"> (10.0%)</w:t>
      </w:r>
      <w:r w:rsidRPr="00606FF4">
        <w:rPr>
          <w:rFonts w:eastAsia="MS PGothic" w:cs="Arial"/>
        </w:rPr>
        <w:t xml:space="preserve">. Art </w:t>
      </w:r>
      <w:r w:rsidR="00AF7A91">
        <w:rPr>
          <w:rFonts w:eastAsia="MS PGothic" w:cs="Arial"/>
        </w:rPr>
        <w:t>T</w:t>
      </w:r>
      <w:r w:rsidRPr="00606FF4">
        <w:rPr>
          <w:rFonts w:eastAsia="MS PGothic" w:cs="Arial"/>
        </w:rPr>
        <w:t>herap</w:t>
      </w:r>
      <w:r w:rsidR="00046BA1">
        <w:rPr>
          <w:rFonts w:eastAsia="MS PGothic" w:cs="Arial"/>
        </w:rPr>
        <w:t>ists</w:t>
      </w:r>
      <w:r w:rsidRPr="00606FF4">
        <w:rPr>
          <w:rFonts w:eastAsia="MS PGothic" w:cs="Arial"/>
        </w:rPr>
        <w:t xml:space="preserve"> and </w:t>
      </w:r>
      <w:r w:rsidR="00AF7A91">
        <w:rPr>
          <w:rFonts w:eastAsia="MS PGothic" w:cs="Arial"/>
        </w:rPr>
        <w:t>M</w:t>
      </w:r>
      <w:r w:rsidRPr="00606FF4">
        <w:rPr>
          <w:rFonts w:eastAsia="MS PGothic" w:cs="Arial"/>
        </w:rPr>
        <w:t xml:space="preserve">usic </w:t>
      </w:r>
      <w:r w:rsidR="00AF7A91">
        <w:rPr>
          <w:rFonts w:eastAsia="MS PGothic" w:cs="Arial"/>
        </w:rPr>
        <w:t>T</w:t>
      </w:r>
      <w:r w:rsidRPr="00606FF4">
        <w:rPr>
          <w:rFonts w:eastAsia="MS PGothic" w:cs="Arial"/>
        </w:rPr>
        <w:t>herap</w:t>
      </w:r>
      <w:r w:rsidR="00046BA1">
        <w:rPr>
          <w:rFonts w:eastAsia="MS PGothic" w:cs="Arial"/>
        </w:rPr>
        <w:t>ists</w:t>
      </w:r>
      <w:r w:rsidRPr="00606FF4">
        <w:rPr>
          <w:rFonts w:eastAsia="MS PGothic" w:cs="Arial"/>
        </w:rPr>
        <w:t xml:space="preserve"> each accounted for less than </w:t>
      </w:r>
      <w:r w:rsidR="00F97E6A" w:rsidRPr="00606FF4">
        <w:rPr>
          <w:rFonts w:eastAsia="MS PGothic" w:cs="Arial"/>
        </w:rPr>
        <w:t>3</w:t>
      </w:r>
      <w:r w:rsidRPr="00606FF4">
        <w:rPr>
          <w:rFonts w:eastAsia="MS PGothic" w:cs="Arial"/>
        </w:rPr>
        <w:t xml:space="preserve">% of </w:t>
      </w:r>
      <w:r w:rsidR="00F97E6A" w:rsidRPr="00606FF4">
        <w:rPr>
          <w:rFonts w:eastAsia="MS PGothic" w:cs="Arial"/>
        </w:rPr>
        <w:t>the sample</w:t>
      </w:r>
      <w:r w:rsidRPr="00606FF4">
        <w:rPr>
          <w:rFonts w:eastAsia="MS PGothic" w:cs="Arial"/>
        </w:rPr>
        <w:t xml:space="preserve">. There </w:t>
      </w:r>
      <w:r w:rsidRPr="00606FF4">
        <w:rPr>
          <w:rFonts w:eastAsia="MS PGothic" w:cs="Arial"/>
        </w:rPr>
        <w:lastRenderedPageBreak/>
        <w:t xml:space="preserve">were at least </w:t>
      </w:r>
      <w:r w:rsidR="00F97E6A" w:rsidRPr="00606FF4">
        <w:rPr>
          <w:rFonts w:eastAsia="MS PGothic" w:cs="Arial"/>
        </w:rPr>
        <w:t>80</w:t>
      </w:r>
      <w:r w:rsidRPr="00606FF4">
        <w:rPr>
          <w:rFonts w:eastAsia="MS PGothic" w:cs="Arial"/>
        </w:rPr>
        <w:t xml:space="preserve"> observations for each type of therap</w:t>
      </w:r>
      <w:r w:rsidR="001B58FB">
        <w:rPr>
          <w:rFonts w:eastAsia="MS PGothic" w:cs="Arial"/>
        </w:rPr>
        <w:t>ists</w:t>
      </w:r>
      <w:r w:rsidR="00F97E6A" w:rsidRPr="00606FF4">
        <w:rPr>
          <w:rFonts w:eastAsia="MS PGothic" w:cs="Arial"/>
        </w:rPr>
        <w:t xml:space="preserve"> besides Art Therap</w:t>
      </w:r>
      <w:r w:rsidR="001B58FB">
        <w:rPr>
          <w:rFonts w:eastAsia="MS PGothic" w:cs="Arial"/>
        </w:rPr>
        <w:t>ists</w:t>
      </w:r>
      <w:r w:rsidR="00F97E6A" w:rsidRPr="00606FF4">
        <w:rPr>
          <w:rFonts w:eastAsia="MS PGothic" w:cs="Arial"/>
        </w:rPr>
        <w:t xml:space="preserve"> (33)</w:t>
      </w:r>
      <w:r w:rsidRPr="00606FF4">
        <w:rPr>
          <w:rFonts w:eastAsia="MS PGothic" w:cs="Arial"/>
        </w:rPr>
        <w:t>.</w:t>
      </w:r>
      <w:r w:rsidR="00C829E5">
        <w:rPr>
          <w:rFonts w:eastAsia="MS PGothic" w:cs="Arial"/>
        </w:rPr>
        <w:t xml:space="preserve"> </w:t>
      </w:r>
      <w:r w:rsidR="00C829E5">
        <w:rPr>
          <w:rFonts w:eastAsia="MS PGothic" w:cs="Arial"/>
        </w:rPr>
        <w:fldChar w:fldCharType="begin"/>
      </w:r>
      <w:r w:rsidR="00C829E5">
        <w:rPr>
          <w:rFonts w:eastAsia="MS PGothic" w:cs="Arial"/>
        </w:rPr>
        <w:instrText xml:space="preserve"> REF _Ref133831450 </w:instrText>
      </w:r>
      <w:r w:rsidR="00C829E5">
        <w:rPr>
          <w:rFonts w:eastAsia="MS PGothic" w:cs="Arial"/>
        </w:rPr>
        <w:fldChar w:fldCharType="separate"/>
      </w:r>
      <w:r w:rsidR="00D64E4C">
        <w:t xml:space="preserve">Figure </w:t>
      </w:r>
      <w:r w:rsidR="00D64E4C">
        <w:rPr>
          <w:noProof/>
        </w:rPr>
        <w:t>20</w:t>
      </w:r>
      <w:r w:rsidR="00C829E5">
        <w:rPr>
          <w:rFonts w:eastAsia="MS PGothic" w:cs="Arial"/>
        </w:rPr>
        <w:fldChar w:fldCharType="end"/>
      </w:r>
      <w:r w:rsidR="0026696C">
        <w:rPr>
          <w:rFonts w:eastAsia="MS PGothic" w:cs="Arial"/>
        </w:rPr>
        <w:t xml:space="preserve"> </w:t>
      </w:r>
      <w:r w:rsidR="29E242CF" w:rsidRPr="220BE8B2">
        <w:rPr>
          <w:rFonts w:eastAsia="MS PGothic" w:cs="Arial"/>
        </w:rPr>
        <w:t>shows</w:t>
      </w:r>
      <w:r w:rsidR="006B3FDC">
        <w:rPr>
          <w:rFonts w:eastAsia="MS PGothic" w:cs="Arial"/>
        </w:rPr>
        <w:t xml:space="preserve"> the </w:t>
      </w:r>
      <w:r w:rsidR="0026696C">
        <w:rPr>
          <w:rFonts w:eastAsia="MS PGothic" w:cs="Arial"/>
        </w:rPr>
        <w:t>distribution of the sample for types of therapies</w:t>
      </w:r>
      <w:r w:rsidR="006B3FDC">
        <w:rPr>
          <w:rFonts w:eastAsia="MS PGothic" w:cs="Arial"/>
        </w:rPr>
        <w:t xml:space="preserve">, some of which have widely dispersed and </w:t>
      </w:r>
      <w:r w:rsidR="00C63596">
        <w:rPr>
          <w:rFonts w:eastAsia="MS PGothic" w:cs="Arial"/>
        </w:rPr>
        <w:t xml:space="preserve">significant </w:t>
      </w:r>
      <w:r w:rsidR="006B3FDC">
        <w:rPr>
          <w:rFonts w:eastAsia="MS PGothic" w:cs="Arial"/>
        </w:rPr>
        <w:t>overlap</w:t>
      </w:r>
      <w:r w:rsidR="00C63596">
        <w:rPr>
          <w:rFonts w:eastAsia="MS PGothic" w:cs="Arial"/>
        </w:rPr>
        <w:t xml:space="preserve"> in </w:t>
      </w:r>
      <w:r w:rsidR="006B3FDC">
        <w:rPr>
          <w:rFonts w:eastAsia="MS PGothic" w:cs="Arial"/>
        </w:rPr>
        <w:t>pricing</w:t>
      </w:r>
      <w:r w:rsidR="0026696C">
        <w:rPr>
          <w:rFonts w:eastAsia="MS PGothic" w:cs="Arial"/>
        </w:rPr>
        <w:t>.</w:t>
      </w:r>
    </w:p>
    <w:p w14:paraId="588A1464" w14:textId="519A3ED6" w:rsidR="0026696C" w:rsidRPr="00A102B8" w:rsidRDefault="0026696C" w:rsidP="0026696C">
      <w:pPr>
        <w:pStyle w:val="Caption"/>
        <w:jc w:val="left"/>
        <w:rPr>
          <w:noProof/>
        </w:rPr>
      </w:pPr>
      <w:bookmarkStart w:id="98" w:name="_Ref133831450"/>
      <w:bookmarkStart w:id="99" w:name="_Ref133831444"/>
      <w:r>
        <w:t xml:space="preserve">Figure </w:t>
      </w:r>
      <w:r>
        <w:fldChar w:fldCharType="begin"/>
      </w:r>
      <w:r>
        <w:instrText>SEQ Figure \* ARABIC</w:instrText>
      </w:r>
      <w:r>
        <w:fldChar w:fldCharType="separate"/>
      </w:r>
      <w:r w:rsidR="00D64E4C">
        <w:rPr>
          <w:noProof/>
        </w:rPr>
        <w:t>20</w:t>
      </w:r>
      <w:r>
        <w:fldChar w:fldCharType="end"/>
      </w:r>
      <w:bookmarkEnd w:id="98"/>
      <w:r>
        <w:t>: Distribution of</w:t>
      </w:r>
      <w:r w:rsidR="001B4BBC">
        <w:t xml:space="preserve"> PRVIATE BILLING</w:t>
      </w:r>
      <w:r>
        <w:t xml:space="preserve"> rates by therapy type</w:t>
      </w:r>
      <w:bookmarkEnd w:id="99"/>
    </w:p>
    <w:p w14:paraId="5E3A8495" w14:textId="0E4DE130" w:rsidR="0015079C" w:rsidRDefault="00753A51" w:rsidP="00E927EC">
      <w:pPr>
        <w:jc w:val="center"/>
        <w:rPr>
          <w:rFonts w:eastAsia="MS PGothic" w:cs="Arial"/>
        </w:rPr>
      </w:pPr>
      <w:r>
        <w:rPr>
          <w:noProof/>
        </w:rPr>
        <w:drawing>
          <wp:inline distT="0" distB="0" distL="0" distR="0" wp14:anchorId="39B37422" wp14:editId="662342FD">
            <wp:extent cx="4727647" cy="5308979"/>
            <wp:effectExtent l="0" t="0" r="0" b="6350"/>
            <wp:docPr id="18" name="Picture 18" descr="FIGURE 20: DISTRIBUTION OF PRIVATE BILLING RATES BY THERAPY TYPE&#10;&#10;In the dataset of hourly in-rooms weekday service fees it was found that: (note the following therapy are in order of lowest to highest average hourly rates).&#10;&#10;Counsellors have an average hourly rate of  $138.80, a minimum hourly rate of $75.00, a median hourly rate of $140.00 and a maximum hourly rate of $220.00. Rates appeared to have a bi-modal distribution. The first peaks at roughly $75 while the second peaks at roughly $135.&#10;&#10;Art Therapists have an average hourly rate of $140.20, a minimum hourly rate of $73.30, a median hourly rate of $135.00 and a maximum hourly rate of $216.00. Rates did not appear to have a bi-modal distribution. &#10;&#10;Exercise Physiologists has an average hourly rate of $140.70 , a minimum hourly rate of $73.30 , a median hourly rate of $134.20 and a maximum hourly rate of $227.00 . Rates did not appear to have a bi-modal distribution. &#10;&#10;Music Therapists has an average hourly rate of  $161.10 , a minimum hourly rate of $100.00 , a median hourly rate of $154.00 and a maximum hourly rate of $240.00 . Rates did appear to have a bi-modal distribution. The first peaks at roughly $125 while the second peaks at roughly $180.&#10;&#10;Podiatrists have an average hourly rate of $168.40, a minimum hourly rate of $75.00, a median hourly rate of $150.00 and a maximum hourly rate of $313.50. Rates did appear to have a bi-modal distribution. The first peaks at roughly $150 while the second peaks at roughly $220.&#10;&#10;Speech Pathologists have an average hourly rate of $169.00 , a minimum hourly rate of $95.00 , a median hourly rate of $174.20 and a maximum hourly rate of $250.00 . Rates appeared to have a bi-modal distribution. The first peaks at roughly $130 while the second peaks at roughly $190.&#10;&#10;Social Workers have an average hourly rate of $169.20 , a minimum hourly rate of $93.30, a median hourly rate of $156.20 and a maximum hourly rate of $312.00 . Rates appeared to have a bi-modal distribution.  The first peaks at roughly $150 while the second peaks at roughly $220.&#10;&#10;Occupational Therapists have an average hourly rate of  $169.30 , a minimum hourly rate of $75.00 , a median hourly rate of $172.00 and a maximum hourly rate of $264.00 . Rates did not appear to have a bi-modal distribution. &#10;&#10;Dietitians have an average hourly rate of  $174.90 , a minimum hourly rate of $80.00 , a median hourly rate of $180.00 and a maximum hourly rate of $280.00 . Rates did appear to have a bi-modal distribution. The first peaks at roughly $150 while the second peaks at roughly $210.&#10;&#10;Physiotherapists have an average hourly rate of  $183.90 , a minimum hourly rate of $75.00 , a median hourly rate of $180.00 and a maximum hourly rate of $322.00 . Rates did not appear to have a bi-modal distribution. &#10;&#10;Audiologists have an average hourly rate of  $194.60 , a minimum hourly rate of $156.70 , a median hourly rate of $187.50 and a maximum hourly rate of $240.00 . Rates did not appear to have a bi-modal distribution. The first peaks at roughly $180 while the second peaks at roughly $190.&#10;&#10;Psychologists have an average hourly rate of  $212.80 , a minimum hourly rate of $108.00 , a median hourly rate of $215.50 and a maximum hourly rate of $312.00 . Rates did not appear to have a bi-modal distribution.  &#10;&#10;Psychologists – Clinical have an average hourly rate of  $258.40 , a minimum hourly rate of $150.00 , a median hourly rate of $260.40 and a maximum hourly rate of $360.00 . Rates did not appear to have a bi-modal distribu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20: DISTRIBUTION OF PRIVATE BILLING RATES BY THERAPY TYPE&#10;&#10;In the dataset of hourly in-rooms weekday service fees it was found that: (note the following therapy are in order of lowest to highest average hourly rates).&#10;&#10;Counsellors have an average hourly rate of  $138.80, a minimum hourly rate of $75.00, a median hourly rate of $140.00 and a maximum hourly rate of $220.00. Rates appeared to have a bi-modal distribution. The first peaks at roughly $75 while the second peaks at roughly $135.&#10;&#10;Art Therapists have an average hourly rate of $140.20, a minimum hourly rate of $73.30, a median hourly rate of $135.00 and a maximum hourly rate of $216.00. Rates did not appear to have a bi-modal distribution. &#10;&#10;Exercise Physiologists has an average hourly rate of $140.70 , a minimum hourly rate of $73.30 , a median hourly rate of $134.20 and a maximum hourly rate of $227.00 . Rates did not appear to have a bi-modal distribution. &#10;&#10;Music Therapists has an average hourly rate of  $161.10 , a minimum hourly rate of $100.00 , a median hourly rate of $154.00 and a maximum hourly rate of $240.00 . Rates did appear to have a bi-modal distribution. The first peaks at roughly $125 while the second peaks at roughly $180.&#10;&#10;Podiatrists have an average hourly rate of $168.40, a minimum hourly rate of $75.00, a median hourly rate of $150.00 and a maximum hourly rate of $313.50. Rates did appear to have a bi-modal distribution. The first peaks at roughly $150 while the second peaks at roughly $220.&#10;&#10;Speech Pathologists have an average hourly rate of $169.00 , a minimum hourly rate of $95.00 , a median hourly rate of $174.20 and a maximum hourly rate of $250.00 . Rates appeared to have a bi-modal distribution. The first peaks at roughly $130 while the second peaks at roughly $190.&#10;&#10;Social Workers have an average hourly rate of $169.20 , a minimum hourly rate of $93.30, a median hourly rate of $156.20 and a maximum hourly rate of $312.00 . Rates appeared to have a bi-modal distribution.  The first peaks at roughly $150 while the second peaks at roughly $220.&#10;&#10;Occupational Therapists have an average hourly rate of  $169.30 , a minimum hourly rate of $75.00 , a median hourly rate of $172.00 and a maximum hourly rate of $264.00 . Rates did not appear to have a bi-modal distribution. &#10;&#10;Dietitians have an average hourly rate of  $174.90 , a minimum hourly rate of $80.00 , a median hourly rate of $180.00 and a maximum hourly rate of $280.00 . Rates did appear to have a bi-modal distribution. The first peaks at roughly $150 while the second peaks at roughly $210.&#10;&#10;Physiotherapists have an average hourly rate of  $183.90 , a minimum hourly rate of $75.00 , a median hourly rate of $180.00 and a maximum hourly rate of $322.00 . Rates did not appear to have a bi-modal distribution. &#10;&#10;Audiologists have an average hourly rate of  $194.60 , a minimum hourly rate of $156.70 , a median hourly rate of $187.50 and a maximum hourly rate of $240.00 . Rates did not appear to have a bi-modal distribution. The first peaks at roughly $180 while the second peaks at roughly $190.&#10;&#10;Psychologists have an average hourly rate of  $212.80 , a minimum hourly rate of $108.00 , a median hourly rate of $215.50 and a maximum hourly rate of $312.00 . Rates did not appear to have a bi-modal distribution.  &#10;&#10;Psychologists – Clinical have an average hourly rate of  $258.40 , a minimum hourly rate of $150.00 , a median hourly rate of $260.40 and a maximum hourly rate of $360.00 . Rates did not appear to have a bi-modal distribution. &#10;"/>
                    <pic:cNvPicPr/>
                  </pic:nvPicPr>
                  <pic:blipFill>
                    <a:blip r:embed="rId37"/>
                    <a:stretch>
                      <a:fillRect/>
                    </a:stretch>
                  </pic:blipFill>
                  <pic:spPr>
                    <a:xfrm>
                      <a:off x="0" y="0"/>
                      <a:ext cx="4742320" cy="5325456"/>
                    </a:xfrm>
                    <a:prstGeom prst="rect">
                      <a:avLst/>
                    </a:prstGeom>
                  </pic:spPr>
                </pic:pic>
              </a:graphicData>
            </a:graphic>
          </wp:inline>
        </w:drawing>
      </w:r>
    </w:p>
    <w:p w14:paraId="2ECAD8B1" w14:textId="320E5F3F" w:rsidR="00561798" w:rsidRDefault="00561798" w:rsidP="00380026">
      <w:pPr>
        <w:rPr>
          <w:rFonts w:eastAsia="MS PGothic" w:cs="Arial"/>
        </w:rPr>
      </w:pPr>
      <w:r w:rsidRPr="0056623B">
        <w:rPr>
          <w:rFonts w:eastAsia="MS PGothic" w:cs="Arial"/>
        </w:rPr>
        <w:t xml:space="preserve">The geographic distribution of the </w:t>
      </w:r>
      <w:r w:rsidR="00332E89">
        <w:rPr>
          <w:rFonts w:eastAsia="MS PGothic" w:cs="Arial"/>
        </w:rPr>
        <w:t xml:space="preserve">sample </w:t>
      </w:r>
      <w:r w:rsidRPr="0056623B">
        <w:rPr>
          <w:rFonts w:eastAsia="MS PGothic" w:cs="Arial"/>
        </w:rPr>
        <w:t>observations was slightly skewed towards Victoria (3</w:t>
      </w:r>
      <w:r>
        <w:rPr>
          <w:rFonts w:eastAsia="MS PGothic" w:cs="Arial"/>
        </w:rPr>
        <w:t>0</w:t>
      </w:r>
      <w:r w:rsidRPr="0056623B">
        <w:rPr>
          <w:rFonts w:eastAsia="MS PGothic" w:cs="Arial"/>
        </w:rPr>
        <w:t>% of the sample) and Queensland (3</w:t>
      </w:r>
      <w:r>
        <w:rPr>
          <w:rFonts w:eastAsia="MS PGothic" w:cs="Arial"/>
        </w:rPr>
        <w:t>2</w:t>
      </w:r>
      <w:r w:rsidRPr="0056623B">
        <w:rPr>
          <w:rFonts w:eastAsia="MS PGothic" w:cs="Arial"/>
        </w:rPr>
        <w:t>%) with New South Wales underrepresented (1</w:t>
      </w:r>
      <w:r>
        <w:rPr>
          <w:rFonts w:eastAsia="MS PGothic" w:cs="Arial"/>
        </w:rPr>
        <w:t>5</w:t>
      </w:r>
      <w:r w:rsidRPr="0056623B">
        <w:rPr>
          <w:rFonts w:eastAsia="MS PGothic" w:cs="Arial"/>
        </w:rPr>
        <w:t>%)</w:t>
      </w:r>
      <w:r w:rsidR="00332E89">
        <w:rPr>
          <w:rFonts w:eastAsia="MS PGothic" w:cs="Arial"/>
        </w:rPr>
        <w:t xml:space="preserve">. </w:t>
      </w:r>
      <w:r w:rsidR="0049589C">
        <w:rPr>
          <w:rFonts w:eastAsia="MS PGothic" w:cs="Arial"/>
        </w:rPr>
        <w:t xml:space="preserve">Australian Capital Territory </w:t>
      </w:r>
      <w:r w:rsidR="00332E89">
        <w:rPr>
          <w:rFonts w:eastAsia="MS PGothic" w:cs="Arial"/>
        </w:rPr>
        <w:t xml:space="preserve">was the only state or </w:t>
      </w:r>
      <w:r w:rsidR="0049589C">
        <w:rPr>
          <w:rFonts w:eastAsia="MS PGothic" w:cs="Arial"/>
        </w:rPr>
        <w:t>territory with less than 30 observations (18)</w:t>
      </w:r>
      <w:r w:rsidRPr="0056623B">
        <w:rPr>
          <w:rFonts w:eastAsia="MS PGothic" w:cs="Arial"/>
        </w:rPr>
        <w:t>.</w:t>
      </w:r>
      <w:r w:rsidRPr="008B5824">
        <w:rPr>
          <w:rFonts w:eastAsia="MS PGothic" w:cs="Arial"/>
        </w:rPr>
        <w:t xml:space="preserve"> </w:t>
      </w:r>
      <w:r>
        <w:rPr>
          <w:rFonts w:eastAsia="MS PGothic" w:cs="Arial"/>
        </w:rPr>
        <w:fldChar w:fldCharType="begin"/>
      </w:r>
      <w:r>
        <w:rPr>
          <w:rFonts w:eastAsia="MS PGothic" w:cs="Arial"/>
        </w:rPr>
        <w:instrText xml:space="preserve"> REF _Ref133831498 \h </w:instrText>
      </w:r>
      <w:r>
        <w:rPr>
          <w:rFonts w:eastAsia="MS PGothic" w:cs="Arial"/>
        </w:rPr>
      </w:r>
      <w:r>
        <w:rPr>
          <w:rFonts w:eastAsia="MS PGothic" w:cs="Arial"/>
        </w:rPr>
        <w:fldChar w:fldCharType="separate"/>
      </w:r>
      <w:r w:rsidR="00D64E4C">
        <w:t xml:space="preserve">Figure </w:t>
      </w:r>
      <w:r w:rsidR="00D64E4C">
        <w:rPr>
          <w:noProof/>
        </w:rPr>
        <w:t>21</w:t>
      </w:r>
      <w:r>
        <w:rPr>
          <w:rFonts w:eastAsia="MS PGothic" w:cs="Arial"/>
        </w:rPr>
        <w:fldChar w:fldCharType="end"/>
      </w:r>
      <w:r>
        <w:rPr>
          <w:rFonts w:eastAsia="MS PGothic" w:cs="Arial"/>
        </w:rPr>
        <w:t xml:space="preserve"> for the distribution of private billing rates across states</w:t>
      </w:r>
      <w:r w:rsidR="00AC7A20">
        <w:rPr>
          <w:rFonts w:eastAsia="MS PGothic" w:cs="Arial"/>
        </w:rPr>
        <w:t>, which show significant overlap in dispersion and overlap</w:t>
      </w:r>
      <w:r>
        <w:rPr>
          <w:rFonts w:eastAsia="MS PGothic" w:cs="Arial"/>
        </w:rPr>
        <w:t>.</w:t>
      </w:r>
      <w:r w:rsidR="00AC7A20">
        <w:rPr>
          <w:rFonts w:eastAsia="MS PGothic" w:cs="Arial"/>
        </w:rPr>
        <w:t xml:space="preserve"> </w:t>
      </w:r>
      <w:r w:rsidR="009E54B0">
        <w:rPr>
          <w:rFonts w:eastAsia="MS PGothic" w:cs="Arial"/>
        </w:rPr>
        <w:t>It is also clear some states and territories show multi-model distribution in pricing (</w:t>
      </w:r>
      <w:r w:rsidR="00496032">
        <w:rPr>
          <w:rFonts w:eastAsia="MS PGothic" w:cs="Arial"/>
        </w:rPr>
        <w:t>such as the</w:t>
      </w:r>
      <w:r w:rsidR="009E54B0">
        <w:rPr>
          <w:rFonts w:eastAsia="MS PGothic" w:cs="Arial"/>
        </w:rPr>
        <w:t xml:space="preserve"> Northern Territory and Tasmania</w:t>
      </w:r>
      <w:r w:rsidR="009E54B0" w:rsidDel="002528DA">
        <w:rPr>
          <w:rFonts w:eastAsia="MS PGothic" w:cs="Arial"/>
        </w:rPr>
        <w:t>)</w:t>
      </w:r>
      <w:r w:rsidR="00E7301F" w:rsidDel="002528DA">
        <w:rPr>
          <w:rFonts w:eastAsia="MS PGothic" w:cs="Arial"/>
        </w:rPr>
        <w:t xml:space="preserve">, </w:t>
      </w:r>
      <w:r w:rsidR="00E7301F">
        <w:rPr>
          <w:rFonts w:eastAsia="MS PGothic" w:cs="Arial"/>
        </w:rPr>
        <w:t>which aligns to different pricing for different therapies</w:t>
      </w:r>
      <w:r w:rsidR="000F4DB7">
        <w:rPr>
          <w:rFonts w:eastAsia="MS PGothic" w:cs="Arial"/>
        </w:rPr>
        <w:t xml:space="preserve"> in the sample</w:t>
      </w:r>
      <w:r w:rsidR="00E7301F">
        <w:rPr>
          <w:rFonts w:eastAsia="MS PGothic" w:cs="Arial"/>
        </w:rPr>
        <w:t>.</w:t>
      </w:r>
    </w:p>
    <w:p w14:paraId="424BB3F2" w14:textId="3B066F0E" w:rsidR="0026696C" w:rsidRPr="008266F8" w:rsidRDefault="0026696C" w:rsidP="0026696C">
      <w:pPr>
        <w:pStyle w:val="Caption"/>
        <w:jc w:val="left"/>
        <w:rPr>
          <w:lang w:val="en-US"/>
        </w:rPr>
      </w:pPr>
      <w:bookmarkStart w:id="100" w:name="_Ref133831498"/>
      <w:r>
        <w:lastRenderedPageBreak/>
        <w:t xml:space="preserve">Figure </w:t>
      </w:r>
      <w:r>
        <w:fldChar w:fldCharType="begin"/>
      </w:r>
      <w:r>
        <w:instrText>SEQ Figure \* ARABIC</w:instrText>
      </w:r>
      <w:r>
        <w:fldChar w:fldCharType="separate"/>
      </w:r>
      <w:r w:rsidR="00D64E4C">
        <w:rPr>
          <w:noProof/>
        </w:rPr>
        <w:t>21</w:t>
      </w:r>
      <w:r>
        <w:fldChar w:fldCharType="end"/>
      </w:r>
      <w:bookmarkEnd w:id="100"/>
      <w:r>
        <w:t xml:space="preserve">: Distribution of </w:t>
      </w:r>
      <w:r w:rsidR="00165D62">
        <w:t xml:space="preserve">Private Billing </w:t>
      </w:r>
      <w:r>
        <w:t>rates by State</w:t>
      </w:r>
    </w:p>
    <w:p w14:paraId="6D432BCB" w14:textId="389616E6" w:rsidR="0026696C" w:rsidRDefault="007856B1" w:rsidP="00165D62">
      <w:pPr>
        <w:jc w:val="center"/>
        <w:rPr>
          <w:rStyle w:val="LabelsChar"/>
          <w:b w:val="0"/>
          <w:bCs w:val="0"/>
          <w:caps w:val="0"/>
        </w:rPr>
      </w:pPr>
      <w:r>
        <w:rPr>
          <w:noProof/>
        </w:rPr>
        <w:drawing>
          <wp:inline distT="0" distB="0" distL="0" distR="0" wp14:anchorId="3D38B048" wp14:editId="3325976A">
            <wp:extent cx="4176215" cy="3132045"/>
            <wp:effectExtent l="0" t="0" r="0" b="0"/>
            <wp:docPr id="19" name="Picture 19" descr="FIGURE 21: DISTRIBUTION OF PRIVATE BILLING RATES BY STATE&#10;&#10;Hourly rates in  Queensland have an average hourly rate of  $172.47 , a minimum hourly rate of $75.00 , a median hourly rate of $170.00 and a maximum hourly rate of $324.00 . Rates did not appear to have a bi-modal distribution.&#10;&#10;Hourly rates in  Northern Territory have an average hourly rate of  $186.78 , a minimum hourly rate of $118.50 , a median hourly rate of $168.25 and a maximum hourly rate of $322.00 . Rates appeared to have a multi-modal distribution. &#10;&#10;Hourly rates in  Victoria have an average hourly rate of  $186.91 , a minimum hourly rate of $73.33 , a median hourly rate of $184.50 and a maximum hourly rate of $360.00 . Rates did not appear to have a bi-modal distribution. &#10;&#10;Hourly rates in  South Australia have an average hourly rate of  $189.68 , a minimum hourly rate of $80.00 , a median hourly rate of $186.00 and a maximum hourly rate of $336.00 . Rates did not appear to have a bi-modal distribution. &#10;&#10;Hourly rates in  New South Wales have an average hourly rate of  $193.05 , a minimum hourly rate of $73.33 , a median hourly rate of $189.33 and a maximum hourly rate of $327.27 . Rates did not appear to have a bi-modal distribution. &#10;&#10;Hourly rates in  Western Australia have an average hourly rate of  $196.02 , a minimum hourly rate of $80.00 , a median hourly rate of $193.99 and a maximum hourly rate of $342.00 . Rates did not appear to have a bi-modal distribution. &#10;&#10;Hourly rates in  Tasmania have an average hourly rate of  $201.28 , a minimum hourly rate of $80.00 , a median hourly rate of $192.00 and a maximum hourly rate of $276.00 . Rates appeared to have a bi-modal distribution. &#10;&#10;Hourly rates in  the ACT have an average hourly rate of  $205.02 , a minimum hourly rate of $140.00 , a median hourly rate of $200.00 and a maximum hourly rate of $248.00 . Rates did not appear to have a bi-modal distrib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21: DISTRIBUTION OF PRIVATE BILLING RATES BY STATE&#10;&#10;Hourly rates in  Queensland have an average hourly rate of  $172.47 , a minimum hourly rate of $75.00 , a median hourly rate of $170.00 and a maximum hourly rate of $324.00 . Rates did not appear to have a bi-modal distribution.&#10;&#10;Hourly rates in  Northern Territory have an average hourly rate of  $186.78 , a minimum hourly rate of $118.50 , a median hourly rate of $168.25 and a maximum hourly rate of $322.00 . Rates appeared to have a multi-modal distribution. &#10;&#10;Hourly rates in  Victoria have an average hourly rate of  $186.91 , a minimum hourly rate of $73.33 , a median hourly rate of $184.50 and a maximum hourly rate of $360.00 . Rates did not appear to have a bi-modal distribution. &#10;&#10;Hourly rates in  South Australia have an average hourly rate of  $189.68 , a minimum hourly rate of $80.00 , a median hourly rate of $186.00 and a maximum hourly rate of $336.00 . Rates did not appear to have a bi-modal distribution. &#10;&#10;Hourly rates in  New South Wales have an average hourly rate of  $193.05 , a minimum hourly rate of $73.33 , a median hourly rate of $189.33 and a maximum hourly rate of $327.27 . Rates did not appear to have a bi-modal distribution. &#10;&#10;Hourly rates in  Western Australia have an average hourly rate of  $196.02 , a minimum hourly rate of $80.00 , a median hourly rate of $193.99 and a maximum hourly rate of $342.00 . Rates did not appear to have a bi-modal distribution. &#10;&#10;Hourly rates in  Tasmania have an average hourly rate of  $201.28 , a minimum hourly rate of $80.00 , a median hourly rate of $192.00 and a maximum hourly rate of $276.00 . Rates appeared to have a bi-modal distribution. &#10;&#10;Hourly rates in  the ACT have an average hourly rate of  $205.02 , a minimum hourly rate of $140.00 , a median hourly rate of $200.00 and a maximum hourly rate of $248.00 . Rates did not appear to have a bi-modal distribution.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92222" cy="3144050"/>
                    </a:xfrm>
                    <a:prstGeom prst="rect">
                      <a:avLst/>
                    </a:prstGeom>
                    <a:noFill/>
                    <a:ln>
                      <a:noFill/>
                    </a:ln>
                  </pic:spPr>
                </pic:pic>
              </a:graphicData>
            </a:graphic>
          </wp:inline>
        </w:drawing>
      </w:r>
    </w:p>
    <w:p w14:paraId="2485EE0D" w14:textId="3C51CABC" w:rsidR="00690A2A" w:rsidRPr="00DD01AE" w:rsidRDefault="00DD01AE" w:rsidP="00380026">
      <w:pPr>
        <w:rPr>
          <w:rFonts w:eastAsia="MS PGothic" w:cs="Arial"/>
        </w:rPr>
      </w:pPr>
      <w:r>
        <w:rPr>
          <w:rFonts w:eastAsia="MS PGothic" w:cs="Arial"/>
        </w:rPr>
        <w:fldChar w:fldCharType="begin"/>
      </w:r>
      <w:r>
        <w:rPr>
          <w:rFonts w:eastAsia="MS PGothic" w:cs="Arial"/>
        </w:rPr>
        <w:instrText xml:space="preserve"> REF _Ref134303553 </w:instrText>
      </w:r>
      <w:r>
        <w:rPr>
          <w:rFonts w:eastAsia="MS PGothic" w:cs="Arial"/>
        </w:rPr>
        <w:fldChar w:fldCharType="separate"/>
      </w:r>
      <w:r w:rsidR="00D64E4C">
        <w:t xml:space="preserve">Table </w:t>
      </w:r>
      <w:r w:rsidR="00D64E4C">
        <w:rPr>
          <w:noProof/>
        </w:rPr>
        <w:t>9</w:t>
      </w:r>
      <w:r>
        <w:rPr>
          <w:rFonts w:eastAsia="MS PGothic" w:cs="Arial"/>
        </w:rPr>
        <w:fldChar w:fldCharType="end"/>
      </w:r>
      <w:r>
        <w:rPr>
          <w:rFonts w:eastAsia="MS PGothic" w:cs="Arial"/>
        </w:rPr>
        <w:t xml:space="preserve"> </w:t>
      </w:r>
      <w:r w:rsidR="00F62918">
        <w:rPr>
          <w:rFonts w:eastAsia="MS PGothic" w:cs="Arial"/>
        </w:rPr>
        <w:t xml:space="preserve">displays summary distributional statistics of the sample of private billing rates. </w:t>
      </w:r>
      <w:r w:rsidR="00320636" w:rsidRPr="008B5824">
        <w:rPr>
          <w:rFonts w:eastAsia="MS PGothic" w:cs="Arial"/>
        </w:rPr>
        <w:t xml:space="preserve">The average effective hourly rate for weekday </w:t>
      </w:r>
      <w:r w:rsidR="00B953EF">
        <w:rPr>
          <w:rFonts w:eastAsia="MS PGothic" w:cs="Arial"/>
        </w:rPr>
        <w:t>in-room</w:t>
      </w:r>
      <w:r w:rsidR="00DD4C4C">
        <w:rPr>
          <w:rFonts w:eastAsia="MS PGothic" w:cs="Arial"/>
        </w:rPr>
        <w:t xml:space="preserve"> therapists</w:t>
      </w:r>
      <w:r w:rsidR="00320636" w:rsidRPr="008B5824">
        <w:rPr>
          <w:rFonts w:eastAsia="MS PGothic" w:cs="Arial"/>
        </w:rPr>
        <w:t xml:space="preserve"> in the sample was $1</w:t>
      </w:r>
      <w:r w:rsidR="00320636" w:rsidRPr="0031406D">
        <w:rPr>
          <w:rFonts w:eastAsia="MS PGothic" w:cs="Arial"/>
        </w:rPr>
        <w:t>84</w:t>
      </w:r>
      <w:r w:rsidR="00320636" w:rsidRPr="008B5824">
        <w:rPr>
          <w:rFonts w:eastAsia="MS PGothic" w:cs="Arial"/>
        </w:rPr>
        <w:t xml:space="preserve"> (median $1</w:t>
      </w:r>
      <w:r w:rsidR="00320636" w:rsidRPr="0031406D">
        <w:rPr>
          <w:rFonts w:eastAsia="MS PGothic" w:cs="Arial"/>
        </w:rPr>
        <w:t>8</w:t>
      </w:r>
      <w:r w:rsidR="00320636" w:rsidRPr="008B5824">
        <w:rPr>
          <w:rFonts w:eastAsia="MS PGothic" w:cs="Arial"/>
        </w:rPr>
        <w:t>5). The smallest effective hourly rate that was observed in the data set was $</w:t>
      </w:r>
      <w:r w:rsidR="00320636" w:rsidRPr="0031406D">
        <w:rPr>
          <w:rFonts w:eastAsia="MS PGothic" w:cs="Arial"/>
        </w:rPr>
        <w:t>73</w:t>
      </w:r>
      <w:r w:rsidR="00320636" w:rsidRPr="008B5824">
        <w:rPr>
          <w:rFonts w:eastAsia="MS PGothic" w:cs="Arial"/>
        </w:rPr>
        <w:t xml:space="preserve"> and the largest was $</w:t>
      </w:r>
      <w:r w:rsidR="00320636" w:rsidRPr="0031406D">
        <w:rPr>
          <w:rFonts w:eastAsia="MS PGothic" w:cs="Arial"/>
        </w:rPr>
        <w:t>360</w:t>
      </w:r>
      <w:r w:rsidR="00320636" w:rsidRPr="008B5824">
        <w:rPr>
          <w:rFonts w:eastAsia="MS PGothic" w:cs="Arial"/>
        </w:rPr>
        <w:t xml:space="preserve">. </w:t>
      </w:r>
      <w:bookmarkStart w:id="101" w:name="_Ref99050451"/>
      <w:bookmarkStart w:id="102" w:name="_Toc101279974"/>
      <w:bookmarkStart w:id="103" w:name="_Toc108620521"/>
    </w:p>
    <w:p w14:paraId="1F462A2F" w14:textId="68814CBA" w:rsidR="00DD01AE" w:rsidRDefault="00DD01AE" w:rsidP="00DD01AE">
      <w:pPr>
        <w:pStyle w:val="Caption"/>
      </w:pPr>
      <w:bookmarkStart w:id="104" w:name="_Ref134303553"/>
      <w:r>
        <w:t xml:space="preserve">Table </w:t>
      </w:r>
      <w:r>
        <w:fldChar w:fldCharType="begin"/>
      </w:r>
      <w:r>
        <w:instrText>SEQ Table \* ARABIC</w:instrText>
      </w:r>
      <w:r>
        <w:fldChar w:fldCharType="separate"/>
      </w:r>
      <w:r w:rsidR="00D64E4C">
        <w:rPr>
          <w:noProof/>
        </w:rPr>
        <w:t>9</w:t>
      </w:r>
      <w:r>
        <w:fldChar w:fldCharType="end"/>
      </w:r>
      <w:bookmarkEnd w:id="104"/>
      <w:r>
        <w:t xml:space="preserve">: </w:t>
      </w:r>
      <w:r w:rsidRPr="006569E2">
        <w:t>SUMMARY STATISTICS OF PRIVATE BILLING RATE SAMPLE, BY THERAPY TYPE</w:t>
      </w:r>
    </w:p>
    <w:tbl>
      <w:tblPr>
        <w:tblStyle w:val="GridTable4-Accent12"/>
        <w:tblW w:w="9135" w:type="dxa"/>
        <w:tblInd w:w="-5" w:type="dxa"/>
        <w:tblLook w:val="04A0" w:firstRow="1" w:lastRow="0" w:firstColumn="1" w:lastColumn="0" w:noHBand="0" w:noVBand="1"/>
        <w:tblCaption w:val="TABLE 9: SUMMARY STATISTICS OF PRIVATE BILLING RATE SAMPLE, BY THERAPY TYPE"/>
        <w:tblDescription w:val="The table provides descriptive statistics on the sample of hourly rates of the thirteen types of providers that provide services to NDS participants. this statistics include the count of observations in the sample the main, the standard deviation, the minimum value, the value at the 25th percentile, the median value, the value at the 75th percentile, and the maximum value observed. In total there were 2857 observations in the sample. In total the mean was $184.40 per hour, there was a standard deviation of 55, the minimum value was $73.30, the median value was $185, and the maximum value was $360."/>
      </w:tblPr>
      <w:tblGrid>
        <w:gridCol w:w="1537"/>
        <w:gridCol w:w="780"/>
        <w:gridCol w:w="767"/>
        <w:gridCol w:w="1027"/>
        <w:gridCol w:w="1006"/>
        <w:gridCol w:w="1067"/>
        <w:gridCol w:w="837"/>
        <w:gridCol w:w="1067"/>
        <w:gridCol w:w="1047"/>
      </w:tblGrid>
      <w:tr w:rsidR="00E43BDE" w:rsidRPr="00BB1A98" w14:paraId="08E6363B" w14:textId="77777777" w:rsidTr="002919AC">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noWrap/>
          </w:tcPr>
          <w:p w14:paraId="5180B610" w14:textId="309F952D" w:rsidR="0022198C" w:rsidRPr="00E63BE6" w:rsidRDefault="00565130" w:rsidP="00D608D6">
            <w:pPr>
              <w:keepNext/>
              <w:spacing w:before="60" w:after="60"/>
              <w:rPr>
                <w:rFonts w:eastAsia="MS PGothic" w:cs="Arial"/>
                <w:smallCaps/>
                <w:color w:val="auto"/>
                <w:sz w:val="18"/>
                <w:szCs w:val="18"/>
              </w:rPr>
            </w:pPr>
            <w:r w:rsidRPr="00E63BE6">
              <w:rPr>
                <w:rFonts w:cs="Arial"/>
                <w:sz w:val="18"/>
                <w:szCs w:val="18"/>
              </w:rPr>
              <w:t>Type of Therapy</w:t>
            </w:r>
          </w:p>
        </w:tc>
        <w:tc>
          <w:tcPr>
            <w:tcW w:w="780"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51D55901" w14:textId="4B60902E"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b w:val="0"/>
                <w:color w:val="000000"/>
                <w:sz w:val="18"/>
                <w:szCs w:val="18"/>
              </w:rPr>
            </w:pPr>
            <w:r w:rsidRPr="00E63BE6">
              <w:rPr>
                <w:rFonts w:eastAsia="MS PGothic" w:cs="Arial"/>
                <w:color w:val="FFFFFF"/>
                <w:sz w:val="18"/>
                <w:szCs w:val="18"/>
              </w:rPr>
              <w:t>Count</w:t>
            </w:r>
          </w:p>
        </w:tc>
        <w:tc>
          <w:tcPr>
            <w:tcW w:w="767"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00C4695D" w14:textId="52880003"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Mean</w:t>
            </w:r>
          </w:p>
        </w:tc>
        <w:tc>
          <w:tcPr>
            <w:tcW w:w="1027"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0A0ABAC7" w14:textId="180D1C7F"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Standard Deviation</w:t>
            </w:r>
          </w:p>
        </w:tc>
        <w:tc>
          <w:tcPr>
            <w:tcW w:w="1006"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58AC1B4A" w14:textId="35AA0FFA"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Minimum</w:t>
            </w:r>
          </w:p>
        </w:tc>
        <w:tc>
          <w:tcPr>
            <w:tcW w:w="1067"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5D9FD7A9" w14:textId="3C32D9C3"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25</w:t>
            </w:r>
            <w:r w:rsidRPr="00EA574E">
              <w:rPr>
                <w:rFonts w:eastAsia="MS PGothic" w:cs="Arial"/>
                <w:color w:val="FFFFFF"/>
                <w:sz w:val="18"/>
                <w:szCs w:val="18"/>
                <w:vertAlign w:val="superscript"/>
              </w:rPr>
              <w:t>th</w:t>
            </w:r>
            <w:r w:rsidRPr="00E63BE6">
              <w:rPr>
                <w:rFonts w:eastAsia="MS PGothic" w:cs="Arial"/>
                <w:color w:val="FFFFFF"/>
                <w:sz w:val="18"/>
                <w:szCs w:val="18"/>
              </w:rPr>
              <w:t xml:space="preserve"> percentile</w:t>
            </w:r>
          </w:p>
        </w:tc>
        <w:tc>
          <w:tcPr>
            <w:tcW w:w="837"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58215498" w14:textId="097FB53B"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 xml:space="preserve">Median </w:t>
            </w:r>
          </w:p>
        </w:tc>
        <w:tc>
          <w:tcPr>
            <w:tcW w:w="1067"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noWrap/>
          </w:tcPr>
          <w:p w14:paraId="11B74222" w14:textId="6A3936F4"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75</w:t>
            </w:r>
            <w:r w:rsidRPr="00EA574E">
              <w:rPr>
                <w:rFonts w:eastAsia="MS PGothic" w:cs="Arial"/>
                <w:color w:val="FFFFFF"/>
                <w:sz w:val="18"/>
                <w:szCs w:val="18"/>
                <w:vertAlign w:val="superscript"/>
              </w:rPr>
              <w:t>th</w:t>
            </w:r>
            <w:r w:rsidRPr="00E63BE6">
              <w:rPr>
                <w:rFonts w:eastAsia="MS PGothic" w:cs="Arial"/>
                <w:color w:val="FFFFFF"/>
                <w:sz w:val="18"/>
                <w:szCs w:val="18"/>
              </w:rPr>
              <w:t xml:space="preserve"> percentile</w:t>
            </w:r>
          </w:p>
        </w:tc>
        <w:tc>
          <w:tcPr>
            <w:tcW w:w="1047"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noWrap/>
          </w:tcPr>
          <w:p w14:paraId="3E70CFF1" w14:textId="4CAD4441" w:rsidR="0022198C" w:rsidRPr="00E63BE6" w:rsidRDefault="0022198C" w:rsidP="00D608D6">
            <w:pPr>
              <w:keepNext/>
              <w:spacing w:before="60" w:after="60"/>
              <w:jc w:val="center"/>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E63BE6">
              <w:rPr>
                <w:rFonts w:eastAsia="MS PGothic" w:cs="Arial"/>
                <w:color w:val="FFFFFF"/>
                <w:sz w:val="18"/>
                <w:szCs w:val="18"/>
              </w:rPr>
              <w:t>Maximum</w:t>
            </w:r>
          </w:p>
        </w:tc>
      </w:tr>
      <w:tr w:rsidR="007D224D" w:rsidRPr="00BB1A98" w14:paraId="56339886" w14:textId="77777777" w:rsidTr="002919AC">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4F1E58" w:themeColor="accent1" w:themeShade="BF"/>
            </w:tcBorders>
            <w:noWrap/>
            <w:vAlign w:val="center"/>
            <w:hideMark/>
          </w:tcPr>
          <w:p w14:paraId="31EA10A7" w14:textId="714CA58A"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Art Therap</w:t>
            </w:r>
            <w:r w:rsidR="00DD4C4C">
              <w:rPr>
                <w:rFonts w:cs="Arial"/>
                <w:b w:val="0"/>
                <w:sz w:val="18"/>
                <w:szCs w:val="18"/>
              </w:rPr>
              <w:t>ists</w:t>
            </w:r>
          </w:p>
        </w:tc>
        <w:tc>
          <w:tcPr>
            <w:tcW w:w="780" w:type="dxa"/>
            <w:tcBorders>
              <w:top w:val="single" w:sz="4" w:space="0" w:color="4F1E58" w:themeColor="accent1" w:themeShade="BF"/>
            </w:tcBorders>
            <w:noWrap/>
            <w:vAlign w:val="center"/>
            <w:hideMark/>
          </w:tcPr>
          <w:p w14:paraId="7B8D94A1"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33</w:t>
            </w:r>
          </w:p>
        </w:tc>
        <w:tc>
          <w:tcPr>
            <w:tcW w:w="767" w:type="dxa"/>
            <w:tcBorders>
              <w:top w:val="single" w:sz="4" w:space="0" w:color="4F1E58" w:themeColor="accent1" w:themeShade="BF"/>
            </w:tcBorders>
            <w:noWrap/>
            <w:vAlign w:val="center"/>
            <w:hideMark/>
          </w:tcPr>
          <w:p w14:paraId="018BED03"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$140.2</w:t>
            </w:r>
          </w:p>
        </w:tc>
        <w:tc>
          <w:tcPr>
            <w:tcW w:w="1027" w:type="dxa"/>
            <w:tcBorders>
              <w:top w:val="single" w:sz="4" w:space="0" w:color="4F1E58" w:themeColor="accent1" w:themeShade="BF"/>
            </w:tcBorders>
            <w:noWrap/>
            <w:vAlign w:val="center"/>
            <w:hideMark/>
          </w:tcPr>
          <w:p w14:paraId="70103DC4"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39</w:t>
            </w:r>
          </w:p>
        </w:tc>
        <w:tc>
          <w:tcPr>
            <w:tcW w:w="1006" w:type="dxa"/>
            <w:tcBorders>
              <w:top w:val="single" w:sz="4" w:space="0" w:color="4F1E58" w:themeColor="accent1" w:themeShade="BF"/>
            </w:tcBorders>
            <w:noWrap/>
            <w:vAlign w:val="center"/>
            <w:hideMark/>
          </w:tcPr>
          <w:p w14:paraId="3A1E7274"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$73.3</w:t>
            </w:r>
          </w:p>
        </w:tc>
        <w:tc>
          <w:tcPr>
            <w:tcW w:w="1067" w:type="dxa"/>
            <w:tcBorders>
              <w:top w:val="single" w:sz="4" w:space="0" w:color="4F1E58" w:themeColor="accent1" w:themeShade="BF"/>
            </w:tcBorders>
            <w:noWrap/>
            <w:vAlign w:val="center"/>
            <w:hideMark/>
          </w:tcPr>
          <w:p w14:paraId="3D19A0E3"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$100.0</w:t>
            </w:r>
          </w:p>
        </w:tc>
        <w:tc>
          <w:tcPr>
            <w:tcW w:w="837" w:type="dxa"/>
            <w:tcBorders>
              <w:top w:val="single" w:sz="4" w:space="0" w:color="4F1E58" w:themeColor="accent1" w:themeShade="BF"/>
            </w:tcBorders>
            <w:noWrap/>
            <w:vAlign w:val="center"/>
            <w:hideMark/>
          </w:tcPr>
          <w:p w14:paraId="1B3DE8A7"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$135.0</w:t>
            </w:r>
          </w:p>
        </w:tc>
        <w:tc>
          <w:tcPr>
            <w:tcW w:w="1067" w:type="dxa"/>
            <w:tcBorders>
              <w:top w:val="single" w:sz="4" w:space="0" w:color="4F1E58" w:themeColor="accent1" w:themeShade="BF"/>
            </w:tcBorders>
            <w:noWrap/>
            <w:vAlign w:val="center"/>
            <w:hideMark/>
          </w:tcPr>
          <w:p w14:paraId="31130D62"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$177.5</w:t>
            </w:r>
          </w:p>
        </w:tc>
        <w:tc>
          <w:tcPr>
            <w:tcW w:w="1047" w:type="dxa"/>
            <w:tcBorders>
              <w:top w:val="single" w:sz="4" w:space="0" w:color="4F1E58" w:themeColor="accent1" w:themeShade="BF"/>
            </w:tcBorders>
            <w:noWrap/>
            <w:vAlign w:val="center"/>
            <w:hideMark/>
          </w:tcPr>
          <w:p w14:paraId="42F543B7"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$216.0</w:t>
            </w:r>
          </w:p>
        </w:tc>
      </w:tr>
      <w:tr w:rsidR="004F6ED5" w:rsidRPr="00BB1A98" w14:paraId="6FFD6713"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146F2CBE" w14:textId="59659DE4"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Audiolog</w:t>
            </w:r>
            <w:r w:rsidR="00DD4C4C">
              <w:rPr>
                <w:rFonts w:cs="Arial"/>
                <w:b w:val="0"/>
                <w:sz w:val="18"/>
                <w:szCs w:val="18"/>
              </w:rPr>
              <w:t>ists</w:t>
            </w:r>
          </w:p>
        </w:tc>
        <w:tc>
          <w:tcPr>
            <w:tcW w:w="780" w:type="dxa"/>
            <w:noWrap/>
            <w:vAlign w:val="center"/>
            <w:hideMark/>
          </w:tcPr>
          <w:p w14:paraId="08142342"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90</w:t>
            </w:r>
          </w:p>
        </w:tc>
        <w:tc>
          <w:tcPr>
            <w:tcW w:w="767" w:type="dxa"/>
            <w:noWrap/>
            <w:vAlign w:val="center"/>
            <w:hideMark/>
          </w:tcPr>
          <w:p w14:paraId="0799513A"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$194.6</w:t>
            </w:r>
          </w:p>
        </w:tc>
        <w:tc>
          <w:tcPr>
            <w:tcW w:w="1027" w:type="dxa"/>
            <w:noWrap/>
            <w:vAlign w:val="center"/>
            <w:hideMark/>
          </w:tcPr>
          <w:p w14:paraId="1FCDE508"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26</w:t>
            </w:r>
          </w:p>
        </w:tc>
        <w:tc>
          <w:tcPr>
            <w:tcW w:w="1006" w:type="dxa"/>
            <w:noWrap/>
            <w:vAlign w:val="center"/>
            <w:hideMark/>
          </w:tcPr>
          <w:p w14:paraId="38D817E8"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$156.7</w:t>
            </w:r>
          </w:p>
        </w:tc>
        <w:tc>
          <w:tcPr>
            <w:tcW w:w="1067" w:type="dxa"/>
            <w:noWrap/>
            <w:vAlign w:val="center"/>
            <w:hideMark/>
          </w:tcPr>
          <w:p w14:paraId="5519FB5E"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$175.0</w:t>
            </w:r>
          </w:p>
        </w:tc>
        <w:tc>
          <w:tcPr>
            <w:tcW w:w="837" w:type="dxa"/>
            <w:noWrap/>
            <w:vAlign w:val="center"/>
            <w:hideMark/>
          </w:tcPr>
          <w:p w14:paraId="60CD280D"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$187.5</w:t>
            </w:r>
          </w:p>
        </w:tc>
        <w:tc>
          <w:tcPr>
            <w:tcW w:w="1067" w:type="dxa"/>
            <w:noWrap/>
            <w:vAlign w:val="center"/>
            <w:hideMark/>
          </w:tcPr>
          <w:p w14:paraId="398671EF"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$210.0</w:t>
            </w:r>
          </w:p>
        </w:tc>
        <w:tc>
          <w:tcPr>
            <w:tcW w:w="1047" w:type="dxa"/>
            <w:noWrap/>
            <w:vAlign w:val="center"/>
            <w:hideMark/>
          </w:tcPr>
          <w:p w14:paraId="75CDB749"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$240.0</w:t>
            </w:r>
          </w:p>
        </w:tc>
      </w:tr>
      <w:tr w:rsidR="007D224D" w:rsidRPr="00BB1A98" w14:paraId="4B76389C" w14:textId="77777777" w:rsidTr="00DD01AE">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676831F8" w14:textId="3331F425"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Counsel</w:t>
            </w:r>
            <w:r w:rsidR="00DD4C4C">
              <w:rPr>
                <w:rFonts w:cs="Arial"/>
                <w:b w:val="0"/>
                <w:sz w:val="18"/>
                <w:szCs w:val="18"/>
              </w:rPr>
              <w:t>lors</w:t>
            </w:r>
          </w:p>
        </w:tc>
        <w:tc>
          <w:tcPr>
            <w:tcW w:w="780" w:type="dxa"/>
            <w:noWrap/>
            <w:vAlign w:val="center"/>
            <w:hideMark/>
          </w:tcPr>
          <w:p w14:paraId="2351F0DB"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186</w:t>
            </w:r>
          </w:p>
        </w:tc>
        <w:tc>
          <w:tcPr>
            <w:tcW w:w="767" w:type="dxa"/>
            <w:noWrap/>
            <w:vAlign w:val="center"/>
            <w:hideMark/>
          </w:tcPr>
          <w:p w14:paraId="1991BB68"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$138.8</w:t>
            </w:r>
          </w:p>
        </w:tc>
        <w:tc>
          <w:tcPr>
            <w:tcW w:w="1027" w:type="dxa"/>
            <w:noWrap/>
            <w:vAlign w:val="center"/>
            <w:hideMark/>
          </w:tcPr>
          <w:p w14:paraId="06CF40F4"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36</w:t>
            </w:r>
          </w:p>
        </w:tc>
        <w:tc>
          <w:tcPr>
            <w:tcW w:w="1006" w:type="dxa"/>
            <w:noWrap/>
            <w:vAlign w:val="center"/>
            <w:hideMark/>
          </w:tcPr>
          <w:p w14:paraId="57FB7EA5"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$75.0</w:t>
            </w:r>
          </w:p>
        </w:tc>
        <w:tc>
          <w:tcPr>
            <w:tcW w:w="1067" w:type="dxa"/>
            <w:noWrap/>
            <w:vAlign w:val="center"/>
            <w:hideMark/>
          </w:tcPr>
          <w:p w14:paraId="66366E02"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$120.0</w:t>
            </w:r>
          </w:p>
        </w:tc>
        <w:tc>
          <w:tcPr>
            <w:tcW w:w="837" w:type="dxa"/>
            <w:noWrap/>
            <w:vAlign w:val="center"/>
            <w:hideMark/>
          </w:tcPr>
          <w:p w14:paraId="51273C69"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$140.0</w:t>
            </w:r>
          </w:p>
        </w:tc>
        <w:tc>
          <w:tcPr>
            <w:tcW w:w="1067" w:type="dxa"/>
            <w:noWrap/>
            <w:vAlign w:val="center"/>
            <w:hideMark/>
          </w:tcPr>
          <w:p w14:paraId="69456162"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$160.0</w:t>
            </w:r>
          </w:p>
        </w:tc>
        <w:tc>
          <w:tcPr>
            <w:tcW w:w="1047" w:type="dxa"/>
            <w:noWrap/>
            <w:vAlign w:val="center"/>
            <w:hideMark/>
          </w:tcPr>
          <w:p w14:paraId="25B5D341"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$220.0</w:t>
            </w:r>
          </w:p>
        </w:tc>
      </w:tr>
      <w:tr w:rsidR="004F6ED5" w:rsidRPr="00BB1A98" w14:paraId="793599A9"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116683E7" w14:textId="1B34020C"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Diet</w:t>
            </w:r>
            <w:r w:rsidR="00600EA9">
              <w:rPr>
                <w:rFonts w:cs="Arial"/>
                <w:b w:val="0"/>
                <w:sz w:val="18"/>
                <w:szCs w:val="18"/>
              </w:rPr>
              <w:t>it</w:t>
            </w:r>
            <w:r w:rsidRPr="00E63BE6">
              <w:rPr>
                <w:rFonts w:cs="Arial"/>
                <w:b w:val="0"/>
                <w:sz w:val="18"/>
                <w:szCs w:val="18"/>
              </w:rPr>
              <w:t>i</w:t>
            </w:r>
            <w:r w:rsidR="00DD4C4C">
              <w:rPr>
                <w:rFonts w:cs="Arial"/>
                <w:b w:val="0"/>
                <w:sz w:val="18"/>
                <w:szCs w:val="18"/>
              </w:rPr>
              <w:t>ans</w:t>
            </w:r>
          </w:p>
        </w:tc>
        <w:tc>
          <w:tcPr>
            <w:tcW w:w="780" w:type="dxa"/>
            <w:noWrap/>
            <w:vAlign w:val="center"/>
            <w:hideMark/>
          </w:tcPr>
          <w:p w14:paraId="24DEF67B"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287</w:t>
            </w:r>
          </w:p>
        </w:tc>
        <w:tc>
          <w:tcPr>
            <w:tcW w:w="767" w:type="dxa"/>
            <w:noWrap/>
            <w:vAlign w:val="center"/>
            <w:hideMark/>
          </w:tcPr>
          <w:p w14:paraId="18A2A40D"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$174.9</w:t>
            </w:r>
          </w:p>
        </w:tc>
        <w:tc>
          <w:tcPr>
            <w:tcW w:w="1027" w:type="dxa"/>
            <w:noWrap/>
            <w:vAlign w:val="center"/>
            <w:hideMark/>
          </w:tcPr>
          <w:p w14:paraId="327C589F"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41</w:t>
            </w:r>
          </w:p>
        </w:tc>
        <w:tc>
          <w:tcPr>
            <w:tcW w:w="1006" w:type="dxa"/>
            <w:noWrap/>
            <w:vAlign w:val="center"/>
            <w:hideMark/>
          </w:tcPr>
          <w:p w14:paraId="676093B1"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$80.0</w:t>
            </w:r>
          </w:p>
        </w:tc>
        <w:tc>
          <w:tcPr>
            <w:tcW w:w="1067" w:type="dxa"/>
            <w:noWrap/>
            <w:vAlign w:val="center"/>
            <w:hideMark/>
          </w:tcPr>
          <w:p w14:paraId="7F0ED586"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$140.0</w:t>
            </w:r>
          </w:p>
        </w:tc>
        <w:tc>
          <w:tcPr>
            <w:tcW w:w="837" w:type="dxa"/>
            <w:noWrap/>
            <w:vAlign w:val="center"/>
            <w:hideMark/>
          </w:tcPr>
          <w:p w14:paraId="772268EB"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$180.0</w:t>
            </w:r>
          </w:p>
        </w:tc>
        <w:tc>
          <w:tcPr>
            <w:tcW w:w="1067" w:type="dxa"/>
            <w:noWrap/>
            <w:vAlign w:val="center"/>
            <w:hideMark/>
          </w:tcPr>
          <w:p w14:paraId="7E1FE74B"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$210.0</w:t>
            </w:r>
          </w:p>
        </w:tc>
        <w:tc>
          <w:tcPr>
            <w:tcW w:w="1047" w:type="dxa"/>
            <w:noWrap/>
            <w:vAlign w:val="center"/>
            <w:hideMark/>
          </w:tcPr>
          <w:p w14:paraId="28F9260D"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$280.0</w:t>
            </w:r>
          </w:p>
        </w:tc>
      </w:tr>
      <w:tr w:rsidR="007D224D" w:rsidRPr="00BB1A98" w14:paraId="0527FF6D" w14:textId="77777777" w:rsidTr="00DD01AE">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1854D98A" w14:textId="382C9195"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Exercise Physiolog</w:t>
            </w:r>
            <w:r w:rsidR="00DD4C4C">
              <w:rPr>
                <w:rFonts w:cs="Arial"/>
                <w:b w:val="0"/>
                <w:sz w:val="18"/>
                <w:szCs w:val="18"/>
              </w:rPr>
              <w:t>ists</w:t>
            </w:r>
          </w:p>
        </w:tc>
        <w:tc>
          <w:tcPr>
            <w:tcW w:w="780" w:type="dxa"/>
            <w:noWrap/>
            <w:vAlign w:val="center"/>
            <w:hideMark/>
          </w:tcPr>
          <w:p w14:paraId="0A2A4167"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190</w:t>
            </w:r>
          </w:p>
        </w:tc>
        <w:tc>
          <w:tcPr>
            <w:tcW w:w="767" w:type="dxa"/>
            <w:noWrap/>
            <w:vAlign w:val="center"/>
            <w:hideMark/>
          </w:tcPr>
          <w:p w14:paraId="121BBDB9"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$140.7</w:t>
            </w:r>
          </w:p>
        </w:tc>
        <w:tc>
          <w:tcPr>
            <w:tcW w:w="1027" w:type="dxa"/>
            <w:noWrap/>
            <w:vAlign w:val="center"/>
            <w:hideMark/>
          </w:tcPr>
          <w:p w14:paraId="4D4A299D"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36</w:t>
            </w:r>
          </w:p>
        </w:tc>
        <w:tc>
          <w:tcPr>
            <w:tcW w:w="1006" w:type="dxa"/>
            <w:noWrap/>
            <w:vAlign w:val="center"/>
            <w:hideMark/>
          </w:tcPr>
          <w:p w14:paraId="312B49D9"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$73.3</w:t>
            </w:r>
          </w:p>
        </w:tc>
        <w:tc>
          <w:tcPr>
            <w:tcW w:w="1067" w:type="dxa"/>
            <w:noWrap/>
            <w:vAlign w:val="center"/>
            <w:hideMark/>
          </w:tcPr>
          <w:p w14:paraId="64BCCD31"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$119.0</w:t>
            </w:r>
          </w:p>
        </w:tc>
        <w:tc>
          <w:tcPr>
            <w:tcW w:w="837" w:type="dxa"/>
            <w:noWrap/>
            <w:vAlign w:val="center"/>
            <w:hideMark/>
          </w:tcPr>
          <w:p w14:paraId="3A18B5F4"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$134.2</w:t>
            </w:r>
          </w:p>
        </w:tc>
        <w:tc>
          <w:tcPr>
            <w:tcW w:w="1067" w:type="dxa"/>
            <w:noWrap/>
            <w:vAlign w:val="center"/>
            <w:hideMark/>
          </w:tcPr>
          <w:p w14:paraId="610933B8"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$167.0</w:t>
            </w:r>
          </w:p>
        </w:tc>
        <w:tc>
          <w:tcPr>
            <w:tcW w:w="1047" w:type="dxa"/>
            <w:noWrap/>
            <w:vAlign w:val="center"/>
            <w:hideMark/>
          </w:tcPr>
          <w:p w14:paraId="39121121"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$227.0</w:t>
            </w:r>
          </w:p>
        </w:tc>
      </w:tr>
      <w:tr w:rsidR="00A34956" w:rsidRPr="00BB1A98" w14:paraId="2EC02E7B"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6A7EA34E" w14:textId="6CAAD5EC"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Music Therap</w:t>
            </w:r>
            <w:r w:rsidR="00600EA9">
              <w:rPr>
                <w:rFonts w:cs="Arial"/>
                <w:b w:val="0"/>
                <w:sz w:val="18"/>
                <w:szCs w:val="18"/>
              </w:rPr>
              <w:t>ists</w:t>
            </w:r>
          </w:p>
        </w:tc>
        <w:tc>
          <w:tcPr>
            <w:tcW w:w="780" w:type="dxa"/>
            <w:noWrap/>
            <w:vAlign w:val="center"/>
            <w:hideMark/>
          </w:tcPr>
          <w:p w14:paraId="174BD5B5"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81</w:t>
            </w:r>
          </w:p>
        </w:tc>
        <w:tc>
          <w:tcPr>
            <w:tcW w:w="767" w:type="dxa"/>
            <w:noWrap/>
            <w:vAlign w:val="center"/>
            <w:hideMark/>
          </w:tcPr>
          <w:p w14:paraId="53524995"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$161.1</w:t>
            </w:r>
          </w:p>
        </w:tc>
        <w:tc>
          <w:tcPr>
            <w:tcW w:w="1027" w:type="dxa"/>
            <w:noWrap/>
            <w:vAlign w:val="center"/>
            <w:hideMark/>
          </w:tcPr>
          <w:p w14:paraId="16DDC840"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41</w:t>
            </w:r>
          </w:p>
        </w:tc>
        <w:tc>
          <w:tcPr>
            <w:tcW w:w="1006" w:type="dxa"/>
            <w:noWrap/>
            <w:vAlign w:val="center"/>
            <w:hideMark/>
          </w:tcPr>
          <w:p w14:paraId="55580109"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$100.0</w:t>
            </w:r>
          </w:p>
        </w:tc>
        <w:tc>
          <w:tcPr>
            <w:tcW w:w="1067" w:type="dxa"/>
            <w:noWrap/>
            <w:vAlign w:val="center"/>
            <w:hideMark/>
          </w:tcPr>
          <w:p w14:paraId="2C2CA28B"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$119.0</w:t>
            </w:r>
          </w:p>
        </w:tc>
        <w:tc>
          <w:tcPr>
            <w:tcW w:w="837" w:type="dxa"/>
            <w:noWrap/>
            <w:vAlign w:val="center"/>
            <w:hideMark/>
          </w:tcPr>
          <w:p w14:paraId="47647408"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$154.0</w:t>
            </w:r>
          </w:p>
        </w:tc>
        <w:tc>
          <w:tcPr>
            <w:tcW w:w="1067" w:type="dxa"/>
            <w:noWrap/>
            <w:vAlign w:val="center"/>
            <w:hideMark/>
          </w:tcPr>
          <w:p w14:paraId="73C41FF5"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$194.0</w:t>
            </w:r>
          </w:p>
        </w:tc>
        <w:tc>
          <w:tcPr>
            <w:tcW w:w="1047" w:type="dxa"/>
            <w:noWrap/>
            <w:vAlign w:val="center"/>
            <w:hideMark/>
          </w:tcPr>
          <w:p w14:paraId="460AFE07"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$240.0</w:t>
            </w:r>
          </w:p>
        </w:tc>
      </w:tr>
      <w:tr w:rsidR="007D224D" w:rsidRPr="00BB1A98" w14:paraId="79BE49B1" w14:textId="77777777" w:rsidTr="00DD01AE">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1DC3F9A8" w14:textId="6785E829"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Occupational Therap</w:t>
            </w:r>
            <w:r w:rsidR="00600EA9">
              <w:rPr>
                <w:rFonts w:cs="Arial"/>
                <w:b w:val="0"/>
                <w:sz w:val="18"/>
                <w:szCs w:val="18"/>
              </w:rPr>
              <w:t>ists</w:t>
            </w:r>
          </w:p>
        </w:tc>
        <w:tc>
          <w:tcPr>
            <w:tcW w:w="780" w:type="dxa"/>
            <w:noWrap/>
            <w:vAlign w:val="center"/>
            <w:hideMark/>
          </w:tcPr>
          <w:p w14:paraId="024D54C3"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237</w:t>
            </w:r>
          </w:p>
        </w:tc>
        <w:tc>
          <w:tcPr>
            <w:tcW w:w="767" w:type="dxa"/>
            <w:noWrap/>
            <w:vAlign w:val="center"/>
            <w:hideMark/>
          </w:tcPr>
          <w:p w14:paraId="6BB96F30"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$169.3</w:t>
            </w:r>
          </w:p>
        </w:tc>
        <w:tc>
          <w:tcPr>
            <w:tcW w:w="1027" w:type="dxa"/>
            <w:noWrap/>
            <w:vAlign w:val="center"/>
            <w:hideMark/>
          </w:tcPr>
          <w:p w14:paraId="43EB870A"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42</w:t>
            </w:r>
          </w:p>
        </w:tc>
        <w:tc>
          <w:tcPr>
            <w:tcW w:w="1006" w:type="dxa"/>
            <w:noWrap/>
            <w:vAlign w:val="center"/>
            <w:hideMark/>
          </w:tcPr>
          <w:p w14:paraId="3DA86C1D"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$75.0</w:t>
            </w:r>
          </w:p>
        </w:tc>
        <w:tc>
          <w:tcPr>
            <w:tcW w:w="1067" w:type="dxa"/>
            <w:noWrap/>
            <w:vAlign w:val="center"/>
            <w:hideMark/>
          </w:tcPr>
          <w:p w14:paraId="01487A71"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$140.0</w:t>
            </w:r>
          </w:p>
        </w:tc>
        <w:tc>
          <w:tcPr>
            <w:tcW w:w="837" w:type="dxa"/>
            <w:noWrap/>
            <w:vAlign w:val="center"/>
            <w:hideMark/>
          </w:tcPr>
          <w:p w14:paraId="548DF5B9"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$172.0</w:t>
            </w:r>
          </w:p>
        </w:tc>
        <w:tc>
          <w:tcPr>
            <w:tcW w:w="1067" w:type="dxa"/>
            <w:noWrap/>
            <w:vAlign w:val="center"/>
            <w:hideMark/>
          </w:tcPr>
          <w:p w14:paraId="6518AEA5"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$194.0</w:t>
            </w:r>
          </w:p>
        </w:tc>
        <w:tc>
          <w:tcPr>
            <w:tcW w:w="1047" w:type="dxa"/>
            <w:noWrap/>
            <w:vAlign w:val="center"/>
            <w:hideMark/>
          </w:tcPr>
          <w:p w14:paraId="7EF0DF95"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$264.0</w:t>
            </w:r>
          </w:p>
        </w:tc>
      </w:tr>
      <w:tr w:rsidR="004F6ED5" w:rsidRPr="00BB1A98" w14:paraId="3C3079C3"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141E012A" w14:textId="19AE2BDC"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Physiotherap</w:t>
            </w:r>
            <w:r w:rsidR="00600EA9">
              <w:rPr>
                <w:rFonts w:cs="Arial"/>
                <w:b w:val="0"/>
                <w:sz w:val="18"/>
                <w:szCs w:val="18"/>
              </w:rPr>
              <w:t>ists</w:t>
            </w:r>
          </w:p>
        </w:tc>
        <w:tc>
          <w:tcPr>
            <w:tcW w:w="780" w:type="dxa"/>
            <w:noWrap/>
            <w:vAlign w:val="center"/>
            <w:hideMark/>
          </w:tcPr>
          <w:p w14:paraId="5E1F7775"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502</w:t>
            </w:r>
          </w:p>
        </w:tc>
        <w:tc>
          <w:tcPr>
            <w:tcW w:w="767" w:type="dxa"/>
            <w:noWrap/>
            <w:vAlign w:val="center"/>
            <w:hideMark/>
          </w:tcPr>
          <w:p w14:paraId="78369D1D"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$183.9</w:t>
            </w:r>
          </w:p>
        </w:tc>
        <w:tc>
          <w:tcPr>
            <w:tcW w:w="1027" w:type="dxa"/>
            <w:noWrap/>
            <w:vAlign w:val="center"/>
            <w:hideMark/>
          </w:tcPr>
          <w:p w14:paraId="62366B07"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51</w:t>
            </w:r>
          </w:p>
        </w:tc>
        <w:tc>
          <w:tcPr>
            <w:tcW w:w="1006" w:type="dxa"/>
            <w:noWrap/>
            <w:vAlign w:val="center"/>
            <w:hideMark/>
          </w:tcPr>
          <w:p w14:paraId="5CB4D15E"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$75.0</w:t>
            </w:r>
          </w:p>
        </w:tc>
        <w:tc>
          <w:tcPr>
            <w:tcW w:w="1067" w:type="dxa"/>
            <w:noWrap/>
            <w:vAlign w:val="center"/>
            <w:hideMark/>
          </w:tcPr>
          <w:p w14:paraId="1FD0FD95"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$150.0</w:t>
            </w:r>
          </w:p>
        </w:tc>
        <w:tc>
          <w:tcPr>
            <w:tcW w:w="837" w:type="dxa"/>
            <w:noWrap/>
            <w:vAlign w:val="center"/>
            <w:hideMark/>
          </w:tcPr>
          <w:p w14:paraId="2F9D0F54"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$180.0</w:t>
            </w:r>
          </w:p>
        </w:tc>
        <w:tc>
          <w:tcPr>
            <w:tcW w:w="1067" w:type="dxa"/>
            <w:noWrap/>
            <w:vAlign w:val="center"/>
            <w:hideMark/>
          </w:tcPr>
          <w:p w14:paraId="3761C6F5"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$220.0</w:t>
            </w:r>
          </w:p>
        </w:tc>
        <w:tc>
          <w:tcPr>
            <w:tcW w:w="1047" w:type="dxa"/>
            <w:noWrap/>
            <w:vAlign w:val="center"/>
            <w:hideMark/>
          </w:tcPr>
          <w:p w14:paraId="3D1A7CBF"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$322.0</w:t>
            </w:r>
          </w:p>
        </w:tc>
      </w:tr>
      <w:tr w:rsidR="007D224D" w:rsidRPr="00BB1A98" w14:paraId="4E8C5180" w14:textId="77777777" w:rsidTr="00DD01AE">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2ABC0788" w14:textId="2351A4A0"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Podiatr</w:t>
            </w:r>
            <w:r w:rsidR="00600EA9">
              <w:rPr>
                <w:rFonts w:cs="Arial"/>
                <w:b w:val="0"/>
                <w:sz w:val="18"/>
                <w:szCs w:val="18"/>
              </w:rPr>
              <w:t>ists</w:t>
            </w:r>
          </w:p>
        </w:tc>
        <w:tc>
          <w:tcPr>
            <w:tcW w:w="780" w:type="dxa"/>
            <w:noWrap/>
            <w:vAlign w:val="center"/>
            <w:hideMark/>
          </w:tcPr>
          <w:p w14:paraId="0A79B025"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184</w:t>
            </w:r>
          </w:p>
        </w:tc>
        <w:tc>
          <w:tcPr>
            <w:tcW w:w="767" w:type="dxa"/>
            <w:noWrap/>
            <w:vAlign w:val="center"/>
            <w:hideMark/>
          </w:tcPr>
          <w:p w14:paraId="796736B5"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$168.4</w:t>
            </w:r>
          </w:p>
        </w:tc>
        <w:tc>
          <w:tcPr>
            <w:tcW w:w="1027" w:type="dxa"/>
            <w:noWrap/>
            <w:vAlign w:val="center"/>
            <w:hideMark/>
          </w:tcPr>
          <w:p w14:paraId="07AAB199"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55</w:t>
            </w:r>
          </w:p>
        </w:tc>
        <w:tc>
          <w:tcPr>
            <w:tcW w:w="1006" w:type="dxa"/>
            <w:noWrap/>
            <w:vAlign w:val="center"/>
            <w:hideMark/>
          </w:tcPr>
          <w:p w14:paraId="3A6BE72A"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$75.0</w:t>
            </w:r>
          </w:p>
        </w:tc>
        <w:tc>
          <w:tcPr>
            <w:tcW w:w="1067" w:type="dxa"/>
            <w:noWrap/>
            <w:vAlign w:val="center"/>
            <w:hideMark/>
          </w:tcPr>
          <w:p w14:paraId="58901305"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$130.0</w:t>
            </w:r>
          </w:p>
        </w:tc>
        <w:tc>
          <w:tcPr>
            <w:tcW w:w="837" w:type="dxa"/>
            <w:noWrap/>
            <w:vAlign w:val="center"/>
            <w:hideMark/>
          </w:tcPr>
          <w:p w14:paraId="2A367BB6"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$150.0</w:t>
            </w:r>
          </w:p>
        </w:tc>
        <w:tc>
          <w:tcPr>
            <w:tcW w:w="1067" w:type="dxa"/>
            <w:noWrap/>
            <w:vAlign w:val="center"/>
            <w:hideMark/>
          </w:tcPr>
          <w:p w14:paraId="0734C73E"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$220.4</w:t>
            </w:r>
          </w:p>
        </w:tc>
        <w:tc>
          <w:tcPr>
            <w:tcW w:w="1047" w:type="dxa"/>
            <w:noWrap/>
            <w:vAlign w:val="center"/>
            <w:hideMark/>
          </w:tcPr>
          <w:p w14:paraId="0ECC4C00"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$313.5</w:t>
            </w:r>
          </w:p>
        </w:tc>
      </w:tr>
      <w:tr w:rsidR="004F6ED5" w:rsidRPr="00BB1A98" w14:paraId="4C7B150A"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781F697F" w14:textId="1BDA2ABA"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Psycholog</w:t>
            </w:r>
            <w:r w:rsidR="00600EA9">
              <w:rPr>
                <w:rFonts w:cs="Arial"/>
                <w:b w:val="0"/>
                <w:sz w:val="18"/>
                <w:szCs w:val="18"/>
              </w:rPr>
              <w:t>ists</w:t>
            </w:r>
          </w:p>
        </w:tc>
        <w:tc>
          <w:tcPr>
            <w:tcW w:w="780" w:type="dxa"/>
            <w:noWrap/>
            <w:vAlign w:val="center"/>
            <w:hideMark/>
          </w:tcPr>
          <w:p w14:paraId="681F30B5"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434</w:t>
            </w:r>
          </w:p>
        </w:tc>
        <w:tc>
          <w:tcPr>
            <w:tcW w:w="767" w:type="dxa"/>
            <w:noWrap/>
            <w:vAlign w:val="center"/>
            <w:hideMark/>
          </w:tcPr>
          <w:p w14:paraId="0F9C8E76"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$212.8</w:t>
            </w:r>
          </w:p>
        </w:tc>
        <w:tc>
          <w:tcPr>
            <w:tcW w:w="1027" w:type="dxa"/>
            <w:noWrap/>
            <w:vAlign w:val="center"/>
            <w:hideMark/>
          </w:tcPr>
          <w:p w14:paraId="0411FE44"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47</w:t>
            </w:r>
          </w:p>
        </w:tc>
        <w:tc>
          <w:tcPr>
            <w:tcW w:w="1006" w:type="dxa"/>
            <w:noWrap/>
            <w:vAlign w:val="center"/>
            <w:hideMark/>
          </w:tcPr>
          <w:p w14:paraId="41542F6D"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$108.0</w:t>
            </w:r>
          </w:p>
        </w:tc>
        <w:tc>
          <w:tcPr>
            <w:tcW w:w="1067" w:type="dxa"/>
            <w:noWrap/>
            <w:vAlign w:val="center"/>
            <w:hideMark/>
          </w:tcPr>
          <w:p w14:paraId="55AC2F54"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$189.8</w:t>
            </w:r>
          </w:p>
        </w:tc>
        <w:tc>
          <w:tcPr>
            <w:tcW w:w="837" w:type="dxa"/>
            <w:noWrap/>
            <w:vAlign w:val="center"/>
            <w:hideMark/>
          </w:tcPr>
          <w:p w14:paraId="49A09556"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$215.5</w:t>
            </w:r>
          </w:p>
        </w:tc>
        <w:tc>
          <w:tcPr>
            <w:tcW w:w="1067" w:type="dxa"/>
            <w:noWrap/>
            <w:vAlign w:val="center"/>
            <w:hideMark/>
          </w:tcPr>
          <w:p w14:paraId="308DECB2"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$246.5</w:t>
            </w:r>
          </w:p>
        </w:tc>
        <w:tc>
          <w:tcPr>
            <w:tcW w:w="1047" w:type="dxa"/>
            <w:noWrap/>
            <w:vAlign w:val="center"/>
            <w:hideMark/>
          </w:tcPr>
          <w:p w14:paraId="4FBE2415"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$312.0</w:t>
            </w:r>
          </w:p>
        </w:tc>
      </w:tr>
      <w:tr w:rsidR="007D224D" w:rsidRPr="00BB1A98" w14:paraId="0B55E614" w14:textId="77777777" w:rsidTr="00DD01AE">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28E3118D" w14:textId="02348F5D"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Psycholo</w:t>
            </w:r>
            <w:r w:rsidR="00600EA9">
              <w:rPr>
                <w:rFonts w:cs="Arial"/>
                <w:b w:val="0"/>
                <w:sz w:val="18"/>
                <w:szCs w:val="18"/>
              </w:rPr>
              <w:t>gists</w:t>
            </w:r>
            <w:r w:rsidRPr="00E63BE6">
              <w:rPr>
                <w:rFonts w:cs="Arial"/>
                <w:b w:val="0"/>
                <w:sz w:val="18"/>
                <w:szCs w:val="18"/>
              </w:rPr>
              <w:t xml:space="preserve"> </w:t>
            </w:r>
            <w:r w:rsidR="00600EA9">
              <w:rPr>
                <w:rFonts w:cs="Arial"/>
                <w:b w:val="0"/>
                <w:sz w:val="18"/>
                <w:szCs w:val="18"/>
              </w:rPr>
              <w:t>–</w:t>
            </w:r>
            <w:r w:rsidRPr="00E63BE6">
              <w:rPr>
                <w:rFonts w:cs="Arial"/>
                <w:b w:val="0"/>
                <w:sz w:val="18"/>
                <w:szCs w:val="18"/>
              </w:rPr>
              <w:t xml:space="preserve"> Clinical</w:t>
            </w:r>
          </w:p>
        </w:tc>
        <w:tc>
          <w:tcPr>
            <w:tcW w:w="780" w:type="dxa"/>
            <w:noWrap/>
            <w:vAlign w:val="center"/>
            <w:hideMark/>
          </w:tcPr>
          <w:p w14:paraId="2A251DCC"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292</w:t>
            </w:r>
          </w:p>
        </w:tc>
        <w:tc>
          <w:tcPr>
            <w:tcW w:w="767" w:type="dxa"/>
            <w:noWrap/>
            <w:vAlign w:val="center"/>
            <w:hideMark/>
          </w:tcPr>
          <w:p w14:paraId="6CF4F133"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$258.4</w:t>
            </w:r>
          </w:p>
        </w:tc>
        <w:tc>
          <w:tcPr>
            <w:tcW w:w="1027" w:type="dxa"/>
            <w:noWrap/>
            <w:vAlign w:val="center"/>
            <w:hideMark/>
          </w:tcPr>
          <w:p w14:paraId="0BD6266B"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42</w:t>
            </w:r>
          </w:p>
        </w:tc>
        <w:tc>
          <w:tcPr>
            <w:tcW w:w="1006" w:type="dxa"/>
            <w:noWrap/>
            <w:vAlign w:val="center"/>
            <w:hideMark/>
          </w:tcPr>
          <w:p w14:paraId="318C9823"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$150.0</w:t>
            </w:r>
          </w:p>
        </w:tc>
        <w:tc>
          <w:tcPr>
            <w:tcW w:w="1067" w:type="dxa"/>
            <w:noWrap/>
            <w:vAlign w:val="center"/>
            <w:hideMark/>
          </w:tcPr>
          <w:p w14:paraId="79B53234"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$228.0</w:t>
            </w:r>
          </w:p>
        </w:tc>
        <w:tc>
          <w:tcPr>
            <w:tcW w:w="837" w:type="dxa"/>
            <w:noWrap/>
            <w:vAlign w:val="center"/>
            <w:hideMark/>
          </w:tcPr>
          <w:p w14:paraId="3753FDA3"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$260.4</w:t>
            </w:r>
          </w:p>
        </w:tc>
        <w:tc>
          <w:tcPr>
            <w:tcW w:w="1067" w:type="dxa"/>
            <w:noWrap/>
            <w:vAlign w:val="center"/>
            <w:hideMark/>
          </w:tcPr>
          <w:p w14:paraId="2C361CB9"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$291.6</w:t>
            </w:r>
          </w:p>
        </w:tc>
        <w:tc>
          <w:tcPr>
            <w:tcW w:w="1047" w:type="dxa"/>
            <w:noWrap/>
            <w:vAlign w:val="center"/>
            <w:hideMark/>
          </w:tcPr>
          <w:p w14:paraId="32F8BC20"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$360.0</w:t>
            </w:r>
          </w:p>
        </w:tc>
      </w:tr>
      <w:tr w:rsidR="004F6ED5" w:rsidRPr="00BB1A98" w14:paraId="0B521DA3" w14:textId="77777777" w:rsidTr="00DD01AE">
        <w:trPr>
          <w:trHeight w:val="122"/>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7968478F" w14:textId="356C9C55"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Social Worker</w:t>
            </w:r>
            <w:r w:rsidR="00600EA9">
              <w:rPr>
                <w:rFonts w:cs="Arial"/>
                <w:b w:val="0"/>
                <w:sz w:val="18"/>
                <w:szCs w:val="18"/>
              </w:rPr>
              <w:t>s</w:t>
            </w:r>
          </w:p>
        </w:tc>
        <w:tc>
          <w:tcPr>
            <w:tcW w:w="780" w:type="dxa"/>
            <w:noWrap/>
            <w:vAlign w:val="center"/>
            <w:hideMark/>
          </w:tcPr>
          <w:p w14:paraId="308E1EEE"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107</w:t>
            </w:r>
          </w:p>
        </w:tc>
        <w:tc>
          <w:tcPr>
            <w:tcW w:w="767" w:type="dxa"/>
            <w:noWrap/>
            <w:vAlign w:val="center"/>
            <w:hideMark/>
          </w:tcPr>
          <w:p w14:paraId="57454C2D"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b/>
                <w:smallCaps/>
                <w:color w:val="6B2976"/>
                <w:sz w:val="18"/>
                <w:szCs w:val="18"/>
              </w:rPr>
            </w:pPr>
            <w:r w:rsidRPr="00E63BE6">
              <w:rPr>
                <w:rFonts w:cs="Arial"/>
                <w:color w:val="000000"/>
                <w:sz w:val="18"/>
                <w:szCs w:val="18"/>
              </w:rPr>
              <w:t>$169.2</w:t>
            </w:r>
          </w:p>
        </w:tc>
        <w:tc>
          <w:tcPr>
            <w:tcW w:w="1027" w:type="dxa"/>
            <w:noWrap/>
            <w:vAlign w:val="center"/>
            <w:hideMark/>
          </w:tcPr>
          <w:p w14:paraId="188851A3"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49</w:t>
            </w:r>
          </w:p>
        </w:tc>
        <w:tc>
          <w:tcPr>
            <w:tcW w:w="1006" w:type="dxa"/>
            <w:noWrap/>
            <w:vAlign w:val="center"/>
            <w:hideMark/>
          </w:tcPr>
          <w:p w14:paraId="40B09449" w14:textId="77777777" w:rsidR="00320636" w:rsidRPr="00E63BE6" w:rsidRDefault="00320636" w:rsidP="00FA16E4">
            <w:pPr>
              <w:keepNext/>
              <w:spacing w:before="60" w:after="60"/>
              <w:ind w:right="113"/>
              <w:jc w:val="right"/>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$93.3</w:t>
            </w:r>
          </w:p>
        </w:tc>
        <w:tc>
          <w:tcPr>
            <w:tcW w:w="1067" w:type="dxa"/>
            <w:noWrap/>
            <w:vAlign w:val="center"/>
            <w:hideMark/>
          </w:tcPr>
          <w:p w14:paraId="51358597"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$120.0</w:t>
            </w:r>
          </w:p>
        </w:tc>
        <w:tc>
          <w:tcPr>
            <w:tcW w:w="837" w:type="dxa"/>
            <w:noWrap/>
            <w:vAlign w:val="center"/>
            <w:hideMark/>
          </w:tcPr>
          <w:p w14:paraId="0D52E03A"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$156.2</w:t>
            </w:r>
          </w:p>
        </w:tc>
        <w:tc>
          <w:tcPr>
            <w:tcW w:w="1067" w:type="dxa"/>
            <w:noWrap/>
            <w:vAlign w:val="center"/>
            <w:hideMark/>
          </w:tcPr>
          <w:p w14:paraId="3F70D9E7"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$216.0</w:t>
            </w:r>
          </w:p>
        </w:tc>
        <w:tc>
          <w:tcPr>
            <w:tcW w:w="1047" w:type="dxa"/>
            <w:noWrap/>
            <w:vAlign w:val="center"/>
            <w:hideMark/>
          </w:tcPr>
          <w:p w14:paraId="67643BAC" w14:textId="77777777" w:rsidR="00320636" w:rsidRPr="00E63BE6" w:rsidRDefault="00320636" w:rsidP="00FA16E4">
            <w:pPr>
              <w:keepNext/>
              <w:spacing w:before="60" w:after="60"/>
              <w:jc w:val="center"/>
              <w:cnfStyle w:val="000000000000" w:firstRow="0" w:lastRow="0" w:firstColumn="0" w:lastColumn="0" w:oddVBand="0" w:evenVBand="0" w:oddHBand="0" w:evenHBand="0" w:firstRowFirstColumn="0" w:firstRowLastColumn="0" w:lastRowFirstColumn="0" w:lastRowLastColumn="0"/>
              <w:rPr>
                <w:rFonts w:eastAsia="MS PGothic" w:cs="Arial"/>
                <w:smallCaps/>
                <w:color w:val="6B2976"/>
                <w:sz w:val="18"/>
                <w:szCs w:val="18"/>
              </w:rPr>
            </w:pPr>
            <w:r w:rsidRPr="00E63BE6">
              <w:rPr>
                <w:rFonts w:cs="Arial"/>
                <w:color w:val="000000"/>
                <w:sz w:val="18"/>
                <w:szCs w:val="18"/>
              </w:rPr>
              <w:t>$312.0</w:t>
            </w:r>
          </w:p>
        </w:tc>
      </w:tr>
      <w:tr w:rsidR="007D224D" w:rsidRPr="00BB1A98" w14:paraId="136EC50E" w14:textId="77777777" w:rsidTr="00DD01A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37" w:type="dxa"/>
            <w:noWrap/>
            <w:vAlign w:val="center"/>
            <w:hideMark/>
          </w:tcPr>
          <w:p w14:paraId="6847BC1F" w14:textId="12A59EB5" w:rsidR="00320636" w:rsidRPr="00E63BE6" w:rsidRDefault="00320636" w:rsidP="00FA16E4">
            <w:pPr>
              <w:keepNext/>
              <w:spacing w:before="60" w:after="60"/>
              <w:rPr>
                <w:rFonts w:eastAsia="MS PGothic" w:cs="Arial"/>
                <w:b w:val="0"/>
                <w:smallCaps/>
                <w:sz w:val="18"/>
                <w:szCs w:val="18"/>
              </w:rPr>
            </w:pPr>
            <w:r w:rsidRPr="00E63BE6">
              <w:rPr>
                <w:rFonts w:cs="Arial"/>
                <w:b w:val="0"/>
                <w:sz w:val="18"/>
                <w:szCs w:val="18"/>
              </w:rPr>
              <w:t>Speech Patholog</w:t>
            </w:r>
            <w:r w:rsidR="00600EA9">
              <w:rPr>
                <w:rFonts w:cs="Arial"/>
                <w:b w:val="0"/>
                <w:sz w:val="18"/>
                <w:szCs w:val="18"/>
              </w:rPr>
              <w:t>ists</w:t>
            </w:r>
          </w:p>
        </w:tc>
        <w:tc>
          <w:tcPr>
            <w:tcW w:w="780" w:type="dxa"/>
            <w:noWrap/>
            <w:vAlign w:val="center"/>
            <w:hideMark/>
          </w:tcPr>
          <w:p w14:paraId="2308DD29"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234</w:t>
            </w:r>
          </w:p>
        </w:tc>
        <w:tc>
          <w:tcPr>
            <w:tcW w:w="767" w:type="dxa"/>
            <w:noWrap/>
            <w:vAlign w:val="center"/>
            <w:hideMark/>
          </w:tcPr>
          <w:p w14:paraId="261936F4"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b/>
                <w:smallCaps/>
                <w:color w:val="000000"/>
                <w:sz w:val="18"/>
                <w:szCs w:val="18"/>
              </w:rPr>
            </w:pPr>
            <w:r w:rsidRPr="00E63BE6">
              <w:rPr>
                <w:rFonts w:cs="Arial"/>
                <w:color w:val="000000"/>
                <w:sz w:val="18"/>
                <w:szCs w:val="18"/>
              </w:rPr>
              <w:t>$169.0</w:t>
            </w:r>
          </w:p>
        </w:tc>
        <w:tc>
          <w:tcPr>
            <w:tcW w:w="1027" w:type="dxa"/>
            <w:noWrap/>
            <w:vAlign w:val="center"/>
            <w:hideMark/>
          </w:tcPr>
          <w:p w14:paraId="305DE5F0"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36</w:t>
            </w:r>
          </w:p>
        </w:tc>
        <w:tc>
          <w:tcPr>
            <w:tcW w:w="1006" w:type="dxa"/>
            <w:noWrap/>
            <w:vAlign w:val="center"/>
            <w:hideMark/>
          </w:tcPr>
          <w:p w14:paraId="1D4B03FA" w14:textId="77777777" w:rsidR="00320636" w:rsidRPr="00E63BE6" w:rsidRDefault="00320636" w:rsidP="00FA16E4">
            <w:pPr>
              <w:keepNext/>
              <w:spacing w:before="60" w:after="60"/>
              <w:ind w:right="113"/>
              <w:jc w:val="right"/>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$95.0</w:t>
            </w:r>
          </w:p>
        </w:tc>
        <w:tc>
          <w:tcPr>
            <w:tcW w:w="1067" w:type="dxa"/>
            <w:noWrap/>
            <w:vAlign w:val="center"/>
            <w:hideMark/>
          </w:tcPr>
          <w:p w14:paraId="61E454DA"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$140.0</w:t>
            </w:r>
          </w:p>
        </w:tc>
        <w:tc>
          <w:tcPr>
            <w:tcW w:w="837" w:type="dxa"/>
            <w:noWrap/>
            <w:vAlign w:val="center"/>
            <w:hideMark/>
          </w:tcPr>
          <w:p w14:paraId="0F981088"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$174.2</w:t>
            </w:r>
          </w:p>
        </w:tc>
        <w:tc>
          <w:tcPr>
            <w:tcW w:w="1067" w:type="dxa"/>
            <w:noWrap/>
            <w:vAlign w:val="center"/>
            <w:hideMark/>
          </w:tcPr>
          <w:p w14:paraId="57BEE302"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$193.3</w:t>
            </w:r>
          </w:p>
        </w:tc>
        <w:tc>
          <w:tcPr>
            <w:tcW w:w="1047" w:type="dxa"/>
            <w:noWrap/>
            <w:vAlign w:val="center"/>
            <w:hideMark/>
          </w:tcPr>
          <w:p w14:paraId="5117A701" w14:textId="77777777" w:rsidR="00320636" w:rsidRPr="00E63BE6" w:rsidRDefault="00320636" w:rsidP="00FA16E4">
            <w:pPr>
              <w:keepNext/>
              <w:spacing w:before="60" w:after="60"/>
              <w:jc w:val="center"/>
              <w:cnfStyle w:val="000000100000" w:firstRow="0" w:lastRow="0" w:firstColumn="0" w:lastColumn="0" w:oddVBand="0" w:evenVBand="0" w:oddHBand="1" w:evenHBand="0" w:firstRowFirstColumn="0" w:firstRowLastColumn="0" w:lastRowFirstColumn="0" w:lastRowLastColumn="0"/>
              <w:rPr>
                <w:rFonts w:eastAsia="MS PGothic" w:cs="Arial"/>
                <w:smallCaps/>
                <w:color w:val="000000"/>
                <w:sz w:val="18"/>
                <w:szCs w:val="18"/>
              </w:rPr>
            </w:pPr>
            <w:r w:rsidRPr="00E63BE6">
              <w:rPr>
                <w:rFonts w:cs="Arial"/>
                <w:color w:val="000000"/>
                <w:sz w:val="18"/>
                <w:szCs w:val="18"/>
              </w:rPr>
              <w:t>$250.0</w:t>
            </w:r>
          </w:p>
        </w:tc>
      </w:tr>
      <w:tr w:rsidR="004F6ED5" w:rsidRPr="00BB1A98" w14:paraId="145B4620" w14:textId="77777777" w:rsidTr="00DD01AE">
        <w:trPr>
          <w:trHeight w:val="397"/>
        </w:trPr>
        <w:tc>
          <w:tcPr>
            <w:cnfStyle w:val="001000000000" w:firstRow="0" w:lastRow="0" w:firstColumn="1" w:lastColumn="0" w:oddVBand="0" w:evenVBand="0" w:oddHBand="0" w:evenHBand="0" w:firstRowFirstColumn="0" w:firstRowLastColumn="0" w:lastRowFirstColumn="0" w:lastRowLastColumn="0"/>
            <w:tcW w:w="1537" w:type="dxa"/>
            <w:noWrap/>
            <w:vAlign w:val="center"/>
          </w:tcPr>
          <w:p w14:paraId="5FFEAAFD" w14:textId="50CAEDCB" w:rsidR="0022198C" w:rsidRPr="00E63BE6" w:rsidRDefault="0022198C" w:rsidP="0022198C">
            <w:pPr>
              <w:keepNext/>
              <w:rPr>
                <w:rFonts w:eastAsia="MS PGothic" w:cs="Arial"/>
                <w:smallCaps/>
                <w:sz w:val="18"/>
                <w:szCs w:val="18"/>
              </w:rPr>
            </w:pPr>
            <w:r w:rsidRPr="00E63BE6">
              <w:rPr>
                <w:rFonts w:cs="Arial"/>
                <w:sz w:val="18"/>
                <w:szCs w:val="18"/>
              </w:rPr>
              <w:t>Total Sample</w:t>
            </w:r>
          </w:p>
        </w:tc>
        <w:tc>
          <w:tcPr>
            <w:tcW w:w="780" w:type="dxa"/>
            <w:noWrap/>
            <w:vAlign w:val="center"/>
          </w:tcPr>
          <w:p w14:paraId="47F2951D" w14:textId="556A11BF" w:rsidR="0022198C" w:rsidRPr="00E63BE6" w:rsidRDefault="0022198C" w:rsidP="00FA16E4">
            <w:pPr>
              <w:keepNext/>
              <w:ind w:right="113"/>
              <w:jc w:val="righ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E63BE6">
              <w:rPr>
                <w:rFonts w:cs="Arial"/>
                <w:b/>
                <w:color w:val="000000"/>
                <w:sz w:val="18"/>
                <w:szCs w:val="18"/>
              </w:rPr>
              <w:t>2,857</w:t>
            </w:r>
          </w:p>
        </w:tc>
        <w:tc>
          <w:tcPr>
            <w:tcW w:w="767" w:type="dxa"/>
            <w:noWrap/>
            <w:vAlign w:val="center"/>
          </w:tcPr>
          <w:p w14:paraId="404F44EA" w14:textId="6137A001"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$184.4</w:t>
            </w:r>
          </w:p>
        </w:tc>
        <w:tc>
          <w:tcPr>
            <w:tcW w:w="1027" w:type="dxa"/>
            <w:noWrap/>
            <w:vAlign w:val="center"/>
          </w:tcPr>
          <w:p w14:paraId="3C139482" w14:textId="2E023B7A"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55</w:t>
            </w:r>
          </w:p>
        </w:tc>
        <w:tc>
          <w:tcPr>
            <w:tcW w:w="1006" w:type="dxa"/>
            <w:noWrap/>
            <w:vAlign w:val="center"/>
          </w:tcPr>
          <w:p w14:paraId="56350E5A" w14:textId="26B08D7D" w:rsidR="0022198C" w:rsidRPr="00E63BE6" w:rsidRDefault="0022198C" w:rsidP="00FA16E4">
            <w:pPr>
              <w:keepNext/>
              <w:ind w:right="113"/>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$73.3</w:t>
            </w:r>
          </w:p>
        </w:tc>
        <w:tc>
          <w:tcPr>
            <w:tcW w:w="1067" w:type="dxa"/>
            <w:noWrap/>
            <w:vAlign w:val="center"/>
          </w:tcPr>
          <w:p w14:paraId="4C746557" w14:textId="5E30C9E7"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$140.0</w:t>
            </w:r>
          </w:p>
        </w:tc>
        <w:tc>
          <w:tcPr>
            <w:tcW w:w="837" w:type="dxa"/>
            <w:noWrap/>
            <w:vAlign w:val="center"/>
          </w:tcPr>
          <w:p w14:paraId="2860A1DC" w14:textId="10BE866D"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$185.0</w:t>
            </w:r>
          </w:p>
        </w:tc>
        <w:tc>
          <w:tcPr>
            <w:tcW w:w="1067" w:type="dxa"/>
            <w:noWrap/>
            <w:vAlign w:val="center"/>
          </w:tcPr>
          <w:p w14:paraId="1E2E33F0" w14:textId="7837BF76"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$220.0</w:t>
            </w:r>
          </w:p>
        </w:tc>
        <w:tc>
          <w:tcPr>
            <w:tcW w:w="1047" w:type="dxa"/>
            <w:noWrap/>
            <w:vAlign w:val="center"/>
          </w:tcPr>
          <w:p w14:paraId="6D8B4ECF" w14:textId="0DB91718" w:rsidR="0022198C" w:rsidRPr="00E63BE6" w:rsidRDefault="0022198C" w:rsidP="0022198C">
            <w:pPr>
              <w:keepNext/>
              <w:jc w:val="cente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63BE6">
              <w:rPr>
                <w:rFonts w:cs="Arial"/>
                <w:b/>
                <w:color w:val="000000"/>
                <w:sz w:val="18"/>
                <w:szCs w:val="18"/>
              </w:rPr>
              <w:t>$360.0</w:t>
            </w:r>
          </w:p>
        </w:tc>
      </w:tr>
    </w:tbl>
    <w:bookmarkEnd w:id="101"/>
    <w:bookmarkEnd w:id="102"/>
    <w:bookmarkEnd w:id="103"/>
    <w:p w14:paraId="3DB6F59D" w14:textId="7C61BB56" w:rsidR="00320636" w:rsidRPr="006F4B1E" w:rsidRDefault="00CE0652" w:rsidP="006F4B1E">
      <w:pPr>
        <w:rPr>
          <w:rFonts w:eastAsia="MS PGothic" w:cs="Arial"/>
          <w:noProof/>
          <w:lang w:eastAsia="en-AU"/>
        </w:rPr>
      </w:pPr>
      <w:r>
        <w:rPr>
          <w:rFonts w:eastAsia="MS PGothic" w:cs="Arial"/>
        </w:rPr>
        <w:t>S</w:t>
      </w:r>
      <w:r w:rsidR="00320636" w:rsidRPr="008B5824">
        <w:rPr>
          <w:rFonts w:eastAsia="MS PGothic" w:cs="Arial"/>
        </w:rPr>
        <w:t>tatistical</w:t>
      </w:r>
      <w:r w:rsidR="00320636" w:rsidRPr="008B5824">
        <w:rPr>
          <w:rFonts w:eastAsia="MS PGothic" w:cs="Arial"/>
          <w:noProof/>
          <w:lang w:eastAsia="en-AU"/>
        </w:rPr>
        <w:t xml:space="preserve"> model</w:t>
      </w:r>
      <w:r>
        <w:rPr>
          <w:rFonts w:eastAsia="MS PGothic" w:cs="Arial"/>
          <w:noProof/>
          <w:lang w:eastAsia="en-AU"/>
        </w:rPr>
        <w:t>s were</w:t>
      </w:r>
      <w:r w:rsidR="00320636" w:rsidRPr="008B5824">
        <w:rPr>
          <w:rFonts w:eastAsia="MS PGothic" w:cs="Arial"/>
          <w:noProof/>
          <w:lang w:eastAsia="en-AU"/>
        </w:rPr>
        <w:t xml:space="preserve"> built </w:t>
      </w:r>
      <w:r>
        <w:rPr>
          <w:rFonts w:eastAsia="MS PGothic" w:cs="Arial"/>
          <w:noProof/>
          <w:lang w:eastAsia="en-AU"/>
        </w:rPr>
        <w:t xml:space="preserve">for the </w:t>
      </w:r>
      <w:r w:rsidR="00320636" w:rsidRPr="008B5824">
        <w:rPr>
          <w:rFonts w:eastAsia="MS PGothic" w:cs="Arial"/>
          <w:noProof/>
          <w:lang w:eastAsia="en-AU"/>
        </w:rPr>
        <w:t>private billing data set (see</w:t>
      </w:r>
      <w:r w:rsidR="00DD01AE">
        <w:rPr>
          <w:rFonts w:eastAsia="MS PGothic" w:cs="Arial"/>
          <w:noProof/>
          <w:lang w:eastAsia="en-AU"/>
        </w:rPr>
        <w:t xml:space="preserve"> </w:t>
      </w:r>
      <w:r w:rsidR="00DD01AE">
        <w:rPr>
          <w:rFonts w:eastAsia="MS PGothic" w:cs="Arial"/>
          <w:noProof/>
          <w:lang w:eastAsia="en-AU"/>
        </w:rPr>
        <w:fldChar w:fldCharType="begin"/>
      </w:r>
      <w:r w:rsidR="00DD01AE">
        <w:rPr>
          <w:rFonts w:eastAsia="MS PGothic" w:cs="Arial"/>
          <w:noProof/>
          <w:lang w:eastAsia="en-AU"/>
        </w:rPr>
        <w:instrText xml:space="preserve"> REF _Ref134303565 </w:instrText>
      </w:r>
      <w:r w:rsidR="00DD01AE">
        <w:rPr>
          <w:rFonts w:eastAsia="MS PGothic" w:cs="Arial"/>
          <w:noProof/>
          <w:lang w:eastAsia="en-AU"/>
        </w:rPr>
        <w:fldChar w:fldCharType="separate"/>
      </w:r>
      <w:r w:rsidR="00D64E4C">
        <w:t xml:space="preserve">Table </w:t>
      </w:r>
      <w:r w:rsidR="00D64E4C">
        <w:rPr>
          <w:noProof/>
        </w:rPr>
        <w:t>10</w:t>
      </w:r>
      <w:r w:rsidR="00DD01AE">
        <w:rPr>
          <w:rFonts w:eastAsia="MS PGothic" w:cs="Arial"/>
          <w:noProof/>
          <w:lang w:eastAsia="en-AU"/>
        </w:rPr>
        <w:fldChar w:fldCharType="end"/>
      </w:r>
      <w:r w:rsidR="00320636" w:rsidRPr="008B5824">
        <w:rPr>
          <w:rFonts w:eastAsia="MS PGothic" w:cs="Arial"/>
          <w:noProof/>
          <w:lang w:eastAsia="en-AU"/>
        </w:rPr>
        <w:t xml:space="preserve">). </w:t>
      </w:r>
      <w:r w:rsidR="000A4D96">
        <w:rPr>
          <w:rFonts w:eastAsia="MS PGothic" w:cs="Arial"/>
          <w:noProof/>
          <w:lang w:eastAsia="en-AU"/>
        </w:rPr>
        <w:t xml:space="preserve">A series of </w:t>
      </w:r>
      <w:r w:rsidR="002C35E3" w:rsidRPr="00D61849">
        <w:rPr>
          <w:rFonts w:eastAsia="MS PGothic" w:cs="Arial"/>
          <w:noProof/>
          <w:lang w:eastAsia="en-AU"/>
        </w:rPr>
        <w:t>Tukey</w:t>
      </w:r>
      <w:r w:rsidR="000A4D96" w:rsidRPr="00D61849">
        <w:rPr>
          <w:rFonts w:eastAsia="MS PGothic" w:cs="Arial"/>
          <w:noProof/>
          <w:lang w:eastAsia="en-AU"/>
        </w:rPr>
        <w:t>’s range</w:t>
      </w:r>
      <w:r w:rsidR="002C35E3" w:rsidRPr="00D61849">
        <w:rPr>
          <w:rFonts w:eastAsia="MS PGothic" w:cs="Arial"/>
          <w:noProof/>
          <w:lang w:eastAsia="en-AU"/>
        </w:rPr>
        <w:t xml:space="preserve"> tests</w:t>
      </w:r>
      <w:r w:rsidR="002C35E3">
        <w:rPr>
          <w:rFonts w:eastAsia="MS PGothic" w:cs="Arial"/>
          <w:noProof/>
          <w:lang w:eastAsia="en-AU"/>
        </w:rPr>
        <w:t xml:space="preserve"> </w:t>
      </w:r>
      <w:r w:rsidR="00781668">
        <w:rPr>
          <w:rFonts w:eastAsia="MS PGothic" w:cs="Arial"/>
          <w:noProof/>
          <w:lang w:eastAsia="en-AU"/>
        </w:rPr>
        <w:t xml:space="preserve">were </w:t>
      </w:r>
      <w:r w:rsidR="00B37AC2">
        <w:rPr>
          <w:rFonts w:eastAsia="MS PGothic" w:cs="Arial"/>
          <w:noProof/>
          <w:lang w:eastAsia="en-AU"/>
        </w:rPr>
        <w:t>undertaken</w:t>
      </w:r>
      <w:r w:rsidR="00781668">
        <w:rPr>
          <w:rFonts w:eastAsia="MS PGothic" w:cs="Arial"/>
          <w:noProof/>
          <w:lang w:eastAsia="en-AU"/>
        </w:rPr>
        <w:t xml:space="preserve"> to group therapy types with </w:t>
      </w:r>
      <w:r w:rsidR="00CA626D">
        <w:rPr>
          <w:rFonts w:eastAsia="MS PGothic" w:cs="Arial"/>
          <w:noProof/>
          <w:lang w:eastAsia="en-AU"/>
        </w:rPr>
        <w:t>similar</w:t>
      </w:r>
      <w:r w:rsidR="00781668">
        <w:rPr>
          <w:rFonts w:eastAsia="MS PGothic" w:cs="Arial"/>
          <w:noProof/>
          <w:lang w:eastAsia="en-AU"/>
        </w:rPr>
        <w:t xml:space="preserve"> </w:t>
      </w:r>
      <w:r w:rsidR="00BF1E4F">
        <w:rPr>
          <w:rFonts w:eastAsia="MS PGothic" w:cs="Arial"/>
          <w:noProof/>
          <w:lang w:eastAsia="en-AU"/>
        </w:rPr>
        <w:t xml:space="preserve">private billing </w:t>
      </w:r>
      <w:r w:rsidR="00781668">
        <w:rPr>
          <w:rFonts w:eastAsia="MS PGothic" w:cs="Arial"/>
          <w:noProof/>
          <w:lang w:eastAsia="en-AU"/>
        </w:rPr>
        <w:lastRenderedPageBreak/>
        <w:t xml:space="preserve">means. The test found that </w:t>
      </w:r>
      <w:r w:rsidR="00600EA9" w:rsidRPr="00600EA9">
        <w:rPr>
          <w:rFonts w:cs="Arial"/>
          <w:noProof/>
          <w:lang w:eastAsia="en-AU"/>
        </w:rPr>
        <w:t xml:space="preserve">Audiologists, Dietitians, Music Therapists, Occupational Therapists, Physiotherapists, Podiatrists, Social Workers, Speech Pathologists </w:t>
      </w:r>
      <w:r w:rsidR="00781668">
        <w:rPr>
          <w:rFonts w:cs="Arial"/>
          <w:noProof/>
          <w:lang w:eastAsia="en-AU"/>
        </w:rPr>
        <w:t>(group 1 – base case) ha</w:t>
      </w:r>
      <w:r w:rsidR="009F1360">
        <w:rPr>
          <w:rFonts w:cs="Arial"/>
          <w:noProof/>
          <w:lang w:eastAsia="en-AU"/>
        </w:rPr>
        <w:t>d</w:t>
      </w:r>
      <w:r w:rsidR="00781668">
        <w:rPr>
          <w:rFonts w:cs="Arial"/>
          <w:noProof/>
          <w:lang w:eastAsia="en-AU"/>
        </w:rPr>
        <w:t xml:space="preserve"> similar means, while </w:t>
      </w:r>
      <w:r w:rsidR="00781668" w:rsidRPr="009E19BE">
        <w:rPr>
          <w:rFonts w:cs="Arial"/>
          <w:noProof/>
          <w:lang w:eastAsia="en-AU"/>
        </w:rPr>
        <w:t>Counsellors</w:t>
      </w:r>
      <w:r w:rsidR="00781668" w:rsidRPr="00AC7F4A">
        <w:rPr>
          <w:rFonts w:cs="Arial"/>
          <w:noProof/>
          <w:lang w:eastAsia="en-AU"/>
        </w:rPr>
        <w:t xml:space="preserve">, Exercise Physiologists and </w:t>
      </w:r>
      <w:r w:rsidR="00781668">
        <w:rPr>
          <w:rFonts w:cs="Arial"/>
          <w:noProof/>
          <w:lang w:eastAsia="en-AU"/>
        </w:rPr>
        <w:t xml:space="preserve">Art </w:t>
      </w:r>
      <w:r w:rsidR="00781668" w:rsidRPr="00AC7F4A">
        <w:rPr>
          <w:rFonts w:cs="Arial"/>
          <w:noProof/>
          <w:lang w:eastAsia="en-AU"/>
        </w:rPr>
        <w:t>Therapists</w:t>
      </w:r>
      <w:r w:rsidR="00781668" w:rsidRPr="008B5824">
        <w:rPr>
          <w:rFonts w:eastAsia="MS PGothic" w:cs="Arial"/>
          <w:noProof/>
          <w:lang w:eastAsia="en-AU"/>
        </w:rPr>
        <w:t xml:space="preserve"> </w:t>
      </w:r>
      <w:r w:rsidR="00781668">
        <w:rPr>
          <w:rFonts w:eastAsia="MS PGothic" w:cs="Arial"/>
          <w:noProof/>
          <w:lang w:eastAsia="en-AU"/>
        </w:rPr>
        <w:t>(group 2)</w:t>
      </w:r>
      <w:r w:rsidR="00EC320A">
        <w:rPr>
          <w:rFonts w:eastAsia="MS PGothic" w:cs="Arial"/>
          <w:noProof/>
          <w:lang w:eastAsia="en-AU"/>
        </w:rPr>
        <w:t>, also had similar means.</w:t>
      </w:r>
      <w:r w:rsidR="009F1360">
        <w:rPr>
          <w:rFonts w:eastAsia="MS PGothic" w:cs="Arial"/>
          <w:noProof/>
          <w:lang w:eastAsia="en-AU"/>
        </w:rPr>
        <w:t xml:space="preserve"> </w:t>
      </w:r>
      <w:r w:rsidR="00320636" w:rsidRPr="008B5824">
        <w:rPr>
          <w:rFonts w:eastAsia="MS PGothic" w:cs="Arial"/>
          <w:noProof/>
          <w:lang w:eastAsia="en-AU"/>
        </w:rPr>
        <w:t>The modelling began with indicator variables for each state/territory</w:t>
      </w:r>
      <w:r w:rsidR="00DF3261">
        <w:rPr>
          <w:rFonts w:eastAsia="MS PGothic" w:cs="Arial"/>
          <w:noProof/>
          <w:lang w:eastAsia="en-AU"/>
        </w:rPr>
        <w:t xml:space="preserve"> (model 1)</w:t>
      </w:r>
      <w:r w:rsidR="00320636" w:rsidRPr="008B5824">
        <w:rPr>
          <w:rFonts w:eastAsia="MS PGothic" w:cs="Arial"/>
          <w:noProof/>
          <w:lang w:eastAsia="en-AU"/>
        </w:rPr>
        <w:t>,</w:t>
      </w:r>
      <w:r w:rsidR="00DF3261">
        <w:rPr>
          <w:rFonts w:eastAsia="MS PGothic" w:cs="Arial"/>
          <w:noProof/>
          <w:lang w:eastAsia="en-AU"/>
        </w:rPr>
        <w:t xml:space="preserve"> </w:t>
      </w:r>
      <w:r w:rsidR="00C14E9F">
        <w:rPr>
          <w:rFonts w:eastAsia="MS PGothic" w:cs="Arial"/>
          <w:noProof/>
          <w:lang w:eastAsia="en-AU"/>
        </w:rPr>
        <w:t xml:space="preserve">plus a regional </w:t>
      </w:r>
      <w:r w:rsidR="16FDDE98">
        <w:rPr>
          <w:rFonts w:eastAsia="MS PGothic" w:cs="Arial"/>
          <w:noProof/>
          <w:lang w:eastAsia="en-AU"/>
        </w:rPr>
        <w:t>indic</w:t>
      </w:r>
      <w:r w:rsidR="5CF40FE4">
        <w:rPr>
          <w:rFonts w:eastAsia="MS PGothic" w:cs="Arial"/>
          <w:noProof/>
          <w:lang w:eastAsia="en-AU"/>
        </w:rPr>
        <w:t>a</w:t>
      </w:r>
      <w:r w:rsidR="16FDDE98">
        <w:rPr>
          <w:rFonts w:eastAsia="MS PGothic" w:cs="Arial"/>
          <w:noProof/>
          <w:lang w:eastAsia="en-AU"/>
        </w:rPr>
        <w:t>tor</w:t>
      </w:r>
      <w:r w:rsidR="00C14E9F">
        <w:rPr>
          <w:rFonts w:eastAsia="MS PGothic" w:cs="Arial"/>
          <w:noProof/>
          <w:lang w:eastAsia="en-AU"/>
        </w:rPr>
        <w:t xml:space="preserve"> variable (model 2)</w:t>
      </w:r>
      <w:r w:rsidR="001707AD">
        <w:rPr>
          <w:rFonts w:eastAsia="MS PGothic" w:cs="Arial"/>
          <w:noProof/>
          <w:lang w:eastAsia="en-AU"/>
        </w:rPr>
        <w:t xml:space="preserve"> and </w:t>
      </w:r>
      <w:r w:rsidR="00C14E9F">
        <w:rPr>
          <w:rFonts w:eastAsia="MS PGothic" w:cs="Arial"/>
          <w:noProof/>
          <w:lang w:eastAsia="en-AU"/>
        </w:rPr>
        <w:t>one including</w:t>
      </w:r>
      <w:r w:rsidR="00320636" w:rsidRPr="008B5824">
        <w:rPr>
          <w:rFonts w:eastAsia="MS PGothic" w:cs="Arial"/>
          <w:noProof/>
          <w:lang w:eastAsia="en-AU"/>
        </w:rPr>
        <w:t xml:space="preserve"> </w:t>
      </w:r>
      <w:r w:rsidR="00C14E9F">
        <w:rPr>
          <w:rFonts w:eastAsia="MS PGothic" w:cs="Arial"/>
          <w:noProof/>
          <w:lang w:eastAsia="en-AU"/>
        </w:rPr>
        <w:t xml:space="preserve">the </w:t>
      </w:r>
      <w:r w:rsidR="00334702">
        <w:rPr>
          <w:rFonts w:eastAsia="MS PGothic" w:cs="Arial"/>
          <w:noProof/>
          <w:lang w:eastAsia="en-AU"/>
        </w:rPr>
        <w:t xml:space="preserve">aforementioned </w:t>
      </w:r>
      <w:r w:rsidR="00CC45B2">
        <w:rPr>
          <w:rFonts w:eastAsia="MS PGothic" w:cs="Arial"/>
          <w:noProof/>
          <w:lang w:eastAsia="en-AU"/>
        </w:rPr>
        <w:t>variable</w:t>
      </w:r>
      <w:r w:rsidR="006A509C">
        <w:rPr>
          <w:rFonts w:eastAsia="MS PGothic" w:cs="Arial"/>
          <w:noProof/>
          <w:lang w:eastAsia="en-AU"/>
        </w:rPr>
        <w:t>s</w:t>
      </w:r>
      <w:r w:rsidR="00CC45B2">
        <w:rPr>
          <w:rFonts w:eastAsia="MS PGothic" w:cs="Arial"/>
          <w:noProof/>
          <w:lang w:eastAsia="en-AU"/>
        </w:rPr>
        <w:t xml:space="preserve"> </w:t>
      </w:r>
      <w:r w:rsidR="00334702">
        <w:rPr>
          <w:rFonts w:eastAsia="MS PGothic" w:cs="Arial"/>
          <w:noProof/>
          <w:lang w:eastAsia="en-AU"/>
        </w:rPr>
        <w:t xml:space="preserve">and groups of therapies </w:t>
      </w:r>
      <w:r w:rsidR="00CC45B2">
        <w:rPr>
          <w:rFonts w:eastAsia="MS PGothic" w:cs="Arial"/>
          <w:noProof/>
          <w:lang w:eastAsia="en-AU"/>
        </w:rPr>
        <w:t xml:space="preserve">(model </w:t>
      </w:r>
      <w:r w:rsidR="003778CB">
        <w:rPr>
          <w:rFonts w:eastAsia="MS PGothic" w:cs="Arial"/>
          <w:noProof/>
          <w:lang w:eastAsia="en-AU"/>
        </w:rPr>
        <w:t>3</w:t>
      </w:r>
      <w:r w:rsidR="00CC45B2">
        <w:rPr>
          <w:rFonts w:eastAsia="MS PGothic" w:cs="Arial"/>
          <w:noProof/>
          <w:lang w:eastAsia="en-AU"/>
        </w:rPr>
        <w:t xml:space="preserve">). </w:t>
      </w:r>
      <w:r w:rsidR="00A82571">
        <w:rPr>
          <w:rFonts w:eastAsia="MS PGothic" w:cs="Arial"/>
          <w:noProof/>
          <w:lang w:eastAsia="en-AU"/>
        </w:rPr>
        <w:t xml:space="preserve">Model 4 </w:t>
      </w:r>
      <w:r w:rsidR="00334702">
        <w:rPr>
          <w:rFonts w:eastAsia="MS PGothic" w:cs="Arial"/>
          <w:noProof/>
          <w:lang w:eastAsia="en-AU"/>
        </w:rPr>
        <w:t xml:space="preserve">was also run that </w:t>
      </w:r>
      <w:r w:rsidR="00A82571">
        <w:rPr>
          <w:rFonts w:eastAsia="MS PGothic" w:cs="Arial"/>
          <w:noProof/>
          <w:lang w:eastAsia="en-AU"/>
        </w:rPr>
        <w:t>includes all states</w:t>
      </w:r>
      <w:r w:rsidR="00197329">
        <w:rPr>
          <w:rFonts w:eastAsia="MS PGothic" w:cs="Arial"/>
          <w:noProof/>
          <w:lang w:eastAsia="en-AU"/>
        </w:rPr>
        <w:t>, a regional indicator</w:t>
      </w:r>
      <w:r w:rsidR="00A82571">
        <w:rPr>
          <w:rFonts w:eastAsia="MS PGothic" w:cs="Arial"/>
          <w:noProof/>
          <w:lang w:eastAsia="en-AU"/>
        </w:rPr>
        <w:t xml:space="preserve"> and </w:t>
      </w:r>
      <w:r w:rsidR="00197329">
        <w:rPr>
          <w:rFonts w:eastAsia="MS PGothic" w:cs="Arial"/>
          <w:noProof/>
          <w:lang w:eastAsia="en-AU"/>
        </w:rPr>
        <w:t xml:space="preserve">all </w:t>
      </w:r>
      <w:r w:rsidR="00A82571">
        <w:rPr>
          <w:rFonts w:eastAsia="MS PGothic" w:cs="Arial"/>
          <w:noProof/>
          <w:lang w:eastAsia="en-AU"/>
        </w:rPr>
        <w:t xml:space="preserve">therapy types </w:t>
      </w:r>
      <w:r w:rsidR="00334702">
        <w:rPr>
          <w:rFonts w:eastAsia="MS PGothic" w:cs="Arial"/>
          <w:noProof/>
          <w:lang w:eastAsia="en-AU"/>
        </w:rPr>
        <w:t>individually</w:t>
      </w:r>
      <w:r w:rsidR="00197329">
        <w:rPr>
          <w:rFonts w:eastAsia="MS PGothic" w:cs="Arial"/>
          <w:noProof/>
          <w:lang w:eastAsia="en-AU"/>
        </w:rPr>
        <w:t>, with N</w:t>
      </w:r>
      <w:r w:rsidR="00334702">
        <w:rPr>
          <w:rFonts w:eastAsia="MS PGothic" w:cs="Arial"/>
          <w:noProof/>
          <w:lang w:eastAsia="en-AU"/>
        </w:rPr>
        <w:t xml:space="preserve">ew </w:t>
      </w:r>
      <w:r w:rsidR="00197329">
        <w:rPr>
          <w:rFonts w:eastAsia="MS PGothic" w:cs="Arial"/>
          <w:noProof/>
          <w:lang w:eastAsia="en-AU"/>
        </w:rPr>
        <w:t>S</w:t>
      </w:r>
      <w:r w:rsidR="00334702">
        <w:rPr>
          <w:rFonts w:eastAsia="MS PGothic" w:cs="Arial"/>
          <w:noProof/>
          <w:lang w:eastAsia="en-AU"/>
        </w:rPr>
        <w:t xml:space="preserve">outh </w:t>
      </w:r>
      <w:r w:rsidR="00197329">
        <w:rPr>
          <w:rFonts w:eastAsia="MS PGothic" w:cs="Arial"/>
          <w:noProof/>
          <w:lang w:eastAsia="en-AU"/>
        </w:rPr>
        <w:t>W</w:t>
      </w:r>
      <w:r w:rsidR="00334702">
        <w:rPr>
          <w:rFonts w:eastAsia="MS PGothic" w:cs="Arial"/>
          <w:noProof/>
          <w:lang w:eastAsia="en-AU"/>
        </w:rPr>
        <w:t>ales</w:t>
      </w:r>
      <w:r w:rsidR="00197329">
        <w:rPr>
          <w:rFonts w:eastAsia="MS PGothic" w:cs="Arial"/>
          <w:noProof/>
          <w:lang w:eastAsia="en-AU"/>
        </w:rPr>
        <w:t xml:space="preserve"> and Occupational The</w:t>
      </w:r>
      <w:r w:rsidR="00646D54">
        <w:rPr>
          <w:rFonts w:eastAsia="MS PGothic" w:cs="Arial"/>
          <w:noProof/>
          <w:lang w:eastAsia="en-AU"/>
        </w:rPr>
        <w:t>rap</w:t>
      </w:r>
      <w:r w:rsidR="00600EA9">
        <w:rPr>
          <w:rFonts w:eastAsia="MS PGothic" w:cs="Arial"/>
          <w:noProof/>
          <w:lang w:eastAsia="en-AU"/>
        </w:rPr>
        <w:t>ists</w:t>
      </w:r>
      <w:r w:rsidR="00646D54">
        <w:rPr>
          <w:rFonts w:eastAsia="MS PGothic" w:cs="Arial"/>
          <w:noProof/>
          <w:lang w:eastAsia="en-AU"/>
        </w:rPr>
        <w:t xml:space="preserve"> </w:t>
      </w:r>
      <w:r w:rsidR="00197329">
        <w:rPr>
          <w:rFonts w:eastAsia="MS PGothic" w:cs="Arial"/>
          <w:noProof/>
          <w:lang w:eastAsia="en-AU"/>
        </w:rPr>
        <w:t>as the base case.</w:t>
      </w:r>
      <w:r w:rsidR="00997828" w:rsidRPr="00997828">
        <w:rPr>
          <w:rFonts w:eastAsia="MS PGothic" w:cs="Arial"/>
          <w:noProof/>
          <w:lang w:eastAsia="en-AU"/>
        </w:rPr>
        <w:t xml:space="preserve"> </w:t>
      </w:r>
      <w:r w:rsidR="00997828">
        <w:rPr>
          <w:rFonts w:eastAsia="MS PGothic" w:cs="Arial"/>
          <w:noProof/>
          <w:lang w:eastAsia="en-AU"/>
        </w:rPr>
        <w:t>Sensitivity testing was also run on various interaction terms between the States and Territories, regional indicator and therapy types were also investigated, many of which were ins</w:t>
      </w:r>
      <w:r w:rsidR="00E927EC">
        <w:rPr>
          <w:rFonts w:eastAsia="MS PGothic" w:cs="Arial"/>
          <w:noProof/>
          <w:lang w:eastAsia="en-AU"/>
        </w:rPr>
        <w:t>ig</w:t>
      </w:r>
      <w:r w:rsidR="00997828">
        <w:rPr>
          <w:rFonts w:eastAsia="MS PGothic" w:cs="Arial"/>
          <w:noProof/>
          <w:lang w:eastAsia="en-AU"/>
        </w:rPr>
        <w:t>n</w:t>
      </w:r>
      <w:r w:rsidR="00E927EC">
        <w:rPr>
          <w:rFonts w:eastAsia="MS PGothic" w:cs="Arial"/>
          <w:noProof/>
          <w:lang w:eastAsia="en-AU"/>
        </w:rPr>
        <w:t>i</w:t>
      </w:r>
      <w:r w:rsidR="00997828">
        <w:rPr>
          <w:rFonts w:eastAsia="MS PGothic" w:cs="Arial"/>
          <w:noProof/>
          <w:lang w:eastAsia="en-AU"/>
        </w:rPr>
        <w:t>ficant.</w:t>
      </w:r>
    </w:p>
    <w:p w14:paraId="55457CD9" w14:textId="565300C8" w:rsidR="006F4B1E" w:rsidRDefault="006F4B1E" w:rsidP="006F4B1E">
      <w:pPr>
        <w:pStyle w:val="Caption"/>
      </w:pPr>
      <w:bookmarkStart w:id="105" w:name="_Ref134303565"/>
      <w:r>
        <w:t xml:space="preserve">Table </w:t>
      </w:r>
      <w:r>
        <w:fldChar w:fldCharType="begin"/>
      </w:r>
      <w:r>
        <w:instrText>SEQ Table \* ARABIC</w:instrText>
      </w:r>
      <w:r>
        <w:fldChar w:fldCharType="separate"/>
      </w:r>
      <w:r w:rsidR="00D64E4C">
        <w:rPr>
          <w:noProof/>
        </w:rPr>
        <w:t>10</w:t>
      </w:r>
      <w:r>
        <w:fldChar w:fldCharType="end"/>
      </w:r>
      <w:bookmarkEnd w:id="105"/>
      <w:r>
        <w:t xml:space="preserve">: </w:t>
      </w:r>
      <w:r w:rsidRPr="00A44DF1">
        <w:t>STATISTICAL MODELS OF PRIVATE BILLING RATES</w:t>
      </w:r>
    </w:p>
    <w:tbl>
      <w:tblPr>
        <w:tblStyle w:val="GridTable4-Accent12"/>
        <w:tblW w:w="4945" w:type="pct"/>
        <w:tblInd w:w="-5" w:type="dxa"/>
        <w:tblLook w:val="0420" w:firstRow="1" w:lastRow="0" w:firstColumn="0" w:lastColumn="0" w:noHBand="0" w:noVBand="1"/>
        <w:tblCaption w:val="Statistical Models of Private Billing Rates"/>
        <w:tblDescription w:val="The table provides the coefficients of four different econometric models used to analyse therapy pricing. The table also includes the statistical significance of each coefficient. "/>
      </w:tblPr>
      <w:tblGrid>
        <w:gridCol w:w="2674"/>
        <w:gridCol w:w="1561"/>
        <w:gridCol w:w="1561"/>
        <w:gridCol w:w="1561"/>
        <w:gridCol w:w="1561"/>
      </w:tblGrid>
      <w:tr w:rsidR="007D224D" w:rsidRPr="008B5824" w14:paraId="307EBAC5" w14:textId="24B37BAB" w:rsidTr="002919AC">
        <w:trPr>
          <w:cnfStyle w:val="100000000000" w:firstRow="1" w:lastRow="0" w:firstColumn="0" w:lastColumn="0" w:oddVBand="0" w:evenVBand="0" w:oddHBand="0" w:evenHBand="0" w:firstRowFirstColumn="0" w:firstRowLastColumn="0" w:lastRowFirstColumn="0" w:lastRowLastColumn="0"/>
          <w:trHeight w:val="340"/>
          <w:tblHeader/>
        </w:trPr>
        <w:tc>
          <w:tcPr>
            <w:tcW w:w="1499" w:type="pct"/>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tcPr>
          <w:p w14:paraId="2EF94F25" w14:textId="77777777" w:rsidR="00320636" w:rsidRPr="0063569E" w:rsidRDefault="00320636" w:rsidP="00D608D6">
            <w:pPr>
              <w:keepNext/>
              <w:spacing w:before="60" w:after="60"/>
              <w:rPr>
                <w:rFonts w:eastAsia="MS PGothic" w:cs="Arial"/>
                <w:sz w:val="18"/>
                <w:szCs w:val="18"/>
                <w:lang w:eastAsia="en-AU"/>
              </w:rPr>
            </w:pPr>
            <w:r w:rsidRPr="0063569E">
              <w:rPr>
                <w:rFonts w:eastAsia="MS PGothic" w:cs="Arial"/>
                <w:sz w:val="18"/>
                <w:szCs w:val="18"/>
                <w:lang w:eastAsia="en-AU"/>
              </w:rPr>
              <w:t>Variable</w:t>
            </w:r>
          </w:p>
        </w:tc>
        <w:tc>
          <w:tcPr>
            <w:tcW w:w="875"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2D5E0061" w14:textId="77777777" w:rsidR="00320636" w:rsidRPr="0063569E" w:rsidRDefault="00320636" w:rsidP="00D608D6">
            <w:pPr>
              <w:keepNext/>
              <w:spacing w:before="60" w:after="60"/>
              <w:jc w:val="center"/>
              <w:rPr>
                <w:rFonts w:eastAsia="MS PGothic" w:cs="Arial"/>
                <w:sz w:val="18"/>
                <w:szCs w:val="18"/>
                <w:lang w:eastAsia="en-AU"/>
              </w:rPr>
            </w:pPr>
            <w:r w:rsidRPr="0063569E">
              <w:rPr>
                <w:rFonts w:eastAsia="MS PGothic" w:cs="Arial"/>
                <w:sz w:val="18"/>
                <w:szCs w:val="18"/>
                <w:lang w:eastAsia="en-AU"/>
              </w:rPr>
              <w:t>(1)</w:t>
            </w:r>
          </w:p>
        </w:tc>
        <w:tc>
          <w:tcPr>
            <w:tcW w:w="875"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0A415D16" w14:textId="77777777" w:rsidR="00320636" w:rsidRPr="0063569E" w:rsidRDefault="00320636" w:rsidP="00D608D6">
            <w:pPr>
              <w:keepNext/>
              <w:spacing w:before="60" w:after="60"/>
              <w:jc w:val="center"/>
              <w:rPr>
                <w:rFonts w:eastAsia="MS PGothic" w:cs="Arial"/>
                <w:sz w:val="18"/>
                <w:szCs w:val="18"/>
                <w:lang w:eastAsia="en-AU"/>
              </w:rPr>
            </w:pPr>
            <w:r w:rsidRPr="0063569E">
              <w:rPr>
                <w:rFonts w:eastAsia="MS PGothic" w:cs="Arial"/>
                <w:sz w:val="18"/>
                <w:szCs w:val="18"/>
                <w:lang w:eastAsia="en-AU"/>
              </w:rPr>
              <w:t>(2)</w:t>
            </w:r>
          </w:p>
        </w:tc>
        <w:tc>
          <w:tcPr>
            <w:tcW w:w="875"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033C0454" w14:textId="13C4F3CF" w:rsidR="00320636" w:rsidRPr="0063569E" w:rsidRDefault="00320636" w:rsidP="00D608D6">
            <w:pPr>
              <w:keepNext/>
              <w:spacing w:before="60" w:after="60"/>
              <w:jc w:val="center"/>
              <w:rPr>
                <w:rFonts w:eastAsia="MS PGothic" w:cs="Arial"/>
                <w:sz w:val="18"/>
                <w:szCs w:val="18"/>
                <w:lang w:eastAsia="en-AU"/>
              </w:rPr>
            </w:pPr>
            <w:r w:rsidRPr="0063569E">
              <w:rPr>
                <w:rFonts w:eastAsia="MS PGothic" w:cs="Arial"/>
                <w:sz w:val="18"/>
                <w:szCs w:val="18"/>
                <w:lang w:eastAsia="en-AU"/>
              </w:rPr>
              <w:t>(</w:t>
            </w:r>
            <w:r w:rsidR="007C0303" w:rsidRPr="0063569E">
              <w:rPr>
                <w:rFonts w:eastAsia="MS PGothic" w:cs="Arial"/>
                <w:sz w:val="18"/>
                <w:szCs w:val="18"/>
                <w:lang w:eastAsia="en-AU"/>
              </w:rPr>
              <w:t>3</w:t>
            </w:r>
            <w:r w:rsidRPr="0063569E">
              <w:rPr>
                <w:rFonts w:eastAsia="MS PGothic" w:cs="Arial"/>
                <w:sz w:val="18"/>
                <w:szCs w:val="18"/>
                <w:lang w:eastAsia="en-AU"/>
              </w:rPr>
              <w:t>)</w:t>
            </w:r>
          </w:p>
        </w:tc>
        <w:tc>
          <w:tcPr>
            <w:tcW w:w="875" w:type="pct"/>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tcPr>
          <w:p w14:paraId="409FF1C1" w14:textId="64F0A7A0" w:rsidR="007C0303" w:rsidRPr="0063569E" w:rsidRDefault="007C0303" w:rsidP="00D608D6">
            <w:pPr>
              <w:keepNext/>
              <w:spacing w:before="60" w:after="60"/>
              <w:jc w:val="center"/>
              <w:rPr>
                <w:rFonts w:eastAsia="MS PGothic" w:cs="Arial"/>
                <w:sz w:val="18"/>
                <w:szCs w:val="18"/>
                <w:lang w:eastAsia="en-AU"/>
              </w:rPr>
            </w:pPr>
            <w:r w:rsidRPr="0063569E">
              <w:rPr>
                <w:rFonts w:eastAsia="MS PGothic" w:cs="Arial"/>
                <w:sz w:val="18"/>
                <w:szCs w:val="18"/>
                <w:lang w:eastAsia="en-AU"/>
              </w:rPr>
              <w:t>(4)</w:t>
            </w:r>
          </w:p>
        </w:tc>
      </w:tr>
      <w:tr w:rsidR="00FC5139" w:rsidRPr="00FC5139" w14:paraId="45EDF5B1" w14:textId="6D62E6AF" w:rsidTr="002919AC">
        <w:trPr>
          <w:cnfStyle w:val="000000100000" w:firstRow="0" w:lastRow="0" w:firstColumn="0" w:lastColumn="0" w:oddVBand="0" w:evenVBand="0" w:oddHBand="1" w:evenHBand="0" w:firstRowFirstColumn="0" w:firstRowLastColumn="0" w:lastRowFirstColumn="0" w:lastRowLastColumn="0"/>
          <w:trHeight w:val="50"/>
        </w:trPr>
        <w:tc>
          <w:tcPr>
            <w:tcW w:w="1499" w:type="pct"/>
            <w:tcBorders>
              <w:top w:val="single" w:sz="4" w:space="0" w:color="4F1E58" w:themeColor="accent1" w:themeShade="BF"/>
            </w:tcBorders>
            <w:vAlign w:val="center"/>
          </w:tcPr>
          <w:p w14:paraId="08CFF083" w14:textId="77777777" w:rsidR="00320636" w:rsidRPr="00FC5139" w:rsidRDefault="00320636" w:rsidP="00371CAD">
            <w:pPr>
              <w:keepNext/>
              <w:spacing w:before="60" w:after="60"/>
              <w:rPr>
                <w:rFonts w:eastAsia="MS PGothic" w:cs="Arial"/>
                <w:sz w:val="18"/>
                <w:szCs w:val="18"/>
                <w:lang w:eastAsia="en-AU"/>
              </w:rPr>
            </w:pPr>
            <w:r w:rsidRPr="00FC5139">
              <w:rPr>
                <w:rFonts w:eastAsia="MS PGothic" w:cs="Arial"/>
                <w:sz w:val="18"/>
                <w:szCs w:val="18"/>
                <w:lang w:eastAsia="en-AU"/>
              </w:rPr>
              <w:t>Constant</w:t>
            </w:r>
          </w:p>
        </w:tc>
        <w:tc>
          <w:tcPr>
            <w:tcW w:w="875" w:type="pct"/>
            <w:tcBorders>
              <w:top w:val="single" w:sz="4" w:space="0" w:color="4F1E58" w:themeColor="accent1" w:themeShade="BF"/>
            </w:tcBorders>
            <w:vAlign w:val="center"/>
          </w:tcPr>
          <w:p w14:paraId="2C4A8D02"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193.1***</w:t>
            </w:r>
          </w:p>
        </w:tc>
        <w:tc>
          <w:tcPr>
            <w:tcW w:w="875" w:type="pct"/>
            <w:tcBorders>
              <w:top w:val="single" w:sz="4" w:space="0" w:color="4F1E58" w:themeColor="accent1" w:themeShade="BF"/>
            </w:tcBorders>
            <w:vAlign w:val="center"/>
          </w:tcPr>
          <w:p w14:paraId="43106124"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202.2***</w:t>
            </w:r>
          </w:p>
        </w:tc>
        <w:tc>
          <w:tcPr>
            <w:tcW w:w="875" w:type="pct"/>
            <w:tcBorders>
              <w:top w:val="single" w:sz="4" w:space="0" w:color="4F1E58" w:themeColor="accent1" w:themeShade="BF"/>
            </w:tcBorders>
            <w:vAlign w:val="center"/>
          </w:tcPr>
          <w:p w14:paraId="4233526D"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188.9***</w:t>
            </w:r>
          </w:p>
        </w:tc>
        <w:tc>
          <w:tcPr>
            <w:tcW w:w="875" w:type="pct"/>
            <w:tcBorders>
              <w:top w:val="single" w:sz="4" w:space="0" w:color="4F1E58" w:themeColor="accent1" w:themeShade="BF"/>
            </w:tcBorders>
            <w:vAlign w:val="center"/>
          </w:tcPr>
          <w:p w14:paraId="7D7F74B4" w14:textId="24E5424B" w:rsidR="007C0303" w:rsidRPr="00FC5139" w:rsidRDefault="00033230"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183.</w:t>
            </w:r>
            <w:r w:rsidR="00AA4FC3" w:rsidRPr="00FC5139">
              <w:rPr>
                <w:rFonts w:eastAsia="MS PGothic" w:cs="Arial"/>
                <w:sz w:val="18"/>
                <w:szCs w:val="18"/>
                <w:lang w:eastAsia="en-AU"/>
              </w:rPr>
              <w:t>8</w:t>
            </w:r>
            <w:r w:rsidR="0019461D" w:rsidRPr="00FC5139">
              <w:rPr>
                <w:rFonts w:eastAsia="MS PGothic" w:cs="Arial"/>
                <w:sz w:val="18"/>
                <w:szCs w:val="18"/>
                <w:lang w:eastAsia="en-AU"/>
              </w:rPr>
              <w:t>***</w:t>
            </w:r>
          </w:p>
        </w:tc>
      </w:tr>
      <w:tr w:rsidR="00FC5139" w:rsidRPr="00FC5139" w14:paraId="27DDDC76" w14:textId="3F3ED2C0" w:rsidTr="006F4B1E">
        <w:trPr>
          <w:trHeight w:val="50"/>
        </w:trPr>
        <w:tc>
          <w:tcPr>
            <w:tcW w:w="1499" w:type="pct"/>
            <w:vAlign w:val="center"/>
          </w:tcPr>
          <w:p w14:paraId="54F755D3" w14:textId="77777777" w:rsidR="00320636" w:rsidRPr="00FC5139" w:rsidRDefault="00320636" w:rsidP="00371CAD">
            <w:pPr>
              <w:keepNext/>
              <w:spacing w:before="60" w:after="60"/>
              <w:rPr>
                <w:rFonts w:eastAsia="MS PGothic" w:cs="Arial"/>
                <w:sz w:val="18"/>
                <w:szCs w:val="18"/>
                <w:lang w:eastAsia="en-AU"/>
              </w:rPr>
            </w:pPr>
            <w:r w:rsidRPr="00FC5139">
              <w:rPr>
                <w:rFonts w:eastAsia="MS PGothic" w:cs="Arial"/>
                <w:sz w:val="18"/>
                <w:szCs w:val="18"/>
                <w:lang w:eastAsia="en-AU"/>
              </w:rPr>
              <w:t>Victoria</w:t>
            </w:r>
          </w:p>
        </w:tc>
        <w:tc>
          <w:tcPr>
            <w:tcW w:w="875" w:type="pct"/>
            <w:vAlign w:val="center"/>
          </w:tcPr>
          <w:p w14:paraId="2FA46748"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-6.1</w:t>
            </w:r>
          </w:p>
        </w:tc>
        <w:tc>
          <w:tcPr>
            <w:tcW w:w="875" w:type="pct"/>
            <w:vAlign w:val="center"/>
          </w:tcPr>
          <w:p w14:paraId="511AF0A6"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-12.1***</w:t>
            </w:r>
          </w:p>
        </w:tc>
        <w:tc>
          <w:tcPr>
            <w:tcW w:w="875" w:type="pct"/>
            <w:vAlign w:val="center"/>
          </w:tcPr>
          <w:p w14:paraId="3401105F"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-8.9***</w:t>
            </w:r>
          </w:p>
        </w:tc>
        <w:tc>
          <w:tcPr>
            <w:tcW w:w="875" w:type="pct"/>
            <w:vAlign w:val="center"/>
          </w:tcPr>
          <w:p w14:paraId="380E8E48" w14:textId="54DF1568" w:rsidR="007C0303" w:rsidRPr="00FC5139" w:rsidRDefault="00AA4FC3"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-11.0</w:t>
            </w:r>
            <w:r w:rsidR="00092D6C" w:rsidRPr="00FC5139">
              <w:rPr>
                <w:rFonts w:eastAsia="MS PGothic" w:cs="Arial"/>
                <w:sz w:val="18"/>
                <w:szCs w:val="18"/>
                <w:lang w:eastAsia="en-AU"/>
              </w:rPr>
              <w:t>***</w:t>
            </w:r>
          </w:p>
        </w:tc>
      </w:tr>
      <w:tr w:rsidR="00FC5139" w:rsidRPr="00FC5139" w14:paraId="49B692CC" w14:textId="6DFE176A"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055F6D71" w14:textId="77777777" w:rsidR="00320636" w:rsidRPr="00FC5139" w:rsidRDefault="00320636" w:rsidP="00371CAD">
            <w:pPr>
              <w:keepNext/>
              <w:spacing w:before="60" w:after="60"/>
              <w:rPr>
                <w:rFonts w:eastAsia="MS PGothic" w:cs="Arial"/>
                <w:sz w:val="18"/>
                <w:szCs w:val="18"/>
                <w:lang w:eastAsia="en-AU"/>
              </w:rPr>
            </w:pPr>
            <w:r w:rsidRPr="00FC5139">
              <w:rPr>
                <w:rFonts w:eastAsia="MS PGothic" w:cs="Arial"/>
                <w:sz w:val="18"/>
                <w:szCs w:val="18"/>
                <w:lang w:eastAsia="en-AU"/>
              </w:rPr>
              <w:t>Queensland</w:t>
            </w:r>
          </w:p>
        </w:tc>
        <w:tc>
          <w:tcPr>
            <w:tcW w:w="875" w:type="pct"/>
            <w:vAlign w:val="center"/>
          </w:tcPr>
          <w:p w14:paraId="38F641F9"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-20.6***</w:t>
            </w:r>
          </w:p>
        </w:tc>
        <w:tc>
          <w:tcPr>
            <w:tcW w:w="875" w:type="pct"/>
            <w:vAlign w:val="center"/>
          </w:tcPr>
          <w:p w14:paraId="5A4DB097"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-20.8***</w:t>
            </w:r>
          </w:p>
        </w:tc>
        <w:tc>
          <w:tcPr>
            <w:tcW w:w="875" w:type="pct"/>
            <w:vAlign w:val="center"/>
          </w:tcPr>
          <w:p w14:paraId="5165CEAD" w14:textId="77777777" w:rsidR="00320636" w:rsidRPr="00FC5139" w:rsidRDefault="00320636"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-19.2***</w:t>
            </w:r>
          </w:p>
        </w:tc>
        <w:tc>
          <w:tcPr>
            <w:tcW w:w="875" w:type="pct"/>
            <w:vAlign w:val="center"/>
          </w:tcPr>
          <w:p w14:paraId="7AE7201A" w14:textId="257FFA66" w:rsidR="007C0303" w:rsidRPr="00FC5139" w:rsidRDefault="00AC65BF" w:rsidP="00371CAD">
            <w:pPr>
              <w:keepNext/>
              <w:spacing w:before="60" w:after="60"/>
              <w:jc w:val="center"/>
              <w:rPr>
                <w:rFonts w:eastAsia="MS PGothic" w:cs="Arial"/>
                <w:sz w:val="18"/>
                <w:szCs w:val="18"/>
                <w:lang w:eastAsia="en-AU"/>
              </w:rPr>
            </w:pPr>
            <w:r w:rsidRPr="00FC5139">
              <w:rPr>
                <w:rFonts w:eastAsia="MS PGothic" w:cs="Arial"/>
                <w:sz w:val="18"/>
                <w:szCs w:val="18"/>
                <w:lang w:eastAsia="en-AU"/>
              </w:rPr>
              <w:t>-18.4</w:t>
            </w:r>
            <w:r w:rsidR="00092D6C" w:rsidRPr="00FC5139">
              <w:rPr>
                <w:rFonts w:eastAsia="MS PGothic" w:cs="Arial"/>
                <w:sz w:val="18"/>
                <w:szCs w:val="18"/>
                <w:lang w:eastAsia="en-AU"/>
              </w:rPr>
              <w:t>***</w:t>
            </w:r>
          </w:p>
        </w:tc>
      </w:tr>
      <w:tr w:rsidR="00FC5139" w:rsidRPr="00FC5139" w14:paraId="7573098B" w14:textId="770013C6" w:rsidTr="006F4B1E">
        <w:trPr>
          <w:trHeight w:val="50"/>
        </w:trPr>
        <w:tc>
          <w:tcPr>
            <w:tcW w:w="1499" w:type="pct"/>
            <w:vAlign w:val="center"/>
          </w:tcPr>
          <w:p w14:paraId="7C2A6EAD" w14:textId="7C72FFE5"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South Australia</w:t>
            </w:r>
          </w:p>
        </w:tc>
        <w:tc>
          <w:tcPr>
            <w:tcW w:w="875" w:type="pct"/>
            <w:vAlign w:val="center"/>
          </w:tcPr>
          <w:p w14:paraId="02E4E97F"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-3.3</w:t>
            </w:r>
          </w:p>
        </w:tc>
        <w:tc>
          <w:tcPr>
            <w:tcW w:w="875" w:type="pct"/>
            <w:vAlign w:val="center"/>
          </w:tcPr>
          <w:p w14:paraId="22DE7059"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-9.2</w:t>
            </w:r>
          </w:p>
        </w:tc>
        <w:tc>
          <w:tcPr>
            <w:tcW w:w="875" w:type="pct"/>
            <w:vAlign w:val="center"/>
          </w:tcPr>
          <w:p w14:paraId="7FA8452F" w14:textId="23C2A49C"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-10.9**</w:t>
            </w:r>
          </w:p>
        </w:tc>
        <w:tc>
          <w:tcPr>
            <w:tcW w:w="875" w:type="pct"/>
            <w:vAlign w:val="center"/>
          </w:tcPr>
          <w:p w14:paraId="314C638D" w14:textId="237295FD" w:rsidR="007C0303" w:rsidRPr="00FC5139" w:rsidRDefault="00843E06" w:rsidP="00371CAD">
            <w:pPr>
              <w:spacing w:before="60" w:after="60"/>
              <w:jc w:val="center"/>
              <w:rPr>
                <w:rFonts w:eastAsia="MS PGothic" w:cs="Arial"/>
                <w:sz w:val="18"/>
                <w:szCs w:val="18"/>
                <w:lang w:eastAsia="en-AU"/>
              </w:rPr>
            </w:pPr>
            <w:r w:rsidRPr="00FC5139">
              <w:rPr>
                <w:rFonts w:eastAsia="MS PGothic" w:cs="Arial"/>
                <w:sz w:val="18"/>
                <w:szCs w:val="18"/>
                <w:lang w:eastAsia="en-AU"/>
              </w:rPr>
              <w:t>-12.4</w:t>
            </w:r>
            <w:r w:rsidR="00092D6C" w:rsidRPr="00FC5139">
              <w:rPr>
                <w:rFonts w:eastAsia="MS PGothic" w:cs="Arial"/>
                <w:sz w:val="18"/>
                <w:szCs w:val="18"/>
                <w:lang w:eastAsia="en-AU"/>
              </w:rPr>
              <w:t>**</w:t>
            </w:r>
          </w:p>
        </w:tc>
      </w:tr>
      <w:tr w:rsidR="00FC5139" w:rsidRPr="00FC5139" w14:paraId="0CB0EED8" w14:textId="7D7F1D92"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594201DF"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Western Australia</w:t>
            </w:r>
          </w:p>
        </w:tc>
        <w:tc>
          <w:tcPr>
            <w:tcW w:w="875" w:type="pct"/>
            <w:vAlign w:val="center"/>
          </w:tcPr>
          <w:p w14:paraId="544EA2E6"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3.0</w:t>
            </w:r>
          </w:p>
        </w:tc>
        <w:tc>
          <w:tcPr>
            <w:tcW w:w="875" w:type="pct"/>
            <w:vAlign w:val="center"/>
          </w:tcPr>
          <w:p w14:paraId="67CC380E"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-3.4</w:t>
            </w:r>
          </w:p>
        </w:tc>
        <w:tc>
          <w:tcPr>
            <w:tcW w:w="875" w:type="pct"/>
            <w:vAlign w:val="center"/>
          </w:tcPr>
          <w:p w14:paraId="370317B3" w14:textId="697A2149"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-7.5</w:t>
            </w:r>
            <w:r w:rsidR="00D700DF" w:rsidRPr="00FC5139">
              <w:rPr>
                <w:rFonts w:eastAsia="MS PGothic" w:cs="Arial"/>
                <w:sz w:val="18"/>
                <w:szCs w:val="18"/>
                <w:lang w:eastAsia="en-AU"/>
              </w:rPr>
              <w:t>*</w:t>
            </w:r>
          </w:p>
        </w:tc>
        <w:tc>
          <w:tcPr>
            <w:tcW w:w="875" w:type="pct"/>
            <w:vAlign w:val="center"/>
          </w:tcPr>
          <w:p w14:paraId="644B8D60" w14:textId="52FC6E36" w:rsidR="007C0303" w:rsidRPr="00FC5139" w:rsidRDefault="00843E06" w:rsidP="00371CAD">
            <w:pPr>
              <w:spacing w:before="60" w:after="60"/>
              <w:jc w:val="center"/>
              <w:rPr>
                <w:rFonts w:eastAsia="MS PGothic" w:cs="Arial"/>
                <w:sz w:val="18"/>
                <w:szCs w:val="18"/>
                <w:lang w:eastAsia="en-AU"/>
              </w:rPr>
            </w:pPr>
            <w:r w:rsidRPr="00FC5139">
              <w:rPr>
                <w:rFonts w:eastAsia="MS PGothic" w:cs="Arial"/>
                <w:sz w:val="18"/>
                <w:szCs w:val="18"/>
                <w:lang w:eastAsia="en-AU"/>
              </w:rPr>
              <w:t>-7.</w:t>
            </w:r>
            <w:r w:rsidR="00AA4FC3" w:rsidRPr="00FC5139">
              <w:rPr>
                <w:rFonts w:eastAsia="MS PGothic" w:cs="Arial"/>
                <w:sz w:val="18"/>
                <w:szCs w:val="18"/>
                <w:lang w:eastAsia="en-AU"/>
              </w:rPr>
              <w:t>6</w:t>
            </w:r>
            <w:r w:rsidR="00092D6C" w:rsidRPr="00FC5139">
              <w:rPr>
                <w:rFonts w:eastAsia="MS PGothic" w:cs="Arial"/>
                <w:sz w:val="18"/>
                <w:szCs w:val="18"/>
                <w:lang w:eastAsia="en-AU"/>
              </w:rPr>
              <w:t>*</w:t>
            </w:r>
          </w:p>
        </w:tc>
      </w:tr>
      <w:tr w:rsidR="00FC5139" w:rsidRPr="00FC5139" w14:paraId="2C168948" w14:textId="11B6F04D" w:rsidTr="006F4B1E">
        <w:trPr>
          <w:trHeight w:val="310"/>
        </w:trPr>
        <w:tc>
          <w:tcPr>
            <w:tcW w:w="1499" w:type="pct"/>
            <w:vAlign w:val="center"/>
          </w:tcPr>
          <w:p w14:paraId="7AC78C83"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Northern Territory</w:t>
            </w:r>
          </w:p>
        </w:tc>
        <w:tc>
          <w:tcPr>
            <w:tcW w:w="875" w:type="pct"/>
            <w:vAlign w:val="center"/>
          </w:tcPr>
          <w:p w14:paraId="546678B2"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-6.0</w:t>
            </w:r>
          </w:p>
        </w:tc>
        <w:tc>
          <w:tcPr>
            <w:tcW w:w="875" w:type="pct"/>
            <w:vAlign w:val="center"/>
          </w:tcPr>
          <w:p w14:paraId="7A312F49"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-0.7</w:t>
            </w:r>
          </w:p>
        </w:tc>
        <w:tc>
          <w:tcPr>
            <w:tcW w:w="875" w:type="pct"/>
            <w:vAlign w:val="center"/>
          </w:tcPr>
          <w:p w14:paraId="4EC664D1" w14:textId="2565AACF"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-6.9**</w:t>
            </w:r>
          </w:p>
        </w:tc>
        <w:tc>
          <w:tcPr>
            <w:tcW w:w="875" w:type="pct"/>
            <w:vAlign w:val="center"/>
          </w:tcPr>
          <w:p w14:paraId="10A98D3B" w14:textId="333517B0" w:rsidR="007C0303" w:rsidRPr="00FC5139" w:rsidRDefault="00BD442D" w:rsidP="00371CAD">
            <w:pPr>
              <w:spacing w:before="60" w:after="60"/>
              <w:jc w:val="center"/>
              <w:rPr>
                <w:rFonts w:eastAsia="MS PGothic" w:cs="Arial"/>
                <w:sz w:val="18"/>
                <w:szCs w:val="18"/>
                <w:lang w:eastAsia="en-AU"/>
              </w:rPr>
            </w:pPr>
            <w:r w:rsidRPr="00FC5139">
              <w:rPr>
                <w:rFonts w:eastAsia="MS PGothic" w:cs="Arial"/>
                <w:sz w:val="18"/>
                <w:szCs w:val="18"/>
                <w:lang w:eastAsia="en-AU"/>
              </w:rPr>
              <w:t>9.0</w:t>
            </w:r>
            <w:r w:rsidR="002A112E" w:rsidRPr="00FC5139">
              <w:rPr>
                <w:rFonts w:eastAsia="MS PGothic" w:cs="Arial"/>
                <w:sz w:val="18"/>
                <w:szCs w:val="18"/>
                <w:lang w:eastAsia="en-AU"/>
              </w:rPr>
              <w:t>*</w:t>
            </w:r>
          </w:p>
        </w:tc>
      </w:tr>
      <w:tr w:rsidR="00FC5139" w:rsidRPr="00FC5139" w14:paraId="503A7FE4" w14:textId="2892BC5F"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779D6373" w14:textId="0BE4514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A</w:t>
            </w:r>
            <w:r w:rsidR="0005590D" w:rsidRPr="00FC5139">
              <w:rPr>
                <w:rFonts w:eastAsia="MS PGothic" w:cs="Arial"/>
                <w:sz w:val="18"/>
                <w:szCs w:val="18"/>
                <w:lang w:eastAsia="en-AU"/>
              </w:rPr>
              <w:t xml:space="preserve">ustralian </w:t>
            </w:r>
            <w:r w:rsidRPr="00FC5139">
              <w:rPr>
                <w:rFonts w:eastAsia="MS PGothic" w:cs="Arial"/>
                <w:sz w:val="18"/>
                <w:szCs w:val="18"/>
                <w:lang w:eastAsia="en-AU"/>
              </w:rPr>
              <w:t>C</w:t>
            </w:r>
            <w:r w:rsidR="0005590D" w:rsidRPr="00FC5139">
              <w:rPr>
                <w:rFonts w:eastAsia="MS PGothic" w:cs="Arial"/>
                <w:sz w:val="18"/>
                <w:szCs w:val="18"/>
                <w:lang w:eastAsia="en-AU"/>
              </w:rPr>
              <w:t xml:space="preserve">apital </w:t>
            </w:r>
            <w:r w:rsidRPr="00FC5139">
              <w:rPr>
                <w:rFonts w:eastAsia="MS PGothic" w:cs="Arial"/>
                <w:sz w:val="18"/>
                <w:szCs w:val="18"/>
                <w:lang w:eastAsia="en-AU"/>
              </w:rPr>
              <w:t>T</w:t>
            </w:r>
            <w:r w:rsidR="0005590D" w:rsidRPr="00FC5139">
              <w:rPr>
                <w:rFonts w:eastAsia="MS PGothic" w:cs="Arial"/>
                <w:sz w:val="18"/>
                <w:szCs w:val="18"/>
                <w:lang w:eastAsia="en-AU"/>
              </w:rPr>
              <w:t>erritory</w:t>
            </w:r>
          </w:p>
        </w:tc>
        <w:tc>
          <w:tcPr>
            <w:tcW w:w="875" w:type="pct"/>
            <w:vAlign w:val="center"/>
          </w:tcPr>
          <w:p w14:paraId="6BFD19E0"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12.0</w:t>
            </w:r>
          </w:p>
        </w:tc>
        <w:tc>
          <w:tcPr>
            <w:tcW w:w="875" w:type="pct"/>
            <w:vAlign w:val="center"/>
          </w:tcPr>
          <w:p w14:paraId="67D6A42D"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2.9</w:t>
            </w:r>
          </w:p>
        </w:tc>
        <w:tc>
          <w:tcPr>
            <w:tcW w:w="875" w:type="pct"/>
            <w:vAlign w:val="center"/>
          </w:tcPr>
          <w:p w14:paraId="39FA3E72"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-7.9</w:t>
            </w:r>
          </w:p>
        </w:tc>
        <w:tc>
          <w:tcPr>
            <w:tcW w:w="875" w:type="pct"/>
            <w:vAlign w:val="center"/>
          </w:tcPr>
          <w:p w14:paraId="6828FD32" w14:textId="4FFC12C1" w:rsidR="007C0303" w:rsidRPr="00FC5139" w:rsidRDefault="006579C3" w:rsidP="00371CAD">
            <w:pPr>
              <w:spacing w:before="60" w:after="60"/>
              <w:jc w:val="center"/>
              <w:rPr>
                <w:rFonts w:eastAsia="MS PGothic" w:cs="Arial"/>
                <w:sz w:val="18"/>
                <w:szCs w:val="18"/>
                <w:lang w:eastAsia="en-AU"/>
              </w:rPr>
            </w:pPr>
            <w:r w:rsidRPr="00FC5139">
              <w:rPr>
                <w:rFonts w:eastAsia="MS PGothic" w:cs="Arial"/>
                <w:sz w:val="18"/>
                <w:szCs w:val="18"/>
                <w:lang w:eastAsia="en-AU"/>
              </w:rPr>
              <w:t>-6.5</w:t>
            </w:r>
          </w:p>
        </w:tc>
      </w:tr>
      <w:tr w:rsidR="00FC5139" w:rsidRPr="00FC5139" w14:paraId="006131BC" w14:textId="01D46C69" w:rsidTr="006F4B1E">
        <w:trPr>
          <w:trHeight w:val="50"/>
        </w:trPr>
        <w:tc>
          <w:tcPr>
            <w:tcW w:w="1499" w:type="pct"/>
            <w:vAlign w:val="center"/>
          </w:tcPr>
          <w:p w14:paraId="6F493DEB"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Tasmania</w:t>
            </w:r>
          </w:p>
        </w:tc>
        <w:tc>
          <w:tcPr>
            <w:tcW w:w="875" w:type="pct"/>
            <w:vAlign w:val="center"/>
          </w:tcPr>
          <w:p w14:paraId="67D95662"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8.2</w:t>
            </w:r>
          </w:p>
        </w:tc>
        <w:tc>
          <w:tcPr>
            <w:tcW w:w="875" w:type="pct"/>
            <w:vAlign w:val="center"/>
          </w:tcPr>
          <w:p w14:paraId="17D3CABD"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12.9</w:t>
            </w:r>
          </w:p>
        </w:tc>
        <w:tc>
          <w:tcPr>
            <w:tcW w:w="875" w:type="pct"/>
            <w:vAlign w:val="center"/>
          </w:tcPr>
          <w:p w14:paraId="5BC3C4C9" w14:textId="466782ED"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19.2**</w:t>
            </w:r>
          </w:p>
        </w:tc>
        <w:tc>
          <w:tcPr>
            <w:tcW w:w="875" w:type="pct"/>
            <w:vAlign w:val="center"/>
          </w:tcPr>
          <w:p w14:paraId="04D5B05E" w14:textId="78A5E59C" w:rsidR="007C0303" w:rsidRPr="00FC5139" w:rsidRDefault="002D24B3" w:rsidP="00371CAD">
            <w:pPr>
              <w:spacing w:before="60" w:after="60"/>
              <w:jc w:val="center"/>
              <w:rPr>
                <w:rFonts w:eastAsia="MS PGothic" w:cs="Arial"/>
                <w:sz w:val="18"/>
                <w:szCs w:val="18"/>
                <w:lang w:eastAsia="en-AU"/>
              </w:rPr>
            </w:pPr>
            <w:r w:rsidRPr="00FC5139">
              <w:rPr>
                <w:rFonts w:eastAsia="MS PGothic" w:cs="Arial"/>
                <w:sz w:val="18"/>
                <w:szCs w:val="18"/>
                <w:lang w:eastAsia="en-AU"/>
              </w:rPr>
              <w:t>13.7</w:t>
            </w:r>
            <w:r w:rsidR="00C61112" w:rsidRPr="00FC5139">
              <w:rPr>
                <w:rFonts w:eastAsia="MS PGothic" w:cs="Arial"/>
                <w:sz w:val="18"/>
                <w:szCs w:val="18"/>
                <w:lang w:eastAsia="en-AU"/>
              </w:rPr>
              <w:t>*</w:t>
            </w:r>
          </w:p>
        </w:tc>
      </w:tr>
      <w:tr w:rsidR="00FC5139" w:rsidRPr="00FC5139" w14:paraId="01901AB4" w14:textId="39ADC808"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2BBD9D30"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Regional</w:t>
            </w:r>
          </w:p>
        </w:tc>
        <w:tc>
          <w:tcPr>
            <w:tcW w:w="875" w:type="pct"/>
            <w:vAlign w:val="center"/>
          </w:tcPr>
          <w:p w14:paraId="24441481" w14:textId="6ACFD5F4"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2D36776"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-19.5***</w:t>
            </w:r>
          </w:p>
        </w:tc>
        <w:tc>
          <w:tcPr>
            <w:tcW w:w="875" w:type="pct"/>
            <w:vAlign w:val="center"/>
          </w:tcPr>
          <w:p w14:paraId="0492749B"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-11.9***</w:t>
            </w:r>
          </w:p>
        </w:tc>
        <w:tc>
          <w:tcPr>
            <w:tcW w:w="875" w:type="pct"/>
            <w:vAlign w:val="center"/>
          </w:tcPr>
          <w:p w14:paraId="0783366B" w14:textId="39AE8EB7" w:rsidR="007C0303" w:rsidRPr="00FC5139" w:rsidRDefault="001A32C3" w:rsidP="00371CAD">
            <w:pPr>
              <w:spacing w:before="60" w:after="60"/>
              <w:jc w:val="center"/>
              <w:rPr>
                <w:rFonts w:eastAsia="MS PGothic" w:cs="Arial"/>
                <w:sz w:val="18"/>
                <w:szCs w:val="18"/>
                <w:lang w:eastAsia="en-AU"/>
              </w:rPr>
            </w:pPr>
            <w:r w:rsidRPr="00FC5139">
              <w:rPr>
                <w:rFonts w:eastAsia="MS PGothic" w:cs="Arial"/>
                <w:sz w:val="18"/>
                <w:szCs w:val="18"/>
                <w:lang w:eastAsia="en-AU"/>
              </w:rPr>
              <w:t>-12.5</w:t>
            </w:r>
            <w:r w:rsidR="00C61112" w:rsidRPr="00FC5139">
              <w:rPr>
                <w:rFonts w:eastAsia="MS PGothic" w:cs="Arial"/>
                <w:sz w:val="18"/>
                <w:szCs w:val="18"/>
                <w:lang w:eastAsia="en-AU"/>
              </w:rPr>
              <w:t>**</w:t>
            </w:r>
          </w:p>
        </w:tc>
      </w:tr>
      <w:tr w:rsidR="00FC5139" w:rsidRPr="00FC5139" w14:paraId="72CFB352" w14:textId="2F594E79" w:rsidTr="006F4B1E">
        <w:trPr>
          <w:trHeight w:val="300"/>
        </w:trPr>
        <w:tc>
          <w:tcPr>
            <w:tcW w:w="1499" w:type="pct"/>
            <w:vAlign w:val="center"/>
          </w:tcPr>
          <w:p w14:paraId="105D2E4E" w14:textId="2008A411"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 xml:space="preserve">Exercise </w:t>
            </w:r>
            <w:r w:rsidR="00664F8C" w:rsidRPr="00FC5139">
              <w:rPr>
                <w:rFonts w:eastAsia="MS PGothic" w:cs="Arial"/>
                <w:sz w:val="18"/>
                <w:szCs w:val="18"/>
                <w:lang w:eastAsia="en-AU"/>
              </w:rPr>
              <w:t>P</w:t>
            </w:r>
            <w:r w:rsidRPr="00FC5139">
              <w:rPr>
                <w:rFonts w:eastAsia="MS PGothic" w:cs="Arial"/>
                <w:sz w:val="18"/>
                <w:szCs w:val="18"/>
                <w:lang w:eastAsia="en-AU"/>
              </w:rPr>
              <w:t>hysiolog</w:t>
            </w:r>
            <w:r w:rsidR="000373A4" w:rsidRPr="00FC5139">
              <w:rPr>
                <w:rFonts w:eastAsia="MS PGothic" w:cs="Arial"/>
                <w:sz w:val="18"/>
                <w:szCs w:val="18"/>
                <w:lang w:eastAsia="en-AU"/>
              </w:rPr>
              <w:t>ists</w:t>
            </w:r>
            <w:r w:rsidRPr="00FC5139">
              <w:rPr>
                <w:rFonts w:eastAsia="MS PGothic" w:cs="Arial"/>
                <w:sz w:val="18"/>
                <w:szCs w:val="18"/>
                <w:lang w:eastAsia="en-AU"/>
              </w:rPr>
              <w:t xml:space="preserve">, </w:t>
            </w:r>
            <w:r w:rsidR="000373A4" w:rsidRPr="00FC5139">
              <w:rPr>
                <w:rFonts w:eastAsia="MS PGothic" w:cs="Arial"/>
                <w:sz w:val="18"/>
                <w:szCs w:val="18"/>
                <w:lang w:eastAsia="en-AU"/>
              </w:rPr>
              <w:t>Counsellors</w:t>
            </w:r>
            <w:r w:rsidRPr="00FC5139">
              <w:rPr>
                <w:rFonts w:eastAsia="MS PGothic" w:cs="Arial"/>
                <w:sz w:val="18"/>
                <w:szCs w:val="18"/>
                <w:lang w:eastAsia="en-AU"/>
              </w:rPr>
              <w:t xml:space="preserve"> &amp; Art Therap</w:t>
            </w:r>
            <w:r w:rsidR="000373A4" w:rsidRPr="00FC5139">
              <w:rPr>
                <w:rFonts w:eastAsia="MS PGothic" w:cs="Arial"/>
                <w:sz w:val="18"/>
                <w:szCs w:val="18"/>
                <w:lang w:eastAsia="en-AU"/>
              </w:rPr>
              <w:t>ists</w:t>
            </w:r>
          </w:p>
        </w:tc>
        <w:tc>
          <w:tcPr>
            <w:tcW w:w="875" w:type="pct"/>
            <w:vAlign w:val="center"/>
          </w:tcPr>
          <w:p w14:paraId="61C621AE" w14:textId="3E11516A"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906F029" w14:textId="3D4C7495"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32D101C"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-34.9***</w:t>
            </w:r>
          </w:p>
        </w:tc>
        <w:tc>
          <w:tcPr>
            <w:tcW w:w="875" w:type="pct"/>
            <w:vAlign w:val="center"/>
          </w:tcPr>
          <w:p w14:paraId="5AFA7DAE" w14:textId="392142C2" w:rsidR="007C0303"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r>
      <w:tr w:rsidR="00FC5139" w:rsidRPr="00FC5139" w14:paraId="797E1E05" w14:textId="77777777" w:rsidTr="006F4B1E">
        <w:trPr>
          <w:cnfStyle w:val="000000100000" w:firstRow="0" w:lastRow="0" w:firstColumn="0" w:lastColumn="0" w:oddVBand="0" w:evenVBand="0" w:oddHBand="1" w:evenHBand="0" w:firstRowFirstColumn="0" w:firstRowLastColumn="0" w:lastRowFirstColumn="0" w:lastRowLastColumn="0"/>
          <w:trHeight w:val="253"/>
        </w:trPr>
        <w:tc>
          <w:tcPr>
            <w:tcW w:w="1499" w:type="pct"/>
            <w:vAlign w:val="center"/>
          </w:tcPr>
          <w:p w14:paraId="2F804C69" w14:textId="4A68E2D4"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Psycholog</w:t>
            </w:r>
            <w:r w:rsidR="000373A4" w:rsidRPr="00FC5139">
              <w:rPr>
                <w:rFonts w:eastAsia="MS PGothic" w:cs="Arial"/>
                <w:sz w:val="18"/>
                <w:szCs w:val="18"/>
                <w:lang w:eastAsia="en-AU"/>
              </w:rPr>
              <w:t>ists</w:t>
            </w:r>
          </w:p>
        </w:tc>
        <w:tc>
          <w:tcPr>
            <w:tcW w:w="875" w:type="pct"/>
            <w:vAlign w:val="center"/>
          </w:tcPr>
          <w:p w14:paraId="680023AC" w14:textId="4C862F01"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865666B" w14:textId="76779213"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151712CE" w14:textId="25E58848"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38.7***</w:t>
            </w:r>
          </w:p>
        </w:tc>
        <w:tc>
          <w:tcPr>
            <w:tcW w:w="875" w:type="pct"/>
            <w:vAlign w:val="center"/>
          </w:tcPr>
          <w:p w14:paraId="31392CF2" w14:textId="71A9F7E9"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44.5***</w:t>
            </w:r>
          </w:p>
        </w:tc>
      </w:tr>
      <w:tr w:rsidR="00FC5139" w:rsidRPr="00FC5139" w14:paraId="1CE14C79" w14:textId="77777777" w:rsidTr="006F4B1E">
        <w:trPr>
          <w:trHeight w:val="244"/>
        </w:trPr>
        <w:tc>
          <w:tcPr>
            <w:tcW w:w="1499" w:type="pct"/>
            <w:vAlign w:val="center"/>
          </w:tcPr>
          <w:p w14:paraId="7652AB69" w14:textId="64969B89"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Clinical Psycholog</w:t>
            </w:r>
            <w:r w:rsidR="000373A4" w:rsidRPr="00FC5139">
              <w:rPr>
                <w:rFonts w:eastAsia="MS PGothic" w:cs="Arial"/>
                <w:sz w:val="18"/>
                <w:szCs w:val="18"/>
                <w:lang w:eastAsia="en-AU"/>
              </w:rPr>
              <w:t>ists</w:t>
            </w:r>
          </w:p>
        </w:tc>
        <w:tc>
          <w:tcPr>
            <w:tcW w:w="875" w:type="pct"/>
            <w:vAlign w:val="center"/>
          </w:tcPr>
          <w:p w14:paraId="5C86D640" w14:textId="52C6239C"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3BD63FE0" w14:textId="642BCBA6"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255D3A0F" w14:textId="1BBD608B"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80.7***</w:t>
            </w:r>
          </w:p>
        </w:tc>
        <w:tc>
          <w:tcPr>
            <w:tcW w:w="875" w:type="pct"/>
            <w:vAlign w:val="center"/>
          </w:tcPr>
          <w:p w14:paraId="04892872" w14:textId="4B2D78FB"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85.6***</w:t>
            </w:r>
          </w:p>
        </w:tc>
      </w:tr>
      <w:tr w:rsidR="00FC5139" w:rsidRPr="00FC5139" w14:paraId="6838E565" w14:textId="77777777"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0A3F7422" w14:textId="52470805"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Art Therap</w:t>
            </w:r>
            <w:r w:rsidR="000373A4" w:rsidRPr="00FC5139">
              <w:rPr>
                <w:rFonts w:eastAsia="MS PGothic" w:cs="Arial"/>
                <w:sz w:val="18"/>
                <w:szCs w:val="18"/>
                <w:lang w:eastAsia="en-AU"/>
              </w:rPr>
              <w:t>ists</w:t>
            </w:r>
          </w:p>
        </w:tc>
        <w:tc>
          <w:tcPr>
            <w:tcW w:w="875" w:type="pct"/>
            <w:vAlign w:val="center"/>
          </w:tcPr>
          <w:p w14:paraId="3F56FC57" w14:textId="1651073E"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71B7418" w14:textId="7F309D1B"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43417211" w14:textId="566017CE"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40C1DC9A" w14:textId="4186D154"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-30.4***</w:t>
            </w:r>
          </w:p>
        </w:tc>
      </w:tr>
      <w:tr w:rsidR="00FC5139" w:rsidRPr="00FC5139" w14:paraId="6150F4D0" w14:textId="77777777" w:rsidTr="006F4B1E">
        <w:trPr>
          <w:trHeight w:val="244"/>
        </w:trPr>
        <w:tc>
          <w:tcPr>
            <w:tcW w:w="1499" w:type="pct"/>
            <w:vAlign w:val="center"/>
          </w:tcPr>
          <w:p w14:paraId="69C551A5" w14:textId="4F485771"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Audiolog</w:t>
            </w:r>
            <w:r w:rsidR="000373A4" w:rsidRPr="00FC5139">
              <w:rPr>
                <w:rFonts w:eastAsia="MS PGothic" w:cs="Arial"/>
                <w:sz w:val="18"/>
                <w:szCs w:val="18"/>
                <w:lang w:eastAsia="en-AU"/>
              </w:rPr>
              <w:t>ists</w:t>
            </w:r>
          </w:p>
        </w:tc>
        <w:tc>
          <w:tcPr>
            <w:tcW w:w="875" w:type="pct"/>
            <w:vAlign w:val="center"/>
          </w:tcPr>
          <w:p w14:paraId="51DA0DBE" w14:textId="3D8F9AC2"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354E13F5" w14:textId="0708140A"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F6060FE" w14:textId="3F7E2FA0"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7F75B295" w14:textId="3E68A298"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25.9***</w:t>
            </w:r>
          </w:p>
        </w:tc>
      </w:tr>
      <w:tr w:rsidR="00FC5139" w:rsidRPr="00FC5139" w14:paraId="50DCFB14" w14:textId="77777777" w:rsidTr="006F4B1E">
        <w:trPr>
          <w:cnfStyle w:val="000000100000" w:firstRow="0" w:lastRow="0" w:firstColumn="0" w:lastColumn="0" w:oddVBand="0" w:evenVBand="0" w:oddHBand="1" w:evenHBand="0" w:firstRowFirstColumn="0" w:firstRowLastColumn="0" w:lastRowFirstColumn="0" w:lastRowLastColumn="0"/>
          <w:trHeight w:val="253"/>
        </w:trPr>
        <w:tc>
          <w:tcPr>
            <w:tcW w:w="1499" w:type="pct"/>
            <w:vAlign w:val="center"/>
          </w:tcPr>
          <w:p w14:paraId="79CCC4F9" w14:textId="314E6335"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Counsell</w:t>
            </w:r>
            <w:r w:rsidR="000373A4" w:rsidRPr="00FC5139">
              <w:rPr>
                <w:rFonts w:eastAsia="MS PGothic" w:cs="Arial"/>
                <w:sz w:val="18"/>
                <w:szCs w:val="18"/>
                <w:lang w:eastAsia="en-AU"/>
              </w:rPr>
              <w:t>ors</w:t>
            </w:r>
          </w:p>
        </w:tc>
        <w:tc>
          <w:tcPr>
            <w:tcW w:w="875" w:type="pct"/>
            <w:vAlign w:val="center"/>
          </w:tcPr>
          <w:p w14:paraId="3FAD7680" w14:textId="4930D805"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7CA7D1A8" w14:textId="5BF58797"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4D230CF9" w14:textId="66F5D547"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54B57882" w14:textId="391C6FB3"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-32.5***</w:t>
            </w:r>
          </w:p>
        </w:tc>
      </w:tr>
      <w:tr w:rsidR="00FC5139" w:rsidRPr="00FC5139" w14:paraId="30015BCA" w14:textId="77777777" w:rsidTr="006F4B1E">
        <w:trPr>
          <w:trHeight w:val="244"/>
        </w:trPr>
        <w:tc>
          <w:tcPr>
            <w:tcW w:w="1499" w:type="pct"/>
            <w:vAlign w:val="center"/>
          </w:tcPr>
          <w:p w14:paraId="4898FEAA" w14:textId="2DE857E2" w:rsidR="000B3A04"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Dietiti</w:t>
            </w:r>
            <w:r w:rsidR="000373A4" w:rsidRPr="00FC5139">
              <w:rPr>
                <w:rFonts w:eastAsia="MS PGothic" w:cs="Arial"/>
                <w:sz w:val="18"/>
                <w:szCs w:val="18"/>
                <w:lang w:eastAsia="en-AU"/>
              </w:rPr>
              <w:t>ans</w:t>
            </w:r>
          </w:p>
        </w:tc>
        <w:tc>
          <w:tcPr>
            <w:tcW w:w="875" w:type="pct"/>
            <w:vAlign w:val="center"/>
          </w:tcPr>
          <w:p w14:paraId="306E95C7" w14:textId="71DC25F5"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1D74BADA" w14:textId="755FA264"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22310295" w14:textId="000401ED" w:rsidR="000B3A04"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4D3CC93F" w14:textId="3FC6DBA4" w:rsidR="000B3A04"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5.4</w:t>
            </w:r>
          </w:p>
        </w:tc>
      </w:tr>
      <w:tr w:rsidR="00FC5139" w:rsidRPr="00FC5139" w14:paraId="585286E5" w14:textId="3E48D12D" w:rsidTr="006F4B1E">
        <w:trPr>
          <w:cnfStyle w:val="000000100000" w:firstRow="0" w:lastRow="0" w:firstColumn="0" w:lastColumn="0" w:oddVBand="0" w:evenVBand="0" w:oddHBand="1" w:evenHBand="0" w:firstRowFirstColumn="0" w:firstRowLastColumn="0" w:lastRowFirstColumn="0" w:lastRowLastColumn="0"/>
          <w:trHeight w:val="65"/>
        </w:trPr>
        <w:tc>
          <w:tcPr>
            <w:tcW w:w="1499" w:type="pct"/>
            <w:vAlign w:val="center"/>
          </w:tcPr>
          <w:p w14:paraId="251F56FD" w14:textId="39104180" w:rsidR="00320636" w:rsidRPr="00FC5139" w:rsidRDefault="000B3A04" w:rsidP="00371CAD">
            <w:pPr>
              <w:spacing w:before="60" w:after="60"/>
              <w:rPr>
                <w:rFonts w:eastAsia="MS PGothic" w:cs="Arial"/>
                <w:sz w:val="18"/>
                <w:szCs w:val="18"/>
                <w:lang w:eastAsia="en-AU"/>
              </w:rPr>
            </w:pPr>
            <w:r w:rsidRPr="00FC5139">
              <w:rPr>
                <w:rFonts w:eastAsia="MS PGothic" w:cs="Arial"/>
                <w:sz w:val="18"/>
                <w:szCs w:val="18"/>
                <w:lang w:eastAsia="en-AU"/>
              </w:rPr>
              <w:t>Exercise Physiolog</w:t>
            </w:r>
            <w:r w:rsidR="000373A4" w:rsidRPr="00FC5139">
              <w:rPr>
                <w:rFonts w:eastAsia="MS PGothic" w:cs="Arial"/>
                <w:sz w:val="18"/>
                <w:szCs w:val="18"/>
                <w:lang w:eastAsia="en-AU"/>
              </w:rPr>
              <w:t>ists</w:t>
            </w:r>
          </w:p>
        </w:tc>
        <w:tc>
          <w:tcPr>
            <w:tcW w:w="875" w:type="pct"/>
            <w:vAlign w:val="center"/>
          </w:tcPr>
          <w:p w14:paraId="3E58FE9A" w14:textId="25A928A8"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772C39DA" w14:textId="70E5BDCD"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7E031BE8" w14:textId="34CAA19D"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2869151A" w14:textId="36C37AF5" w:rsidR="007C0303" w:rsidRPr="00FC5139" w:rsidRDefault="000B3A04" w:rsidP="00371CAD">
            <w:pPr>
              <w:spacing w:before="60" w:after="60"/>
              <w:jc w:val="center"/>
              <w:rPr>
                <w:rFonts w:eastAsia="MS PGothic" w:cs="Arial"/>
                <w:sz w:val="18"/>
                <w:szCs w:val="18"/>
                <w:lang w:eastAsia="en-AU"/>
              </w:rPr>
            </w:pPr>
            <w:r w:rsidRPr="00FC5139">
              <w:rPr>
                <w:rFonts w:eastAsia="MS PGothic" w:cs="Arial"/>
                <w:sz w:val="18"/>
                <w:szCs w:val="18"/>
                <w:lang w:eastAsia="en-AU"/>
              </w:rPr>
              <w:t>-25.3</w:t>
            </w:r>
            <w:r w:rsidR="000D37E0" w:rsidRPr="00FC5139">
              <w:rPr>
                <w:rFonts w:eastAsia="MS PGothic" w:cs="Arial"/>
                <w:sz w:val="18"/>
                <w:szCs w:val="18"/>
                <w:lang w:eastAsia="en-AU"/>
              </w:rPr>
              <w:t>***</w:t>
            </w:r>
          </w:p>
        </w:tc>
      </w:tr>
      <w:tr w:rsidR="00FC5139" w:rsidRPr="00FC5139" w14:paraId="5C84F8CB" w14:textId="4F6288EE" w:rsidTr="006F4B1E">
        <w:trPr>
          <w:trHeight w:val="70"/>
        </w:trPr>
        <w:tc>
          <w:tcPr>
            <w:tcW w:w="1499" w:type="pct"/>
            <w:vAlign w:val="center"/>
          </w:tcPr>
          <w:p w14:paraId="710DE385" w14:textId="16DE8E94" w:rsidR="00320636" w:rsidRPr="00FC5139" w:rsidRDefault="00CD26E8" w:rsidP="00371CAD">
            <w:pPr>
              <w:spacing w:before="60" w:after="60"/>
              <w:rPr>
                <w:rFonts w:eastAsia="MS PGothic" w:cs="Arial"/>
                <w:sz w:val="18"/>
                <w:szCs w:val="18"/>
                <w:lang w:eastAsia="en-AU"/>
              </w:rPr>
            </w:pPr>
            <w:r w:rsidRPr="00FC5139">
              <w:rPr>
                <w:rFonts w:eastAsia="MS PGothic" w:cs="Arial"/>
                <w:sz w:val="18"/>
                <w:szCs w:val="18"/>
                <w:lang w:eastAsia="en-AU"/>
              </w:rPr>
              <w:t>Music Therap</w:t>
            </w:r>
            <w:r w:rsidR="000373A4" w:rsidRPr="00FC5139">
              <w:rPr>
                <w:rFonts w:eastAsia="MS PGothic" w:cs="Arial"/>
                <w:sz w:val="18"/>
                <w:szCs w:val="18"/>
                <w:lang w:eastAsia="en-AU"/>
              </w:rPr>
              <w:t>ists</w:t>
            </w:r>
          </w:p>
        </w:tc>
        <w:tc>
          <w:tcPr>
            <w:tcW w:w="875" w:type="pct"/>
            <w:vAlign w:val="center"/>
          </w:tcPr>
          <w:p w14:paraId="3CDE4779" w14:textId="65898A39"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3668C500" w14:textId="38AF5BD5"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07751AB" w14:textId="5CA6C692" w:rsidR="00320636"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9C40E3D" w14:textId="64B7C087" w:rsidR="007C0303" w:rsidRPr="00FC5139" w:rsidRDefault="00CD26E8" w:rsidP="00371CAD">
            <w:pPr>
              <w:spacing w:before="60" w:after="60"/>
              <w:jc w:val="center"/>
              <w:rPr>
                <w:rFonts w:eastAsia="MS PGothic" w:cs="Arial"/>
                <w:sz w:val="18"/>
                <w:szCs w:val="18"/>
                <w:lang w:eastAsia="en-AU"/>
              </w:rPr>
            </w:pPr>
            <w:r w:rsidRPr="00FC5139">
              <w:rPr>
                <w:rFonts w:eastAsia="MS PGothic" w:cs="Arial"/>
                <w:sz w:val="18"/>
                <w:szCs w:val="18"/>
                <w:lang w:eastAsia="en-AU"/>
              </w:rPr>
              <w:t>-3.9</w:t>
            </w:r>
          </w:p>
        </w:tc>
      </w:tr>
      <w:tr w:rsidR="00FC5139" w:rsidRPr="00FC5139" w14:paraId="37B50684" w14:textId="77777777"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48A2E68B" w14:textId="1DE2EFD1" w:rsidR="003778CB" w:rsidRPr="00FC5139" w:rsidRDefault="00CD26E8" w:rsidP="00371CAD">
            <w:pPr>
              <w:spacing w:before="60" w:after="60"/>
              <w:rPr>
                <w:rFonts w:eastAsia="MS PGothic" w:cs="Arial"/>
                <w:sz w:val="18"/>
                <w:szCs w:val="18"/>
                <w:lang w:eastAsia="en-AU"/>
              </w:rPr>
            </w:pPr>
            <w:r w:rsidRPr="00FC5139">
              <w:rPr>
                <w:rFonts w:eastAsia="MS PGothic" w:cs="Arial"/>
                <w:sz w:val="18"/>
                <w:szCs w:val="18"/>
                <w:lang w:eastAsia="en-AU"/>
              </w:rPr>
              <w:t>Physiotherap</w:t>
            </w:r>
            <w:r w:rsidR="000373A4" w:rsidRPr="00FC5139">
              <w:rPr>
                <w:rFonts w:eastAsia="MS PGothic" w:cs="Arial"/>
                <w:sz w:val="18"/>
                <w:szCs w:val="18"/>
                <w:lang w:eastAsia="en-AU"/>
              </w:rPr>
              <w:t>ists</w:t>
            </w:r>
          </w:p>
        </w:tc>
        <w:tc>
          <w:tcPr>
            <w:tcW w:w="875" w:type="pct"/>
            <w:vAlign w:val="center"/>
          </w:tcPr>
          <w:p w14:paraId="2C733FB5" w14:textId="68889AB3"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5C5FDB18" w14:textId="3A62C5AF"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465077A" w14:textId="051CC218"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12DCB268" w14:textId="6D8A4BB8" w:rsidR="003778CB" w:rsidRPr="00FC5139" w:rsidRDefault="00CD26E8" w:rsidP="00371CAD">
            <w:pPr>
              <w:spacing w:before="60" w:after="60"/>
              <w:jc w:val="center"/>
              <w:rPr>
                <w:rFonts w:eastAsia="MS PGothic" w:cs="Arial"/>
                <w:sz w:val="18"/>
                <w:szCs w:val="18"/>
                <w:lang w:eastAsia="en-AU"/>
              </w:rPr>
            </w:pPr>
            <w:r w:rsidRPr="00FC5139">
              <w:rPr>
                <w:rFonts w:eastAsia="MS PGothic" w:cs="Arial"/>
                <w:sz w:val="18"/>
                <w:szCs w:val="18"/>
                <w:lang w:eastAsia="en-AU"/>
              </w:rPr>
              <w:t>12.8***</w:t>
            </w:r>
          </w:p>
        </w:tc>
      </w:tr>
      <w:tr w:rsidR="00FC5139" w:rsidRPr="00FC5139" w14:paraId="55CEA46D" w14:textId="77777777" w:rsidTr="006F4B1E">
        <w:trPr>
          <w:trHeight w:val="253"/>
        </w:trPr>
        <w:tc>
          <w:tcPr>
            <w:tcW w:w="1499" w:type="pct"/>
            <w:vAlign w:val="center"/>
          </w:tcPr>
          <w:p w14:paraId="2B435163" w14:textId="622EE9EA" w:rsidR="003778CB" w:rsidRPr="00FC5139" w:rsidRDefault="00CD26E8" w:rsidP="00371CAD">
            <w:pPr>
              <w:spacing w:before="60" w:after="60"/>
              <w:rPr>
                <w:rFonts w:eastAsia="MS PGothic" w:cs="Arial"/>
                <w:sz w:val="18"/>
                <w:szCs w:val="18"/>
                <w:lang w:eastAsia="en-AU"/>
              </w:rPr>
            </w:pPr>
            <w:r w:rsidRPr="00FC5139">
              <w:rPr>
                <w:rFonts w:eastAsia="MS PGothic" w:cs="Arial"/>
                <w:sz w:val="18"/>
                <w:szCs w:val="18"/>
                <w:lang w:eastAsia="en-AU"/>
              </w:rPr>
              <w:t>Podiatr</w:t>
            </w:r>
            <w:r w:rsidR="000373A4" w:rsidRPr="00FC5139">
              <w:rPr>
                <w:rFonts w:eastAsia="MS PGothic" w:cs="Arial"/>
                <w:sz w:val="18"/>
                <w:szCs w:val="18"/>
                <w:lang w:eastAsia="en-AU"/>
              </w:rPr>
              <w:t>ists</w:t>
            </w:r>
          </w:p>
        </w:tc>
        <w:tc>
          <w:tcPr>
            <w:tcW w:w="875" w:type="pct"/>
            <w:vAlign w:val="center"/>
          </w:tcPr>
          <w:p w14:paraId="5096190F" w14:textId="5BA3B7BE"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294C22FA" w14:textId="7A46931A"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68E69215" w14:textId="3B4ED5DB"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707F117C" w14:textId="3625B37D" w:rsidR="003778CB" w:rsidRPr="00FC5139" w:rsidRDefault="00CD26E8" w:rsidP="00371CAD">
            <w:pPr>
              <w:spacing w:before="60" w:after="60"/>
              <w:jc w:val="center"/>
              <w:rPr>
                <w:rFonts w:eastAsia="MS PGothic" w:cs="Arial"/>
                <w:sz w:val="18"/>
                <w:szCs w:val="18"/>
                <w:lang w:eastAsia="en-AU"/>
              </w:rPr>
            </w:pPr>
            <w:r w:rsidRPr="00FC5139">
              <w:rPr>
                <w:rFonts w:eastAsia="MS PGothic" w:cs="Arial"/>
                <w:sz w:val="18"/>
                <w:szCs w:val="18"/>
                <w:lang w:eastAsia="en-AU"/>
              </w:rPr>
              <w:t>-1.1</w:t>
            </w:r>
          </w:p>
        </w:tc>
      </w:tr>
      <w:tr w:rsidR="00FC5139" w:rsidRPr="00FC5139" w14:paraId="686EE20C" w14:textId="77777777" w:rsidTr="006F4B1E">
        <w:trPr>
          <w:cnfStyle w:val="000000100000" w:firstRow="0" w:lastRow="0" w:firstColumn="0" w:lastColumn="0" w:oddVBand="0" w:evenVBand="0" w:oddHBand="1" w:evenHBand="0" w:firstRowFirstColumn="0" w:firstRowLastColumn="0" w:lastRowFirstColumn="0" w:lastRowLastColumn="0"/>
          <w:trHeight w:val="244"/>
        </w:trPr>
        <w:tc>
          <w:tcPr>
            <w:tcW w:w="1499" w:type="pct"/>
            <w:vAlign w:val="center"/>
          </w:tcPr>
          <w:p w14:paraId="644145BE" w14:textId="3CD0A786" w:rsidR="003778CB" w:rsidRPr="00FC5139" w:rsidRDefault="00CD26E8" w:rsidP="00371CAD">
            <w:pPr>
              <w:spacing w:before="60" w:after="60"/>
              <w:rPr>
                <w:rFonts w:eastAsia="MS PGothic" w:cs="Arial"/>
                <w:sz w:val="18"/>
                <w:szCs w:val="18"/>
                <w:lang w:eastAsia="en-AU"/>
              </w:rPr>
            </w:pPr>
            <w:r w:rsidRPr="00FC5139">
              <w:rPr>
                <w:rFonts w:eastAsia="MS PGothic" w:cs="Arial"/>
                <w:sz w:val="18"/>
                <w:szCs w:val="18"/>
                <w:lang w:eastAsia="en-AU"/>
              </w:rPr>
              <w:t>Social Worker</w:t>
            </w:r>
            <w:r w:rsidR="000373A4" w:rsidRPr="00FC5139">
              <w:rPr>
                <w:rFonts w:eastAsia="MS PGothic" w:cs="Arial"/>
                <w:sz w:val="18"/>
                <w:szCs w:val="18"/>
                <w:lang w:eastAsia="en-AU"/>
              </w:rPr>
              <w:t>s</w:t>
            </w:r>
          </w:p>
        </w:tc>
        <w:tc>
          <w:tcPr>
            <w:tcW w:w="875" w:type="pct"/>
            <w:vAlign w:val="center"/>
          </w:tcPr>
          <w:p w14:paraId="371D7911" w14:textId="32CCD163"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0BA625D" w14:textId="0086460F"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095C2D74" w14:textId="5A6F02CE"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3048804D" w14:textId="66187332" w:rsidR="003778CB" w:rsidRPr="00FC5139" w:rsidRDefault="00CD26E8" w:rsidP="00371CAD">
            <w:pPr>
              <w:spacing w:before="60" w:after="60"/>
              <w:jc w:val="center"/>
              <w:rPr>
                <w:rFonts w:eastAsia="MS PGothic" w:cs="Arial"/>
                <w:sz w:val="18"/>
                <w:szCs w:val="18"/>
                <w:lang w:eastAsia="en-AU"/>
              </w:rPr>
            </w:pPr>
            <w:r w:rsidRPr="00FC5139">
              <w:rPr>
                <w:rFonts w:eastAsia="MS PGothic" w:cs="Arial"/>
                <w:sz w:val="18"/>
                <w:szCs w:val="18"/>
                <w:lang w:eastAsia="en-AU"/>
              </w:rPr>
              <w:t>3.5</w:t>
            </w:r>
          </w:p>
        </w:tc>
      </w:tr>
      <w:tr w:rsidR="00FC5139" w:rsidRPr="00FC5139" w14:paraId="7E3B125F" w14:textId="77777777" w:rsidTr="006F4B1E">
        <w:trPr>
          <w:trHeight w:val="244"/>
        </w:trPr>
        <w:tc>
          <w:tcPr>
            <w:tcW w:w="1499" w:type="pct"/>
            <w:vAlign w:val="center"/>
          </w:tcPr>
          <w:p w14:paraId="68F2FDD6" w14:textId="10CD1356" w:rsidR="003778CB" w:rsidRPr="00FC5139" w:rsidRDefault="00CD26E8" w:rsidP="00371CAD">
            <w:pPr>
              <w:spacing w:before="60" w:after="60"/>
              <w:rPr>
                <w:rFonts w:eastAsia="MS PGothic" w:cs="Arial"/>
                <w:sz w:val="18"/>
                <w:szCs w:val="18"/>
                <w:lang w:eastAsia="en-AU"/>
              </w:rPr>
            </w:pPr>
            <w:r w:rsidRPr="00FC5139">
              <w:rPr>
                <w:rFonts w:eastAsia="MS PGothic" w:cs="Arial"/>
                <w:sz w:val="18"/>
                <w:szCs w:val="18"/>
                <w:lang w:eastAsia="en-AU"/>
              </w:rPr>
              <w:t>Speech Patholog</w:t>
            </w:r>
            <w:r w:rsidR="000373A4" w:rsidRPr="00FC5139">
              <w:rPr>
                <w:rFonts w:eastAsia="MS PGothic" w:cs="Arial"/>
                <w:sz w:val="18"/>
                <w:szCs w:val="18"/>
                <w:lang w:eastAsia="en-AU"/>
              </w:rPr>
              <w:t>ists</w:t>
            </w:r>
          </w:p>
        </w:tc>
        <w:tc>
          <w:tcPr>
            <w:tcW w:w="875" w:type="pct"/>
            <w:vAlign w:val="center"/>
          </w:tcPr>
          <w:p w14:paraId="4D00FB2B" w14:textId="768982E0"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39B08733" w14:textId="3A3A596F"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443F7C8E" w14:textId="6FCB8747" w:rsidR="003778CB" w:rsidRPr="00FC5139" w:rsidRDefault="00BD4625" w:rsidP="00371CAD">
            <w:pPr>
              <w:spacing w:before="60" w:after="60"/>
              <w:jc w:val="center"/>
              <w:rPr>
                <w:rFonts w:eastAsia="MS PGothic" w:cs="Arial"/>
                <w:sz w:val="18"/>
                <w:szCs w:val="18"/>
                <w:lang w:eastAsia="en-AU"/>
              </w:rPr>
            </w:pPr>
            <w:r w:rsidRPr="00FC5139">
              <w:rPr>
                <w:rFonts w:eastAsia="MS PGothic" w:cs="Arial"/>
                <w:sz w:val="18"/>
                <w:szCs w:val="18"/>
                <w:lang w:eastAsia="en-AU"/>
              </w:rPr>
              <w:t>N/A</w:t>
            </w:r>
          </w:p>
        </w:tc>
        <w:tc>
          <w:tcPr>
            <w:tcW w:w="875" w:type="pct"/>
            <w:vAlign w:val="center"/>
          </w:tcPr>
          <w:p w14:paraId="529A22EF" w14:textId="591A1125" w:rsidR="003778CB" w:rsidRPr="00FC5139" w:rsidRDefault="001F2D82" w:rsidP="00371CAD">
            <w:pPr>
              <w:spacing w:before="60" w:after="60"/>
              <w:jc w:val="center"/>
              <w:rPr>
                <w:rFonts w:eastAsia="MS PGothic" w:cs="Arial"/>
                <w:sz w:val="18"/>
                <w:szCs w:val="18"/>
                <w:lang w:eastAsia="en-AU"/>
              </w:rPr>
            </w:pPr>
            <w:r w:rsidRPr="00FC5139">
              <w:rPr>
                <w:rFonts w:eastAsia="MS PGothic" w:cs="Arial"/>
                <w:sz w:val="18"/>
                <w:szCs w:val="18"/>
                <w:lang w:eastAsia="en-AU"/>
              </w:rPr>
              <w:t>-</w:t>
            </w:r>
            <w:r w:rsidR="00CD26E8" w:rsidRPr="00FC5139">
              <w:rPr>
                <w:rFonts w:eastAsia="MS PGothic" w:cs="Arial"/>
                <w:sz w:val="18"/>
                <w:szCs w:val="18"/>
                <w:lang w:eastAsia="en-AU"/>
              </w:rPr>
              <w:t>1.</w:t>
            </w:r>
            <w:r w:rsidRPr="00FC5139">
              <w:rPr>
                <w:rFonts w:eastAsia="MS PGothic" w:cs="Arial"/>
                <w:sz w:val="18"/>
                <w:szCs w:val="18"/>
                <w:lang w:eastAsia="en-AU"/>
              </w:rPr>
              <w:t>3</w:t>
            </w:r>
          </w:p>
        </w:tc>
      </w:tr>
      <w:tr w:rsidR="00FC5139" w:rsidRPr="00FC5139" w14:paraId="26E02AFA" w14:textId="7B371E18"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74495E42"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Adjusted R</w:t>
            </w:r>
            <w:r w:rsidRPr="00FC5139">
              <w:rPr>
                <w:rFonts w:eastAsia="MS PGothic" w:cs="Arial"/>
                <w:sz w:val="18"/>
                <w:szCs w:val="18"/>
                <w:vertAlign w:val="superscript"/>
                <w:lang w:eastAsia="en-AU"/>
              </w:rPr>
              <w:t>2</w:t>
            </w:r>
          </w:p>
        </w:tc>
        <w:tc>
          <w:tcPr>
            <w:tcW w:w="875" w:type="pct"/>
            <w:vAlign w:val="center"/>
          </w:tcPr>
          <w:p w14:paraId="3DB1F400"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0.024</w:t>
            </w:r>
          </w:p>
        </w:tc>
        <w:tc>
          <w:tcPr>
            <w:tcW w:w="875" w:type="pct"/>
            <w:vAlign w:val="center"/>
          </w:tcPr>
          <w:p w14:paraId="6EEA7EBC"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0.048</w:t>
            </w:r>
          </w:p>
        </w:tc>
        <w:tc>
          <w:tcPr>
            <w:tcW w:w="875" w:type="pct"/>
            <w:vAlign w:val="center"/>
          </w:tcPr>
          <w:p w14:paraId="4C8F0C85"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0.369</w:t>
            </w:r>
          </w:p>
        </w:tc>
        <w:tc>
          <w:tcPr>
            <w:tcW w:w="875" w:type="pct"/>
            <w:vAlign w:val="center"/>
          </w:tcPr>
          <w:p w14:paraId="75707F61" w14:textId="1FE4BA87" w:rsidR="007C0303" w:rsidRPr="00FC5139" w:rsidRDefault="00072C96" w:rsidP="00371CAD">
            <w:pPr>
              <w:spacing w:before="60" w:after="60"/>
              <w:jc w:val="center"/>
              <w:rPr>
                <w:rFonts w:eastAsia="MS PGothic" w:cs="Arial"/>
                <w:sz w:val="18"/>
                <w:szCs w:val="18"/>
                <w:lang w:eastAsia="en-AU"/>
              </w:rPr>
            </w:pPr>
            <w:r w:rsidRPr="00FC5139">
              <w:rPr>
                <w:rFonts w:eastAsia="MS PGothic" w:cs="Arial"/>
                <w:sz w:val="18"/>
                <w:szCs w:val="18"/>
                <w:lang w:eastAsia="en-AU"/>
              </w:rPr>
              <w:t>0.3</w:t>
            </w:r>
            <w:r w:rsidR="00AA4FC3" w:rsidRPr="00FC5139">
              <w:rPr>
                <w:rFonts w:eastAsia="MS PGothic" w:cs="Arial"/>
                <w:sz w:val="18"/>
                <w:szCs w:val="18"/>
                <w:lang w:eastAsia="en-AU"/>
              </w:rPr>
              <w:t>8</w:t>
            </w:r>
          </w:p>
        </w:tc>
      </w:tr>
      <w:tr w:rsidR="00FC5139" w:rsidRPr="00FC5139" w14:paraId="6654A77A" w14:textId="526D99F4" w:rsidTr="006F4B1E">
        <w:trPr>
          <w:trHeight w:val="50"/>
        </w:trPr>
        <w:tc>
          <w:tcPr>
            <w:tcW w:w="1499" w:type="pct"/>
            <w:vAlign w:val="center"/>
          </w:tcPr>
          <w:p w14:paraId="00DD7870"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F Statistic</w:t>
            </w:r>
          </w:p>
        </w:tc>
        <w:tc>
          <w:tcPr>
            <w:tcW w:w="875" w:type="pct"/>
            <w:vAlign w:val="center"/>
          </w:tcPr>
          <w:p w14:paraId="4B621C54"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11.03</w:t>
            </w:r>
          </w:p>
        </w:tc>
        <w:tc>
          <w:tcPr>
            <w:tcW w:w="875" w:type="pct"/>
            <w:vAlign w:val="center"/>
          </w:tcPr>
          <w:p w14:paraId="0DE5B2D6"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19.04</w:t>
            </w:r>
          </w:p>
        </w:tc>
        <w:tc>
          <w:tcPr>
            <w:tcW w:w="875" w:type="pct"/>
            <w:vAlign w:val="center"/>
          </w:tcPr>
          <w:p w14:paraId="6EAC62BC" w14:textId="77777777"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152.8</w:t>
            </w:r>
          </w:p>
        </w:tc>
        <w:tc>
          <w:tcPr>
            <w:tcW w:w="875" w:type="pct"/>
            <w:vAlign w:val="center"/>
          </w:tcPr>
          <w:p w14:paraId="075A1673" w14:textId="24D49F17" w:rsidR="007C0303" w:rsidRPr="00FC5139" w:rsidRDefault="006037C3" w:rsidP="00371CAD">
            <w:pPr>
              <w:spacing w:before="60" w:after="60"/>
              <w:jc w:val="center"/>
              <w:rPr>
                <w:rFonts w:eastAsia="MS PGothic" w:cs="Arial"/>
                <w:sz w:val="18"/>
                <w:szCs w:val="18"/>
                <w:lang w:eastAsia="en-AU"/>
              </w:rPr>
            </w:pPr>
            <w:r w:rsidRPr="00FC5139">
              <w:rPr>
                <w:rFonts w:eastAsia="MS PGothic" w:cs="Arial"/>
                <w:sz w:val="18"/>
                <w:szCs w:val="18"/>
                <w:lang w:eastAsia="en-AU"/>
              </w:rPr>
              <w:t>87.9</w:t>
            </w:r>
          </w:p>
        </w:tc>
      </w:tr>
      <w:tr w:rsidR="00FC5139" w:rsidRPr="00FC5139" w14:paraId="68B9EDB4" w14:textId="002BC27D" w:rsidTr="006F4B1E">
        <w:trPr>
          <w:cnfStyle w:val="000000100000" w:firstRow="0" w:lastRow="0" w:firstColumn="0" w:lastColumn="0" w:oddVBand="0" w:evenVBand="0" w:oddHBand="1" w:evenHBand="0" w:firstRowFirstColumn="0" w:firstRowLastColumn="0" w:lastRowFirstColumn="0" w:lastRowLastColumn="0"/>
          <w:trHeight w:val="50"/>
        </w:trPr>
        <w:tc>
          <w:tcPr>
            <w:tcW w:w="1499" w:type="pct"/>
            <w:vAlign w:val="center"/>
          </w:tcPr>
          <w:p w14:paraId="58A9E3C9" w14:textId="77777777" w:rsidR="00320636" w:rsidRPr="00FC5139" w:rsidRDefault="00320636" w:rsidP="00371CAD">
            <w:pPr>
              <w:spacing w:before="60" w:after="60"/>
              <w:rPr>
                <w:rFonts w:eastAsia="MS PGothic" w:cs="Arial"/>
                <w:sz w:val="18"/>
                <w:szCs w:val="18"/>
                <w:lang w:eastAsia="en-AU"/>
              </w:rPr>
            </w:pPr>
            <w:r w:rsidRPr="00FC5139">
              <w:rPr>
                <w:rFonts w:eastAsia="MS PGothic" w:cs="Arial"/>
                <w:sz w:val="18"/>
                <w:szCs w:val="18"/>
                <w:lang w:eastAsia="en-AU"/>
              </w:rPr>
              <w:t>Observations</w:t>
            </w:r>
          </w:p>
        </w:tc>
        <w:tc>
          <w:tcPr>
            <w:tcW w:w="875" w:type="pct"/>
            <w:vAlign w:val="center"/>
          </w:tcPr>
          <w:p w14:paraId="08948883" w14:textId="0CEC3CF8"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2</w:t>
            </w:r>
            <w:r w:rsidR="00643D6F" w:rsidRPr="00FC5139">
              <w:rPr>
                <w:rFonts w:eastAsia="MS PGothic" w:cs="Arial"/>
                <w:sz w:val="18"/>
                <w:szCs w:val="18"/>
                <w:lang w:eastAsia="en-AU"/>
              </w:rPr>
              <w:t>,</w:t>
            </w:r>
            <w:r w:rsidRPr="00FC5139">
              <w:rPr>
                <w:rFonts w:eastAsia="MS PGothic" w:cs="Arial"/>
                <w:sz w:val="18"/>
                <w:szCs w:val="18"/>
                <w:lang w:eastAsia="en-AU"/>
              </w:rPr>
              <w:t>857</w:t>
            </w:r>
          </w:p>
        </w:tc>
        <w:tc>
          <w:tcPr>
            <w:tcW w:w="875" w:type="pct"/>
            <w:vAlign w:val="center"/>
          </w:tcPr>
          <w:p w14:paraId="4545D20C" w14:textId="6F06EE50"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2</w:t>
            </w:r>
            <w:r w:rsidR="00643D6F" w:rsidRPr="00FC5139">
              <w:rPr>
                <w:rFonts w:eastAsia="MS PGothic" w:cs="Arial"/>
                <w:sz w:val="18"/>
                <w:szCs w:val="18"/>
                <w:lang w:eastAsia="en-AU"/>
              </w:rPr>
              <w:t>,</w:t>
            </w:r>
            <w:r w:rsidRPr="00FC5139">
              <w:rPr>
                <w:rFonts w:eastAsia="MS PGothic" w:cs="Arial"/>
                <w:sz w:val="18"/>
                <w:szCs w:val="18"/>
                <w:lang w:eastAsia="en-AU"/>
              </w:rPr>
              <w:t>857</w:t>
            </w:r>
          </w:p>
        </w:tc>
        <w:tc>
          <w:tcPr>
            <w:tcW w:w="875" w:type="pct"/>
            <w:vAlign w:val="center"/>
          </w:tcPr>
          <w:p w14:paraId="37DE5D9C" w14:textId="1F8395D9" w:rsidR="00320636" w:rsidRPr="00FC5139" w:rsidRDefault="00320636" w:rsidP="00371CAD">
            <w:pPr>
              <w:spacing w:before="60" w:after="60"/>
              <w:jc w:val="center"/>
              <w:rPr>
                <w:rFonts w:eastAsia="MS PGothic" w:cs="Arial"/>
                <w:sz w:val="18"/>
                <w:szCs w:val="18"/>
                <w:lang w:eastAsia="en-AU"/>
              </w:rPr>
            </w:pPr>
            <w:r w:rsidRPr="00FC5139">
              <w:rPr>
                <w:rFonts w:eastAsia="MS PGothic" w:cs="Arial"/>
                <w:sz w:val="18"/>
                <w:szCs w:val="18"/>
                <w:lang w:eastAsia="en-AU"/>
              </w:rPr>
              <w:t>2</w:t>
            </w:r>
            <w:r w:rsidR="00643D6F" w:rsidRPr="00FC5139">
              <w:rPr>
                <w:rFonts w:eastAsia="MS PGothic" w:cs="Arial"/>
                <w:sz w:val="18"/>
                <w:szCs w:val="18"/>
                <w:lang w:eastAsia="en-AU"/>
              </w:rPr>
              <w:t>,</w:t>
            </w:r>
            <w:r w:rsidRPr="00FC5139">
              <w:rPr>
                <w:rFonts w:eastAsia="MS PGothic" w:cs="Arial"/>
                <w:sz w:val="18"/>
                <w:szCs w:val="18"/>
                <w:lang w:eastAsia="en-AU"/>
              </w:rPr>
              <w:t>857</w:t>
            </w:r>
          </w:p>
        </w:tc>
        <w:tc>
          <w:tcPr>
            <w:tcW w:w="875" w:type="pct"/>
            <w:vAlign w:val="center"/>
          </w:tcPr>
          <w:p w14:paraId="43743AE2" w14:textId="6F1BFFC3" w:rsidR="007C0303" w:rsidRPr="00FC5139" w:rsidRDefault="006037C3" w:rsidP="00371CAD">
            <w:pPr>
              <w:spacing w:before="60" w:after="60"/>
              <w:jc w:val="center"/>
              <w:rPr>
                <w:rFonts w:eastAsia="MS PGothic" w:cs="Arial"/>
                <w:sz w:val="18"/>
                <w:szCs w:val="18"/>
                <w:lang w:eastAsia="en-AU"/>
              </w:rPr>
            </w:pPr>
            <w:r w:rsidRPr="00FC5139">
              <w:rPr>
                <w:rFonts w:eastAsia="MS PGothic" w:cs="Arial"/>
                <w:sz w:val="18"/>
                <w:szCs w:val="18"/>
                <w:lang w:eastAsia="en-AU"/>
              </w:rPr>
              <w:t>2,857</w:t>
            </w:r>
          </w:p>
        </w:tc>
      </w:tr>
    </w:tbl>
    <w:p w14:paraId="00113FE5" w14:textId="39E87816" w:rsidR="0001172A" w:rsidRPr="00E927EC" w:rsidRDefault="00320636" w:rsidP="00E927EC">
      <w:pPr>
        <w:spacing w:before="0"/>
        <w:rPr>
          <w:rFonts w:eastAsia="MS PGothic" w:cs="Arial"/>
          <w:sz w:val="16"/>
          <w:szCs w:val="16"/>
          <w:lang w:eastAsia="en-AU"/>
        </w:rPr>
      </w:pPr>
      <w:r w:rsidRPr="008B5824">
        <w:rPr>
          <w:rFonts w:eastAsia="MS PGothic" w:cs="Arial"/>
          <w:noProof/>
          <w:sz w:val="16"/>
          <w:szCs w:val="16"/>
          <w:lang w:eastAsia="en-AU"/>
        </w:rPr>
        <w:t>(</w:t>
      </w:r>
      <w:r w:rsidR="00B12A67">
        <w:rPr>
          <w:rFonts w:eastAsia="MS PGothic" w:cs="Arial"/>
          <w:noProof/>
          <w:sz w:val="16"/>
          <w:szCs w:val="16"/>
          <w:lang w:eastAsia="en-AU"/>
        </w:rPr>
        <w:t>*</w:t>
      </w:r>
      <w:r w:rsidR="00690AFD">
        <w:rPr>
          <w:rFonts w:eastAsia="MS PGothic" w:cs="Arial"/>
          <w:noProof/>
          <w:sz w:val="16"/>
          <w:szCs w:val="16"/>
          <w:lang w:eastAsia="en-AU"/>
        </w:rPr>
        <w:t xml:space="preserve"> = p &lt;0.05, </w:t>
      </w:r>
      <w:r w:rsidRPr="008B5824">
        <w:rPr>
          <w:rFonts w:eastAsia="MS PGothic" w:cs="Arial"/>
          <w:noProof/>
          <w:sz w:val="16"/>
          <w:szCs w:val="16"/>
          <w:lang w:eastAsia="en-AU"/>
        </w:rPr>
        <w:t>** = p &lt; 0.01</w:t>
      </w:r>
      <w:r w:rsidR="00F566C2">
        <w:rPr>
          <w:rFonts w:eastAsia="MS PGothic" w:cs="Arial"/>
          <w:noProof/>
          <w:sz w:val="16"/>
          <w:szCs w:val="16"/>
          <w:lang w:eastAsia="en-AU"/>
        </w:rPr>
        <w:t>, *** = p&lt;0.001</w:t>
      </w:r>
      <w:r w:rsidRPr="008B5824">
        <w:rPr>
          <w:rFonts w:eastAsia="MS PGothic" w:cs="Arial"/>
          <w:noProof/>
          <w:sz w:val="16"/>
          <w:szCs w:val="16"/>
          <w:lang w:eastAsia="en-AU"/>
        </w:rPr>
        <w:t>)</w:t>
      </w:r>
    </w:p>
    <w:p w14:paraId="2D069204" w14:textId="45ED8A29" w:rsidR="00FB3A5E" w:rsidRDefault="0046613A" w:rsidP="00FB3A5E">
      <w:pPr>
        <w:rPr>
          <w:rFonts w:eastAsia="MS PGothic" w:cs="Arial"/>
          <w:noProof/>
          <w:lang w:eastAsia="en-AU"/>
        </w:rPr>
      </w:pPr>
      <w:r w:rsidRPr="0046613A">
        <w:rPr>
          <w:rFonts w:eastAsia="MS PGothic" w:cs="Arial"/>
          <w:noProof/>
          <w:lang w:eastAsia="en-AU"/>
        </w:rPr>
        <w:t xml:space="preserve">Model </w:t>
      </w:r>
      <w:r w:rsidR="00543F46">
        <w:rPr>
          <w:rFonts w:eastAsia="MS PGothic" w:cs="Arial"/>
          <w:noProof/>
          <w:lang w:eastAsia="en-AU"/>
        </w:rPr>
        <w:t>3</w:t>
      </w:r>
      <w:r w:rsidRPr="0046613A">
        <w:rPr>
          <w:rFonts w:eastAsia="MS PGothic" w:cs="Arial"/>
          <w:noProof/>
          <w:lang w:eastAsia="en-AU"/>
        </w:rPr>
        <w:t xml:space="preserve"> is preferred </w:t>
      </w:r>
      <w:r w:rsidR="00543F46">
        <w:rPr>
          <w:rFonts w:eastAsia="MS PGothic" w:cs="Arial"/>
          <w:noProof/>
          <w:lang w:eastAsia="en-AU"/>
        </w:rPr>
        <w:t>to Model 4</w:t>
      </w:r>
      <w:r w:rsidR="000F7EF4">
        <w:rPr>
          <w:rFonts w:eastAsia="MS PGothic" w:cs="Arial"/>
          <w:noProof/>
          <w:lang w:eastAsia="en-AU"/>
        </w:rPr>
        <w:t xml:space="preserve"> as the small increase in </w:t>
      </w:r>
      <w:r w:rsidR="00EC07F7" w:rsidRPr="0046613A">
        <w:rPr>
          <w:rFonts w:eastAsia="MS PGothic" w:cs="Arial"/>
          <w:noProof/>
          <w:lang w:eastAsia="en-AU"/>
        </w:rPr>
        <w:t>R</w:t>
      </w:r>
      <w:r w:rsidR="0016322D">
        <w:rPr>
          <w:rFonts w:eastAsia="MS PGothic" w:cs="Arial"/>
          <w:noProof/>
          <w:lang w:eastAsia="en-AU"/>
        </w:rPr>
        <w:t>-squared</w:t>
      </w:r>
      <w:r w:rsidR="00EC07F7" w:rsidRPr="0046613A">
        <w:rPr>
          <w:rFonts w:eastAsia="MS PGothic" w:cs="Arial"/>
          <w:noProof/>
          <w:lang w:eastAsia="en-AU"/>
        </w:rPr>
        <w:t> </w:t>
      </w:r>
      <w:r w:rsidR="000F7EF4">
        <w:rPr>
          <w:rFonts w:eastAsia="MS PGothic" w:cs="Arial"/>
          <w:noProof/>
          <w:lang w:eastAsia="en-AU"/>
        </w:rPr>
        <w:t xml:space="preserve">between Model 3 and Model 4 does not adequately </w:t>
      </w:r>
      <w:r w:rsidR="008C1A1A">
        <w:rPr>
          <w:rFonts w:eastAsia="MS PGothic" w:cs="Arial"/>
          <w:noProof/>
          <w:lang w:eastAsia="en-AU"/>
        </w:rPr>
        <w:t xml:space="preserve">compensate for </w:t>
      </w:r>
      <w:r w:rsidR="000F7EF4">
        <w:rPr>
          <w:rFonts w:eastAsia="MS PGothic" w:cs="Arial"/>
          <w:noProof/>
          <w:lang w:eastAsia="en-AU"/>
        </w:rPr>
        <w:t xml:space="preserve">many variables in </w:t>
      </w:r>
      <w:r w:rsidR="004E38C0">
        <w:rPr>
          <w:rFonts w:eastAsia="MS PGothic" w:cs="Arial"/>
          <w:noProof/>
          <w:lang w:eastAsia="en-AU"/>
        </w:rPr>
        <w:t xml:space="preserve">Model 4 </w:t>
      </w:r>
      <w:r w:rsidR="000F7EF4">
        <w:rPr>
          <w:rFonts w:eastAsia="MS PGothic" w:cs="Arial"/>
          <w:noProof/>
          <w:lang w:eastAsia="en-AU"/>
        </w:rPr>
        <w:t xml:space="preserve">being </w:t>
      </w:r>
      <w:r w:rsidR="004E38C0">
        <w:rPr>
          <w:rFonts w:eastAsia="MS PGothic" w:cs="Arial"/>
          <w:noProof/>
          <w:lang w:eastAsia="en-AU"/>
        </w:rPr>
        <w:t>insignficant at the 5% level</w:t>
      </w:r>
      <w:r w:rsidRPr="0046613A">
        <w:rPr>
          <w:rFonts w:eastAsia="MS PGothic" w:cs="Arial"/>
          <w:noProof/>
          <w:lang w:eastAsia="en-AU"/>
        </w:rPr>
        <w:t xml:space="preserve">. </w:t>
      </w:r>
    </w:p>
    <w:p w14:paraId="2A2F678D" w14:textId="23D56C12" w:rsidR="0046613A" w:rsidRPr="0046613A" w:rsidRDefault="0046613A" w:rsidP="00FB3A5E">
      <w:pPr>
        <w:rPr>
          <w:rFonts w:eastAsia="MS PGothic" w:cs="Arial"/>
          <w:noProof/>
          <w:lang w:eastAsia="en-AU"/>
        </w:rPr>
      </w:pPr>
      <w:r w:rsidRPr="0046613A">
        <w:rPr>
          <w:rFonts w:eastAsia="MS PGothic" w:cs="Arial"/>
          <w:noProof/>
          <w:lang w:eastAsia="en-AU"/>
        </w:rPr>
        <w:lastRenderedPageBreak/>
        <w:t>The explanatory power of model is only 3</w:t>
      </w:r>
      <w:r w:rsidR="009069BE">
        <w:rPr>
          <w:rFonts w:eastAsia="MS PGothic" w:cs="Arial"/>
          <w:noProof/>
          <w:lang w:eastAsia="en-AU"/>
        </w:rPr>
        <w:t>7</w:t>
      </w:r>
      <w:r w:rsidRPr="0046613A">
        <w:rPr>
          <w:rFonts w:eastAsia="MS PGothic" w:cs="Arial"/>
          <w:noProof/>
          <w:lang w:eastAsia="en-AU"/>
        </w:rPr>
        <w:t>%</w:t>
      </w:r>
      <w:r w:rsidR="002A7338">
        <w:rPr>
          <w:rFonts w:eastAsia="MS PGothic" w:cs="Arial"/>
          <w:noProof/>
          <w:lang w:eastAsia="en-AU"/>
        </w:rPr>
        <w:t xml:space="preserve">, which suggest that there are many other factors </w:t>
      </w:r>
      <w:r w:rsidR="769DFA5B" w:rsidRPr="298E6E7A">
        <w:rPr>
          <w:rFonts w:eastAsia="MS PGothic" w:cs="Arial"/>
          <w:noProof/>
          <w:lang w:eastAsia="en-AU"/>
        </w:rPr>
        <w:t>affect</w:t>
      </w:r>
      <w:r w:rsidR="76DD9BD3" w:rsidRPr="298E6E7A">
        <w:rPr>
          <w:rFonts w:eastAsia="MS PGothic" w:cs="Arial"/>
          <w:noProof/>
          <w:lang w:eastAsia="en-AU"/>
        </w:rPr>
        <w:t>ing</w:t>
      </w:r>
      <w:r w:rsidR="002A7338">
        <w:rPr>
          <w:rFonts w:eastAsia="MS PGothic" w:cs="Arial"/>
          <w:noProof/>
          <w:lang w:eastAsia="en-AU"/>
        </w:rPr>
        <w:t xml:space="preserve"> </w:t>
      </w:r>
      <w:r w:rsidR="00E5738B">
        <w:rPr>
          <w:rFonts w:eastAsia="MS PGothic" w:cs="Arial"/>
          <w:noProof/>
          <w:lang w:eastAsia="en-AU"/>
        </w:rPr>
        <w:t>therapy pricing that are not currently captured in the model</w:t>
      </w:r>
      <w:r w:rsidRPr="0046613A">
        <w:rPr>
          <w:rFonts w:eastAsia="MS PGothic" w:cs="Arial"/>
          <w:noProof/>
          <w:lang w:eastAsia="en-AU"/>
        </w:rPr>
        <w:t>. </w:t>
      </w:r>
    </w:p>
    <w:p w14:paraId="633CF9BE" w14:textId="71F35C6D" w:rsidR="00195B7F" w:rsidRPr="00FB3A5E" w:rsidRDefault="004734E6" w:rsidP="6D9B8DF4">
      <w:pPr>
        <w:rPr>
          <w:rFonts w:eastAsia="MS PGothic" w:cs="Arial"/>
          <w:noProof/>
          <w:lang w:eastAsia="en-AU"/>
        </w:rPr>
      </w:pPr>
      <w:r>
        <w:rPr>
          <w:rFonts w:eastAsia="MS PGothic" w:cs="Arial"/>
          <w:noProof/>
          <w:lang w:eastAsia="en-AU"/>
        </w:rPr>
        <w:t>T</w:t>
      </w:r>
      <w:r w:rsidR="005145C5" w:rsidRPr="00FB3A5E">
        <w:rPr>
          <w:rFonts w:eastAsia="MS PGothic" w:cs="Arial"/>
          <w:noProof/>
          <w:lang w:eastAsia="en-AU"/>
        </w:rPr>
        <w:t xml:space="preserve">he </w:t>
      </w:r>
      <w:r w:rsidR="00610E70">
        <w:rPr>
          <w:rFonts w:eastAsia="MS PGothic" w:cs="Arial"/>
          <w:noProof/>
          <w:lang w:eastAsia="en-AU"/>
        </w:rPr>
        <w:t xml:space="preserve">results </w:t>
      </w:r>
      <w:r>
        <w:rPr>
          <w:rFonts w:eastAsia="MS PGothic" w:cs="Arial"/>
          <w:noProof/>
          <w:lang w:eastAsia="en-AU"/>
        </w:rPr>
        <w:t xml:space="preserve">suggests </w:t>
      </w:r>
      <w:r w:rsidR="00E56D3F">
        <w:rPr>
          <w:rFonts w:eastAsia="MS PGothic" w:cs="Arial"/>
          <w:noProof/>
          <w:lang w:eastAsia="en-AU"/>
        </w:rPr>
        <w:t>the</w:t>
      </w:r>
      <w:r>
        <w:rPr>
          <w:rFonts w:eastAsia="MS PGothic" w:cs="Arial"/>
          <w:noProof/>
          <w:lang w:eastAsia="en-AU"/>
        </w:rPr>
        <w:t xml:space="preserve"> </w:t>
      </w:r>
      <w:r w:rsidR="005145C5" w:rsidRPr="00FB3A5E">
        <w:rPr>
          <w:rFonts w:eastAsia="MS PGothic" w:cs="Arial"/>
          <w:noProof/>
          <w:lang w:eastAsia="en-AU"/>
        </w:rPr>
        <w:t xml:space="preserve">average </w:t>
      </w:r>
      <w:r>
        <w:rPr>
          <w:rFonts w:eastAsia="MS PGothic" w:cs="Arial"/>
          <w:noProof/>
          <w:lang w:eastAsia="en-AU"/>
        </w:rPr>
        <w:t xml:space="preserve">hourly </w:t>
      </w:r>
      <w:r w:rsidR="00A40025" w:rsidRPr="00FB3A5E">
        <w:rPr>
          <w:rFonts w:eastAsia="MS PGothic" w:cs="Arial"/>
          <w:noProof/>
          <w:lang w:eastAsia="en-AU"/>
        </w:rPr>
        <w:t xml:space="preserve">price of $189 for </w:t>
      </w:r>
      <w:r>
        <w:rPr>
          <w:rFonts w:eastAsia="MS PGothic" w:cs="Arial"/>
          <w:noProof/>
          <w:lang w:eastAsia="en-AU"/>
        </w:rPr>
        <w:t xml:space="preserve">the </w:t>
      </w:r>
      <w:r w:rsidR="00E358C1" w:rsidRPr="00FB3A5E">
        <w:rPr>
          <w:rFonts w:eastAsia="MS PGothic" w:cs="Arial"/>
          <w:noProof/>
          <w:lang w:eastAsia="en-AU"/>
        </w:rPr>
        <w:t>majority of therapists in New South Wales</w:t>
      </w:r>
      <w:r w:rsidR="00AD75DE" w:rsidRPr="00FB3A5E">
        <w:rPr>
          <w:rFonts w:eastAsia="MS PGothic" w:cs="Arial"/>
          <w:noProof/>
          <w:lang w:eastAsia="en-AU"/>
        </w:rPr>
        <w:t xml:space="preserve">, with most other </w:t>
      </w:r>
      <w:r w:rsidR="00E358C1" w:rsidRPr="00FB3A5E">
        <w:rPr>
          <w:rFonts w:eastAsia="MS PGothic" w:cs="Arial"/>
          <w:noProof/>
          <w:lang w:eastAsia="en-AU"/>
        </w:rPr>
        <w:t>states and territories suggest</w:t>
      </w:r>
      <w:r w:rsidR="00AD75DE" w:rsidRPr="00FB3A5E">
        <w:rPr>
          <w:rFonts w:eastAsia="MS PGothic" w:cs="Arial"/>
          <w:noProof/>
          <w:lang w:eastAsia="en-AU"/>
        </w:rPr>
        <w:t>ed to be at</w:t>
      </w:r>
      <w:r w:rsidR="00E358C1" w:rsidRPr="00FB3A5E">
        <w:rPr>
          <w:rFonts w:eastAsia="MS PGothic" w:cs="Arial"/>
          <w:noProof/>
          <w:lang w:eastAsia="en-AU"/>
        </w:rPr>
        <w:t xml:space="preserve"> lower price</w:t>
      </w:r>
      <w:r w:rsidR="00653CB9">
        <w:rPr>
          <w:rFonts w:eastAsia="MS PGothic" w:cs="Arial"/>
          <w:noProof/>
          <w:lang w:eastAsia="en-AU"/>
        </w:rPr>
        <w:t>. T</w:t>
      </w:r>
      <w:r w:rsidR="0019708E" w:rsidRPr="00FB3A5E">
        <w:rPr>
          <w:rFonts w:eastAsia="MS PGothic" w:cs="Arial"/>
          <w:noProof/>
          <w:lang w:eastAsia="en-AU"/>
        </w:rPr>
        <w:t>his suggest</w:t>
      </w:r>
      <w:r w:rsidR="00CF6271" w:rsidRPr="00FB3A5E">
        <w:rPr>
          <w:rFonts w:eastAsia="MS PGothic" w:cs="Arial"/>
          <w:noProof/>
          <w:lang w:eastAsia="en-AU"/>
        </w:rPr>
        <w:t>s</w:t>
      </w:r>
      <w:r w:rsidR="0019708E" w:rsidRPr="00FB3A5E">
        <w:rPr>
          <w:rFonts w:eastAsia="MS PGothic" w:cs="Arial"/>
          <w:noProof/>
          <w:lang w:eastAsia="en-AU"/>
        </w:rPr>
        <w:t xml:space="preserve"> that the NDIS price limits are still adequate</w:t>
      </w:r>
      <w:r w:rsidR="00DA6DF9">
        <w:rPr>
          <w:rFonts w:eastAsia="MS PGothic" w:cs="Arial"/>
          <w:noProof/>
          <w:lang w:eastAsia="en-AU"/>
        </w:rPr>
        <w:t xml:space="preserve"> for most therapists</w:t>
      </w:r>
      <w:r w:rsidR="00653CB9">
        <w:rPr>
          <w:rFonts w:eastAsia="MS PGothic" w:cs="Arial"/>
          <w:noProof/>
          <w:lang w:eastAsia="en-AU"/>
        </w:rPr>
        <w:t xml:space="preserve">. </w:t>
      </w:r>
      <w:r w:rsidR="000B637D">
        <w:rPr>
          <w:rFonts w:eastAsia="MS PGothic" w:cs="Arial"/>
          <w:noProof/>
          <w:lang w:eastAsia="en-AU"/>
        </w:rPr>
        <w:t xml:space="preserve">Results also </w:t>
      </w:r>
      <w:r w:rsidR="14617635" w:rsidRPr="6C53E877">
        <w:rPr>
          <w:rFonts w:eastAsia="MS PGothic" w:cs="Arial"/>
          <w:noProof/>
          <w:lang w:eastAsia="en-AU"/>
        </w:rPr>
        <w:t>show</w:t>
      </w:r>
      <w:r w:rsidR="000B637D">
        <w:rPr>
          <w:rFonts w:eastAsia="MS PGothic" w:cs="Arial"/>
          <w:noProof/>
          <w:lang w:eastAsia="en-AU"/>
        </w:rPr>
        <w:t xml:space="preserve"> that </w:t>
      </w:r>
      <w:r w:rsidR="00E26FFD">
        <w:rPr>
          <w:rFonts w:eastAsia="MS PGothic" w:cs="Arial"/>
          <w:noProof/>
          <w:lang w:eastAsia="en-AU"/>
        </w:rPr>
        <w:t xml:space="preserve">price limits of </w:t>
      </w:r>
      <w:r w:rsidR="00653CB9">
        <w:rPr>
          <w:rFonts w:eastAsia="MS PGothic" w:cs="Arial"/>
          <w:noProof/>
          <w:lang w:eastAsia="en-AU"/>
        </w:rPr>
        <w:t xml:space="preserve">non-clinical </w:t>
      </w:r>
      <w:r w:rsidR="00CF6271" w:rsidRPr="00FB3A5E">
        <w:rPr>
          <w:rFonts w:eastAsia="MS PGothic" w:cs="Arial"/>
          <w:noProof/>
          <w:lang w:eastAsia="en-AU"/>
        </w:rPr>
        <w:t xml:space="preserve">Psychologists, Counsellors and Exercise Physiologists </w:t>
      </w:r>
      <w:r w:rsidR="00376BB0" w:rsidRPr="00FB3A5E">
        <w:rPr>
          <w:rFonts w:eastAsia="MS PGothic" w:cs="Arial"/>
          <w:noProof/>
          <w:lang w:eastAsia="en-AU"/>
        </w:rPr>
        <w:t xml:space="preserve">appear </w:t>
      </w:r>
      <w:r w:rsidR="00FB3A5E" w:rsidRPr="00FB3A5E">
        <w:rPr>
          <w:rFonts w:eastAsia="MS PGothic" w:cs="Arial"/>
          <w:noProof/>
          <w:lang w:eastAsia="en-AU"/>
        </w:rPr>
        <w:t>on par with NDIS price limits</w:t>
      </w:r>
      <w:r w:rsidR="00653CB9">
        <w:rPr>
          <w:rFonts w:eastAsia="MS PGothic" w:cs="Arial"/>
          <w:noProof/>
          <w:lang w:eastAsia="en-AU"/>
        </w:rPr>
        <w:t>.</w:t>
      </w:r>
    </w:p>
    <w:p w14:paraId="5A5D59FF" w14:textId="770230F5" w:rsidR="00750A23" w:rsidRPr="001B0620" w:rsidRDefault="00750A23" w:rsidP="00D9646F">
      <w:pPr>
        <w:pStyle w:val="Heading3"/>
      </w:pPr>
      <w:r w:rsidRPr="001B0620">
        <w:t>5.7</w:t>
      </w:r>
      <w:r w:rsidRPr="001B0620">
        <w:tab/>
        <w:t>Consultation feedback</w:t>
      </w:r>
    </w:p>
    <w:p w14:paraId="1E0ECC92" w14:textId="006268DB" w:rsidR="00287F09" w:rsidRDefault="004F6ED5" w:rsidP="001458CB">
      <w:r>
        <w:t>The topic of t</w:t>
      </w:r>
      <w:r w:rsidR="648A1C87">
        <w:t xml:space="preserve">herapy supports </w:t>
      </w:r>
      <w:r w:rsidR="00EA74F7">
        <w:t>received the most feedback through public consultation</w:t>
      </w:r>
      <w:r w:rsidR="648A1C87">
        <w:t xml:space="preserve">, with </w:t>
      </w:r>
      <w:r w:rsidR="142EC775">
        <w:t xml:space="preserve">174 submissions out of 304 (57%) </w:t>
      </w:r>
      <w:r w:rsidR="00482BA0">
        <w:t>documenting concerns and commentary</w:t>
      </w:r>
      <w:r w:rsidR="142EC775">
        <w:t xml:space="preserve">. </w:t>
      </w:r>
      <w:r w:rsidR="69737DCF">
        <w:t>Many providers suggested the biggest cost driver has been the increasing supply costs and wages. Other costs involved attracting, training</w:t>
      </w:r>
      <w:r w:rsidR="007D224D">
        <w:t>,</w:t>
      </w:r>
      <w:r w:rsidR="69737DCF">
        <w:t xml:space="preserve"> and retaining staff, as well as quality, safeguarding and compliance costs. Many participants and their representatives who respond</w:t>
      </w:r>
      <w:r w:rsidR="002000FA">
        <w:t>ing through the consultation process</w:t>
      </w:r>
      <w:r w:rsidR="69737DCF">
        <w:t xml:space="preserve"> suggested that they were charged more than non-NDIS clients and </w:t>
      </w:r>
      <w:bookmarkStart w:id="106" w:name="_Int_uEQSYLly"/>
      <w:r w:rsidR="69737DCF">
        <w:t>generally supported</w:t>
      </w:r>
      <w:bookmarkEnd w:id="106"/>
      <w:r w:rsidR="69737DCF">
        <w:t xml:space="preserve"> no further price increase at this time. </w:t>
      </w:r>
    </w:p>
    <w:p w14:paraId="24EAE191" w14:textId="17200018" w:rsidR="34AAD851" w:rsidRDefault="001458CB" w:rsidP="6E0AD081">
      <w:r>
        <w:t>See Appendix A for more details on common themes raised in submissions to the 2022-23 APR Consultation Paper.</w:t>
      </w:r>
    </w:p>
    <w:bookmarkEnd w:id="78"/>
    <w:p w14:paraId="3EC749B8" w14:textId="39032A40" w:rsidR="00740138" w:rsidRPr="00344DC7" w:rsidRDefault="00740138" w:rsidP="00D9646F">
      <w:pPr>
        <w:pStyle w:val="Heading3"/>
      </w:pPr>
      <w:r w:rsidRPr="00344DC7">
        <w:t>5.8</w:t>
      </w:r>
      <w:r w:rsidRPr="00344DC7">
        <w:tab/>
        <w:t>Recommendations</w:t>
      </w:r>
    </w:p>
    <w:p w14:paraId="077A97A5" w14:textId="7FC7BDF7" w:rsidR="00D52FBA" w:rsidRDefault="00195B7F" w:rsidP="00D52FBA">
      <w:r>
        <w:t xml:space="preserve">On balance, available therapy data suggest that NDIS price limits </w:t>
      </w:r>
      <w:r w:rsidR="00D52FBA">
        <w:t xml:space="preserve">for therapy supports </w:t>
      </w:r>
      <w:r w:rsidR="00657C82">
        <w:t xml:space="preserve">are currently </w:t>
      </w:r>
      <w:r w:rsidR="00BC1BAB">
        <w:t>adequate</w:t>
      </w:r>
      <w:r>
        <w:t xml:space="preserve">. </w:t>
      </w:r>
      <w:r w:rsidR="00D52FBA">
        <w:t xml:space="preserve">Available evidence from comparable government </w:t>
      </w:r>
      <w:r w:rsidR="00D55E76">
        <w:t xml:space="preserve">insurance </w:t>
      </w:r>
      <w:r w:rsidR="00D52FBA">
        <w:t>and funding schemes and private market billing rates supports this.</w:t>
      </w:r>
    </w:p>
    <w:p w14:paraId="1855CEF8" w14:textId="3A4A306A" w:rsidR="00D52FBA" w:rsidRDefault="00657C82" w:rsidP="24862EB2">
      <w:r>
        <w:t>The recommendation</w:t>
      </w:r>
      <w:r w:rsidR="000A6218">
        <w:t>s</w:t>
      </w:r>
      <w:r>
        <w:t xml:space="preserve"> also </w:t>
      </w:r>
      <w:r w:rsidR="46AD5261">
        <w:t xml:space="preserve">consider the growing demand </w:t>
      </w:r>
      <w:r w:rsidR="000A6218">
        <w:t xml:space="preserve">of </w:t>
      </w:r>
      <w:r w:rsidR="46AD5261">
        <w:t xml:space="preserve">NDIS participants claiming for therapy supports (17%) </w:t>
      </w:r>
      <w:r w:rsidR="0052367E">
        <w:t xml:space="preserve">is being </w:t>
      </w:r>
      <w:r w:rsidR="46AD5261">
        <w:t xml:space="preserve">met </w:t>
      </w:r>
      <w:r w:rsidR="0052367E">
        <w:t>to an extent by</w:t>
      </w:r>
      <w:r w:rsidR="46AD5261">
        <w:t xml:space="preserve"> growth in the providers claiming for therapy supports (14%). There has been growth in several Therapy Professionals in the past few years, and further </w:t>
      </w:r>
      <w:r w:rsidR="004E0619">
        <w:t xml:space="preserve">supply growth is </w:t>
      </w:r>
      <w:r w:rsidR="46AD5261">
        <w:t xml:space="preserve">anticipated </w:t>
      </w:r>
      <w:r w:rsidR="005E348E">
        <w:t xml:space="preserve">in </w:t>
      </w:r>
      <w:proofErr w:type="gramStart"/>
      <w:r w:rsidR="005E348E">
        <w:t>a number of</w:t>
      </w:r>
      <w:proofErr w:type="gramEnd"/>
      <w:r w:rsidR="005E348E">
        <w:t xml:space="preserve"> </w:t>
      </w:r>
      <w:r w:rsidR="46AD5261">
        <w:t xml:space="preserve">therapists in the coming years which should assist </w:t>
      </w:r>
      <w:r w:rsidR="4298B70F">
        <w:t>with</w:t>
      </w:r>
      <w:r w:rsidR="007D224D">
        <w:t xml:space="preserve"> potential </w:t>
      </w:r>
      <w:r w:rsidR="3C96D770">
        <w:t>eas</w:t>
      </w:r>
      <w:r w:rsidR="667BAB60">
        <w:t>ing</w:t>
      </w:r>
      <w:r w:rsidR="46AD5261">
        <w:t xml:space="preserve"> </w:t>
      </w:r>
      <w:r w:rsidR="007D224D">
        <w:t xml:space="preserve">of </w:t>
      </w:r>
      <w:r w:rsidR="46AD5261">
        <w:t xml:space="preserve">workforce shortages that may exist in certain regions. </w:t>
      </w:r>
    </w:p>
    <w:p w14:paraId="7F221B1E" w14:textId="548AD82D" w:rsidR="00195B7F" w:rsidRPr="0091244B" w:rsidRDefault="0002648F" w:rsidP="00195B7F">
      <w:r>
        <w:t xml:space="preserve">It </w:t>
      </w:r>
      <w:r w:rsidR="00D642DB">
        <w:t xml:space="preserve">is </w:t>
      </w:r>
      <w:r w:rsidR="00D52FBA">
        <w:t xml:space="preserve">also </w:t>
      </w:r>
      <w:r w:rsidR="00195B7F">
        <w:t xml:space="preserve">evident </w:t>
      </w:r>
      <w:r w:rsidR="56B55FA6">
        <w:t>that</w:t>
      </w:r>
      <w:r w:rsidR="00195B7F">
        <w:t xml:space="preserve"> the therapy market</w:t>
      </w:r>
      <w:r w:rsidR="00D52FBA">
        <w:t xml:space="preserve"> </w:t>
      </w:r>
      <w:r w:rsidR="1C579EA6">
        <w:t xml:space="preserve">is vast and diverse in nature as are the </w:t>
      </w:r>
      <w:r w:rsidR="00D52FBA">
        <w:t>needs of NDIS participants</w:t>
      </w:r>
      <w:r w:rsidR="00195B7F">
        <w:t xml:space="preserve">. As the NDIS Review is currently examining non-price related solutions, the NDIA should consider structural changes to therapy pricing arrangements </w:t>
      </w:r>
      <w:r w:rsidR="000C281F">
        <w:t xml:space="preserve">after </w:t>
      </w:r>
      <w:r w:rsidR="00195B7F">
        <w:t xml:space="preserve">any relevant recommendations from the NDIS Review.  </w:t>
      </w:r>
    </w:p>
    <w:p w14:paraId="50C94942" w14:textId="77777777" w:rsidR="00C26BE7" w:rsidRPr="00DF0C3D" w:rsidRDefault="00C26BE7" w:rsidP="00C26BE7">
      <w:pPr>
        <w:pStyle w:val="RecHeading"/>
      </w:pPr>
      <w:r w:rsidRPr="00DF0C3D">
        <w:t xml:space="preserve">Recommendation </w:t>
      </w:r>
      <w:r>
        <w:t>6</w:t>
      </w:r>
    </w:p>
    <w:p w14:paraId="550C58D8" w14:textId="77777777" w:rsidR="00C26BE7" w:rsidRDefault="00C26BE7" w:rsidP="00C26BE7">
      <w:pPr>
        <w:pStyle w:val="RecText"/>
      </w:pPr>
      <w:r>
        <w:t>The NDIA</w:t>
      </w:r>
      <w:r w:rsidRPr="00DF0C3D">
        <w:t xml:space="preserve"> should not make any structural adjustment to the pricing arrangements for therapy supports at this time and should not index the price limits for therapy supports on 1 July 202</w:t>
      </w:r>
      <w:r>
        <w:t>3</w:t>
      </w:r>
      <w:r w:rsidRPr="00DF0C3D">
        <w:t xml:space="preserve">. </w:t>
      </w:r>
    </w:p>
    <w:p w14:paraId="55B93793" w14:textId="77777777" w:rsidR="00C26BE7" w:rsidRPr="00DF0C3D" w:rsidRDefault="00C26BE7" w:rsidP="00C26BE7">
      <w:pPr>
        <w:pStyle w:val="RecHeading"/>
      </w:pPr>
      <w:r w:rsidRPr="00DF0C3D">
        <w:t xml:space="preserve">Recommendation </w:t>
      </w:r>
      <w:r>
        <w:t>7</w:t>
      </w:r>
    </w:p>
    <w:p w14:paraId="3D95EBD4" w14:textId="5292FD97" w:rsidR="00C26BE7" w:rsidRPr="00DF0C3D" w:rsidRDefault="00C26BE7" w:rsidP="00C26BE7">
      <w:pPr>
        <w:pStyle w:val="RecText"/>
      </w:pPr>
      <w:r>
        <w:t>The NDIA</w:t>
      </w:r>
      <w:r w:rsidRPr="00DF0C3D">
        <w:t xml:space="preserve"> should </w:t>
      </w:r>
      <w:r>
        <w:t>consider the structure of therapy support pricing arrangements after any relevant recommendations from the NDIS Review. This intends to better incentivise quality service provision to NDIS participants and create greater market efficiencies.</w:t>
      </w:r>
    </w:p>
    <w:p w14:paraId="33D062BF" w14:textId="3545C7F0" w:rsidR="00195B7F" w:rsidRDefault="00195B7F" w:rsidP="00040FBD">
      <w:pPr>
        <w:sectPr w:rsidR="00195B7F" w:rsidSect="00E208B3">
          <w:endnotePr>
            <w:numFmt w:val="decimal"/>
            <w:numRestart w:val="eachSect"/>
          </w:endnotePr>
          <w:pgSz w:w="11907" w:h="16839" w:code="9"/>
          <w:pgMar w:top="1080" w:right="1440" w:bottom="1276" w:left="1440" w:header="709" w:footer="709" w:gutter="0"/>
          <w:cols w:space="708"/>
          <w:docGrid w:linePitch="360"/>
        </w:sectPr>
      </w:pPr>
    </w:p>
    <w:p w14:paraId="3AF214BB" w14:textId="495B87F9" w:rsidR="00E94826" w:rsidRPr="006274F1" w:rsidRDefault="00E94826" w:rsidP="00430B55">
      <w:pPr>
        <w:pStyle w:val="Heading2"/>
      </w:pPr>
      <w:bookmarkStart w:id="107" w:name="_Toc135405224"/>
      <w:r w:rsidRPr="006274F1">
        <w:lastRenderedPageBreak/>
        <w:t>Support coordination</w:t>
      </w:r>
      <w:bookmarkEnd w:id="107"/>
    </w:p>
    <w:p w14:paraId="314D5CA0" w14:textId="60AD9699" w:rsidR="00DC0E0B" w:rsidRPr="00085B02" w:rsidRDefault="00DC0E0B" w:rsidP="00D9646F">
      <w:pPr>
        <w:pStyle w:val="Heading3"/>
      </w:pPr>
      <w:r w:rsidRPr="00085B02">
        <w:t>6.1</w:t>
      </w:r>
      <w:r w:rsidRPr="00085B02">
        <w:tab/>
        <w:t>Context</w:t>
      </w:r>
    </w:p>
    <w:p w14:paraId="1D0B1AAD" w14:textId="5941CE83" w:rsidR="005C3504" w:rsidRDefault="00100AAB" w:rsidP="00100AAB">
      <w:r>
        <w:t xml:space="preserve">Support coordination is a capacity building support that is funded by the NDIS. It plays an important role in helping participants to make the most of their NDIS plans and to pursue their goals. Support </w:t>
      </w:r>
      <w:r w:rsidR="0049595E">
        <w:t>coordinator</w:t>
      </w:r>
      <w:r>
        <w:t xml:space="preserve">s help participants </w:t>
      </w:r>
      <w:r w:rsidR="00493FEE">
        <w:t>in various ways</w:t>
      </w:r>
      <w:r>
        <w:t xml:space="preserve"> depending on what the individual participant’s goals, needs and circumstances are. </w:t>
      </w:r>
    </w:p>
    <w:p w14:paraId="7F6B277A" w14:textId="24AA7219" w:rsidR="00100AAB" w:rsidRDefault="00100AAB" w:rsidP="00100AAB">
      <w:r>
        <w:t xml:space="preserve">This can include helping a participant connect to NDIS funded and mainstream supports, by brokering supports and services in line with a participant’s wishes and their plan budget. Support </w:t>
      </w:r>
      <w:r w:rsidR="0049595E">
        <w:t>coordinator</w:t>
      </w:r>
      <w:r>
        <w:t xml:space="preserve">s can also help </w:t>
      </w:r>
      <w:r w:rsidR="007319F3">
        <w:t xml:space="preserve">with </w:t>
      </w:r>
      <w:r>
        <w:t>build</w:t>
      </w:r>
      <w:r w:rsidR="007319F3">
        <w:t>ing</w:t>
      </w:r>
      <w:r>
        <w:t xml:space="preserve"> a participant’s capacity and capability to understand their plan, navigate the NDIS and make their own decisions. </w:t>
      </w:r>
      <w:r w:rsidR="00493FEE">
        <w:t>In addition, they</w:t>
      </w:r>
      <w:r>
        <w:t xml:space="preserve"> monitor plan budgets and support effectiveness.</w:t>
      </w:r>
    </w:p>
    <w:p w14:paraId="608A3434" w14:textId="1777CF0C" w:rsidR="00E9037C" w:rsidRDefault="00100AAB" w:rsidP="00501E92">
      <w:r>
        <w:t xml:space="preserve">Support </w:t>
      </w:r>
      <w:r w:rsidR="0049595E">
        <w:t>coordinator</w:t>
      </w:r>
      <w:r>
        <w:t xml:space="preserve">s </w:t>
      </w:r>
      <w:r w:rsidR="007319F3">
        <w:t xml:space="preserve">require </w:t>
      </w:r>
      <w:r>
        <w:t xml:space="preserve">a detailed understanding of what service offerings are available in a participant’s local market, and to actively help participants to find service providers who meet their needs and preferences. This can include sourcing and connecting participants to alternative service providers, which can be integral for participants to maintain continuity of supports and services. Support </w:t>
      </w:r>
      <w:r w:rsidR="0049595E">
        <w:t>coordinator</w:t>
      </w:r>
      <w:r>
        <w:t xml:space="preserve">s also need to be able to link participants to mainstream, community and informal supports where appropriate. </w:t>
      </w:r>
      <w:r w:rsidR="008D3CEC">
        <w:t xml:space="preserve">They should be innovative and take initiative when helping participants to broker supports and services in line with their support preferences and plan budgets. </w:t>
      </w:r>
      <w:r w:rsidR="00E9037C">
        <w:t>S</w:t>
      </w:r>
      <w:r w:rsidR="00E9037C" w:rsidRPr="00DF0C3D">
        <w:t xml:space="preserve">upport </w:t>
      </w:r>
      <w:r w:rsidR="0049595E">
        <w:t>coordinator</w:t>
      </w:r>
      <w:r w:rsidR="00E9037C" w:rsidRPr="00DF0C3D">
        <w:t xml:space="preserve">s must comply with the NDIS Code of Conduct, which requires, among other things, that supports and services are provided in a safe and competent manner, with care and skill. Support </w:t>
      </w:r>
      <w:r w:rsidR="0049595E">
        <w:t>coordinator</w:t>
      </w:r>
      <w:r w:rsidR="00E9037C" w:rsidRPr="00DF0C3D">
        <w:t xml:space="preserve">s are not required to be registered. However, </w:t>
      </w:r>
      <w:r w:rsidR="0049595E">
        <w:t>support coordinator</w:t>
      </w:r>
      <w:r w:rsidR="00E9037C" w:rsidRPr="00DF0C3D">
        <w:t>s who are registered to deliver supports in registration group 106 (Assistance in coordinating or managing life stages, transitions</w:t>
      </w:r>
      <w:r w:rsidR="00E9037C">
        <w:t>,</w:t>
      </w:r>
      <w:r w:rsidR="00E9037C" w:rsidRPr="00DF0C3D">
        <w:t xml:space="preserve"> or supports) must comply with the Core module of the NDIS Practice Standards. The Core module includes standards for the rights of participants and responsibilities of providers, provider governance and management and the way that support is provided. Support </w:t>
      </w:r>
      <w:r w:rsidR="0049595E">
        <w:t>coordinator</w:t>
      </w:r>
      <w:r w:rsidR="00E9037C" w:rsidRPr="00DF0C3D">
        <w:t xml:space="preserve">s registered to deliver supports in registration group 132 (Specialised </w:t>
      </w:r>
      <w:r w:rsidR="00825809">
        <w:t>S</w:t>
      </w:r>
      <w:r w:rsidR="00E9037C" w:rsidRPr="00DF0C3D">
        <w:t xml:space="preserve">upport </w:t>
      </w:r>
      <w:r w:rsidR="00825809">
        <w:t>C</w:t>
      </w:r>
      <w:r w:rsidR="00E9037C" w:rsidRPr="00DF0C3D">
        <w:t>oordination), must also comply with Module 4 of the NDIS Practice Standards. Module 4 includes additional standards for the provision of support and management of conflict of interest</w:t>
      </w:r>
      <w:r w:rsidR="00E9037C">
        <w:t>.</w:t>
      </w:r>
    </w:p>
    <w:p w14:paraId="144E39FD" w14:textId="77777777" w:rsidR="00A75C36" w:rsidRDefault="00A75C36" w:rsidP="00A75C36">
      <w:r w:rsidRPr="00E0300A">
        <w:t>The NDI</w:t>
      </w:r>
      <w:r>
        <w:t>A</w:t>
      </w:r>
      <w:r w:rsidRPr="00E0300A">
        <w:t xml:space="preserve"> has developed a pricing framework that considers the different levels of support coordination required by participants, ranging from </w:t>
      </w:r>
      <w:r>
        <w:t>s</w:t>
      </w:r>
      <w:r w:rsidRPr="00E0300A">
        <w:t xml:space="preserve">upport </w:t>
      </w:r>
      <w:r>
        <w:t>c</w:t>
      </w:r>
      <w:r w:rsidRPr="00E0300A">
        <w:t xml:space="preserve">onnection to high-level Specialist </w:t>
      </w:r>
      <w:r>
        <w:t>s</w:t>
      </w:r>
      <w:r w:rsidRPr="00E0300A">
        <w:t xml:space="preserve">upport </w:t>
      </w:r>
      <w:r>
        <w:t>c</w:t>
      </w:r>
      <w:r w:rsidRPr="00E0300A">
        <w:t xml:space="preserve">oordination. The pricing arrangement for </w:t>
      </w:r>
      <w:r>
        <w:t>s</w:t>
      </w:r>
      <w:r w:rsidRPr="00E0300A">
        <w:t xml:space="preserve">upport </w:t>
      </w:r>
      <w:r>
        <w:t>c</w:t>
      </w:r>
      <w:r w:rsidRPr="00E0300A">
        <w:t xml:space="preserve">oordinators in the NDIS </w:t>
      </w:r>
      <w:r>
        <w:t xml:space="preserve">intends to </w:t>
      </w:r>
      <w:r w:rsidRPr="00E0300A">
        <w:t>offer a fair and sustainable funding model for the delivery of support coordination services, allowing participants to receive the assistance they need to lead fulfilling lives.</w:t>
      </w:r>
    </w:p>
    <w:p w14:paraId="07C4A352" w14:textId="49227EF6" w:rsidR="006917E2" w:rsidRDefault="006917E2" w:rsidP="006917E2">
      <w:r>
        <w:t xml:space="preserve">Support </w:t>
      </w:r>
      <w:r w:rsidR="0049595E">
        <w:t>coordinator</w:t>
      </w:r>
      <w:r>
        <w:t xml:space="preserve">s are currently able to claim for the following four types of services: </w:t>
      </w:r>
    </w:p>
    <w:p w14:paraId="1DBA431B" w14:textId="21FD4919" w:rsidR="006917E2" w:rsidRDefault="006917E2" w:rsidP="00F317CA">
      <w:pPr>
        <w:pStyle w:val="ListParagraph"/>
        <w:numPr>
          <w:ilvl w:val="0"/>
          <w:numId w:val="12"/>
        </w:numPr>
      </w:pPr>
      <w:r w:rsidRPr="00D467D4">
        <w:t xml:space="preserve">Level 1: Support </w:t>
      </w:r>
      <w:r w:rsidR="00611A3A" w:rsidRPr="00D467D4">
        <w:t>C</w:t>
      </w:r>
      <w:r w:rsidRPr="00D467D4">
        <w:t>onnection</w:t>
      </w:r>
      <w:r>
        <w:t xml:space="preserve"> assists a participant to implement their plan by strengthening their ability to connect with the broader systems of supports and to understand the purpose of the funded supports.</w:t>
      </w:r>
    </w:p>
    <w:p w14:paraId="0DAD23C4" w14:textId="3896841F" w:rsidR="006917E2" w:rsidRDefault="006917E2" w:rsidP="00F317CA">
      <w:pPr>
        <w:pStyle w:val="ListParagraph"/>
        <w:numPr>
          <w:ilvl w:val="0"/>
          <w:numId w:val="12"/>
        </w:numPr>
      </w:pPr>
      <w:r w:rsidRPr="00D467D4">
        <w:lastRenderedPageBreak/>
        <w:t xml:space="preserve">Level 2: Coordination of </w:t>
      </w:r>
      <w:r w:rsidR="00611A3A" w:rsidRPr="00D467D4">
        <w:t>S</w:t>
      </w:r>
      <w:r w:rsidRPr="00D467D4">
        <w:t>upports</w:t>
      </w:r>
      <w:r>
        <w:t xml:space="preserve"> strengthens a participant’s ability to design and then build their supports with an emphasis on linking the broader systems of support across a complex service delivery environment.</w:t>
      </w:r>
    </w:p>
    <w:p w14:paraId="4641CCF0" w14:textId="1A5CC3FA" w:rsidR="001C10FF" w:rsidRDefault="006917E2" w:rsidP="00F317CA">
      <w:pPr>
        <w:pStyle w:val="ListParagraph"/>
        <w:numPr>
          <w:ilvl w:val="0"/>
          <w:numId w:val="12"/>
        </w:numPr>
      </w:pPr>
      <w:r w:rsidRPr="00D467D4">
        <w:t xml:space="preserve">Level 3: Specialist </w:t>
      </w:r>
      <w:r w:rsidR="00611A3A" w:rsidRPr="00D467D4">
        <w:t>S</w:t>
      </w:r>
      <w:r w:rsidRPr="00D467D4">
        <w:t xml:space="preserve">upport </w:t>
      </w:r>
      <w:r w:rsidR="00611A3A" w:rsidRPr="00D467D4">
        <w:t>C</w:t>
      </w:r>
      <w:r w:rsidRPr="00D467D4">
        <w:t>oordination</w:t>
      </w:r>
      <w:r>
        <w:t xml:space="preserve"> utilises an expert or specialist approach, necessitated by specific high complex needs or high-level risks in a participant’s situation.</w:t>
      </w:r>
    </w:p>
    <w:p w14:paraId="2D2A5AB3" w14:textId="722CFD61" w:rsidR="00100AAB" w:rsidRDefault="00D6020B" w:rsidP="00F317CA">
      <w:pPr>
        <w:pStyle w:val="ListParagraph"/>
        <w:numPr>
          <w:ilvl w:val="0"/>
          <w:numId w:val="12"/>
        </w:numPr>
      </w:pPr>
      <w:r w:rsidRPr="00D467D4">
        <w:t xml:space="preserve">Capacity </w:t>
      </w:r>
      <w:r w:rsidR="00F61C23">
        <w:t>B</w:t>
      </w:r>
      <w:r w:rsidRPr="00D467D4">
        <w:t xml:space="preserve">uilding and </w:t>
      </w:r>
      <w:r w:rsidR="00611A3A" w:rsidRPr="00D467D4">
        <w:t>T</w:t>
      </w:r>
      <w:r w:rsidRPr="00D467D4">
        <w:t>raining in Self-Management and Plan</w:t>
      </w:r>
      <w:r w:rsidR="00CB20E2">
        <w:t>-</w:t>
      </w:r>
      <w:r w:rsidRPr="00D467D4">
        <w:t>Management</w:t>
      </w:r>
      <w:r w:rsidRPr="00D6020B" w:rsidDel="00D6020B">
        <w:rPr>
          <w:b/>
          <w:bCs/>
        </w:rPr>
        <w:t xml:space="preserve"> </w:t>
      </w:r>
      <w:r w:rsidR="006917E2">
        <w:t>support assists the participant to build capacity to administer and manage their plan.</w:t>
      </w:r>
    </w:p>
    <w:p w14:paraId="3FF059E1" w14:textId="0CCD2895" w:rsidR="00A93129" w:rsidRPr="00A93129" w:rsidRDefault="00A93129" w:rsidP="00A93129">
      <w:pPr>
        <w:rPr>
          <w:rFonts w:eastAsiaTheme="minorHAnsi" w:cs="Arial"/>
          <w:color w:val="000000"/>
          <w:szCs w:val="22"/>
          <w:lang w:eastAsia="en-US" w:bidi="th-TH"/>
        </w:rPr>
      </w:pPr>
      <w:r w:rsidRPr="00A93129">
        <w:rPr>
          <w:rFonts w:eastAsiaTheme="minorHAnsi" w:cs="Arial"/>
          <w:color w:val="000000"/>
          <w:szCs w:val="22"/>
          <w:lang w:eastAsia="en-US" w:bidi="th-TH"/>
        </w:rPr>
        <w:t>The price limits for these supports are set out in</w:t>
      </w:r>
      <w:r w:rsidR="00DD01AE">
        <w:rPr>
          <w:rFonts w:eastAsiaTheme="minorHAnsi" w:cs="Arial"/>
          <w:color w:val="000000"/>
          <w:szCs w:val="22"/>
          <w:lang w:eastAsia="en-US" w:bidi="th-TH"/>
        </w:rPr>
        <w:t xml:space="preserve"> </w:t>
      </w:r>
      <w:r w:rsidR="00DD01AE">
        <w:rPr>
          <w:rFonts w:eastAsiaTheme="minorHAnsi" w:cs="Arial"/>
          <w:color w:val="000000"/>
          <w:szCs w:val="22"/>
          <w:lang w:eastAsia="en-US" w:bidi="th-TH"/>
        </w:rPr>
        <w:fldChar w:fldCharType="begin"/>
      </w:r>
      <w:r w:rsidR="00DD01AE">
        <w:rPr>
          <w:rFonts w:eastAsiaTheme="minorHAnsi" w:cs="Arial"/>
          <w:color w:val="000000"/>
          <w:szCs w:val="22"/>
          <w:lang w:eastAsia="en-US" w:bidi="th-TH"/>
        </w:rPr>
        <w:instrText xml:space="preserve"> REF _Ref134303578 </w:instrText>
      </w:r>
      <w:r w:rsidR="00DD01AE">
        <w:rPr>
          <w:rFonts w:eastAsiaTheme="minorHAnsi" w:cs="Arial"/>
          <w:color w:val="000000"/>
          <w:szCs w:val="22"/>
          <w:lang w:eastAsia="en-US" w:bidi="th-TH"/>
        </w:rPr>
        <w:fldChar w:fldCharType="separate"/>
      </w:r>
      <w:r w:rsidR="00D64E4C">
        <w:t xml:space="preserve">Table </w:t>
      </w:r>
      <w:r w:rsidR="00D64E4C">
        <w:rPr>
          <w:noProof/>
        </w:rPr>
        <w:t>11</w:t>
      </w:r>
      <w:r w:rsidR="00DD01AE">
        <w:rPr>
          <w:rFonts w:eastAsiaTheme="minorHAnsi" w:cs="Arial"/>
          <w:color w:val="000000"/>
          <w:szCs w:val="22"/>
          <w:lang w:eastAsia="en-US" w:bidi="th-TH"/>
        </w:rPr>
        <w:fldChar w:fldCharType="end"/>
      </w:r>
      <w:r w:rsidRPr="00A93129">
        <w:rPr>
          <w:rFonts w:eastAsiaTheme="minorHAnsi" w:cs="Arial"/>
          <w:color w:val="000000"/>
          <w:szCs w:val="22"/>
          <w:lang w:eastAsia="en-US" w:bidi="th-TH"/>
        </w:rPr>
        <w:t xml:space="preserve"> below.</w:t>
      </w:r>
    </w:p>
    <w:p w14:paraId="09FAA19B" w14:textId="413FE03F" w:rsidR="00CE0652" w:rsidRDefault="00CE0652" w:rsidP="00CE0652">
      <w:pPr>
        <w:pStyle w:val="Caption"/>
      </w:pPr>
      <w:bookmarkStart w:id="108" w:name="_Ref134303578"/>
      <w:r>
        <w:t xml:space="preserve">Table </w:t>
      </w:r>
      <w:r>
        <w:fldChar w:fldCharType="begin"/>
      </w:r>
      <w:r>
        <w:instrText>SEQ Table \* ARABIC</w:instrText>
      </w:r>
      <w:r>
        <w:fldChar w:fldCharType="separate"/>
      </w:r>
      <w:r w:rsidR="00D64E4C">
        <w:rPr>
          <w:noProof/>
        </w:rPr>
        <w:t>11</w:t>
      </w:r>
      <w:r>
        <w:fldChar w:fldCharType="end"/>
      </w:r>
      <w:bookmarkEnd w:id="108"/>
      <w:r>
        <w:t xml:space="preserve">: </w:t>
      </w:r>
      <w:r w:rsidRPr="005C6C82">
        <w:t>PRICE LIMITS FOR SUPPORT COORDINATION SUPPORTS</w:t>
      </w:r>
    </w:p>
    <w:tbl>
      <w:tblPr>
        <w:tblStyle w:val="GridTable4-Accent12"/>
        <w:tblW w:w="5000" w:type="pct"/>
        <w:tblInd w:w="-5" w:type="dxa"/>
        <w:tblLook w:val="0420" w:firstRow="1" w:lastRow="0" w:firstColumn="0" w:lastColumn="0" w:noHBand="0" w:noVBand="1"/>
        <w:tblCaption w:val="Price limits for Support Coordination Supports"/>
        <w:tblDescription w:val="NDIS pricing details for support coordination supports including the item code, item name, unit of measure, and price limits."/>
      </w:tblPr>
      <w:tblGrid>
        <w:gridCol w:w="1802"/>
        <w:gridCol w:w="3607"/>
        <w:gridCol w:w="902"/>
        <w:gridCol w:w="902"/>
        <w:gridCol w:w="902"/>
        <w:gridCol w:w="902"/>
      </w:tblGrid>
      <w:tr w:rsidR="00F6605A" w14:paraId="35F445A6" w14:textId="77777777" w:rsidTr="00AF419D">
        <w:trPr>
          <w:cnfStyle w:val="100000000000" w:firstRow="1" w:lastRow="0" w:firstColumn="0" w:lastColumn="0" w:oddVBand="0" w:evenVBand="0" w:oddHBand="0" w:evenHBand="0" w:firstRowFirstColumn="0" w:firstRowLastColumn="0" w:lastRowFirstColumn="0" w:lastRowLastColumn="0"/>
          <w:trHeight w:val="567"/>
          <w:tblHeader/>
        </w:trPr>
        <w:tc>
          <w:tcPr>
            <w:tcW w:w="999" w:type="pct"/>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hideMark/>
          </w:tcPr>
          <w:p w14:paraId="4D239072"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Item Number</w:t>
            </w:r>
          </w:p>
        </w:tc>
        <w:tc>
          <w:tcPr>
            <w:tcW w:w="2000"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hideMark/>
          </w:tcPr>
          <w:p w14:paraId="6869494B" w14:textId="77777777" w:rsidR="00F6605A" w:rsidRPr="005A4415" w:rsidRDefault="00F6605A" w:rsidP="00AF419D">
            <w:pPr>
              <w:spacing w:before="60" w:after="60"/>
              <w:rPr>
                <w:rFonts w:eastAsia="Times New Roman"/>
                <w:sz w:val="18"/>
                <w:szCs w:val="18"/>
                <w:lang w:eastAsia="en-AU"/>
              </w:rPr>
            </w:pPr>
            <w:r w:rsidRPr="005A4415">
              <w:rPr>
                <w:rFonts w:eastAsia="Times New Roman"/>
                <w:sz w:val="18"/>
                <w:szCs w:val="18"/>
                <w:lang w:eastAsia="en-AU"/>
              </w:rPr>
              <w:t>Item Name and Notes</w:t>
            </w:r>
          </w:p>
        </w:tc>
        <w:tc>
          <w:tcPr>
            <w:tcW w:w="500"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hideMark/>
          </w:tcPr>
          <w:p w14:paraId="2A2DA0F5"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Unit</w:t>
            </w:r>
          </w:p>
        </w:tc>
        <w:tc>
          <w:tcPr>
            <w:tcW w:w="500"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hideMark/>
          </w:tcPr>
          <w:p w14:paraId="3384A142"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Non-Remote</w:t>
            </w:r>
          </w:p>
        </w:tc>
        <w:tc>
          <w:tcPr>
            <w:tcW w:w="500" w:type="pct"/>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hideMark/>
          </w:tcPr>
          <w:p w14:paraId="022B3B0B"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Remote</w:t>
            </w:r>
          </w:p>
        </w:tc>
        <w:tc>
          <w:tcPr>
            <w:tcW w:w="500" w:type="pct"/>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hideMark/>
          </w:tcPr>
          <w:p w14:paraId="4F84D536"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Very Remote</w:t>
            </w:r>
          </w:p>
        </w:tc>
      </w:tr>
      <w:tr w:rsidR="00F6605A" w14:paraId="20F7E7F1" w14:textId="77777777" w:rsidTr="00AF419D">
        <w:trPr>
          <w:cnfStyle w:val="000000100000" w:firstRow="0" w:lastRow="0" w:firstColumn="0" w:lastColumn="0" w:oddVBand="0" w:evenVBand="0" w:oddHBand="1" w:evenHBand="0" w:firstRowFirstColumn="0" w:firstRowLastColumn="0" w:lastRowFirstColumn="0" w:lastRowLastColumn="0"/>
        </w:trPr>
        <w:tc>
          <w:tcPr>
            <w:tcW w:w="999"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7720B14A"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07_001_0106_8_3</w:t>
            </w:r>
          </w:p>
        </w:tc>
        <w:tc>
          <w:tcPr>
            <w:tcW w:w="2000"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3C3E68BB" w14:textId="77777777" w:rsidR="00F6605A" w:rsidRPr="005A4415" w:rsidRDefault="00F6605A" w:rsidP="00AF419D">
            <w:pPr>
              <w:spacing w:before="60" w:after="60"/>
              <w:rPr>
                <w:rFonts w:eastAsia="Times New Roman"/>
                <w:sz w:val="18"/>
                <w:szCs w:val="18"/>
                <w:lang w:eastAsia="en-AU"/>
              </w:rPr>
            </w:pPr>
            <w:r w:rsidRPr="005A4415">
              <w:rPr>
                <w:rFonts w:eastAsia="Times New Roman"/>
                <w:sz w:val="18"/>
                <w:szCs w:val="18"/>
                <w:lang w:eastAsia="en-AU"/>
              </w:rPr>
              <w:t>Support Coordination Level 1: Support Connection</w:t>
            </w:r>
          </w:p>
        </w:tc>
        <w:tc>
          <w:tcPr>
            <w:tcW w:w="500"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4144A9B9"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Hour</w:t>
            </w:r>
          </w:p>
        </w:tc>
        <w:tc>
          <w:tcPr>
            <w:tcW w:w="500"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022FE53E" w14:textId="77777777" w:rsidR="00F6605A" w:rsidRPr="005A4415" w:rsidRDefault="00F6605A" w:rsidP="00AF419D">
            <w:pPr>
              <w:spacing w:before="60" w:after="60"/>
              <w:jc w:val="center"/>
              <w:rPr>
                <w:sz w:val="18"/>
                <w:szCs w:val="18"/>
                <w:lang w:eastAsia="en-US"/>
              </w:rPr>
            </w:pPr>
            <w:r w:rsidRPr="005A4415">
              <w:rPr>
                <w:sz w:val="18"/>
                <w:szCs w:val="18"/>
              </w:rPr>
              <w:t>$70.87</w:t>
            </w:r>
          </w:p>
        </w:tc>
        <w:tc>
          <w:tcPr>
            <w:tcW w:w="500"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027A367F" w14:textId="77777777" w:rsidR="00F6605A" w:rsidRPr="005A4415" w:rsidRDefault="00F6605A" w:rsidP="00AF419D">
            <w:pPr>
              <w:spacing w:before="60" w:after="60"/>
              <w:jc w:val="center"/>
              <w:rPr>
                <w:sz w:val="18"/>
                <w:szCs w:val="18"/>
              </w:rPr>
            </w:pPr>
            <w:r w:rsidRPr="005A4415">
              <w:rPr>
                <w:sz w:val="18"/>
                <w:szCs w:val="18"/>
              </w:rPr>
              <w:t>$99.22</w:t>
            </w:r>
          </w:p>
        </w:tc>
        <w:tc>
          <w:tcPr>
            <w:tcW w:w="500" w:type="pct"/>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258957BE" w14:textId="77777777" w:rsidR="00F6605A" w:rsidRPr="005A4415" w:rsidRDefault="00F6605A" w:rsidP="00AF419D">
            <w:pPr>
              <w:spacing w:before="60" w:after="60"/>
              <w:jc w:val="center"/>
              <w:rPr>
                <w:sz w:val="18"/>
                <w:szCs w:val="18"/>
              </w:rPr>
            </w:pPr>
            <w:r w:rsidRPr="005A4415">
              <w:rPr>
                <w:sz w:val="18"/>
                <w:szCs w:val="18"/>
              </w:rPr>
              <w:t>$106.31</w:t>
            </w:r>
          </w:p>
        </w:tc>
      </w:tr>
      <w:tr w:rsidR="00F6605A" w14:paraId="09DEF7FB" w14:textId="77777777" w:rsidTr="00AF419D">
        <w:tc>
          <w:tcPr>
            <w:tcW w:w="999"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6189C52B"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07_002_0106_8_3</w:t>
            </w:r>
          </w:p>
        </w:tc>
        <w:tc>
          <w:tcPr>
            <w:tcW w:w="20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7D5DDA6F" w14:textId="77777777" w:rsidR="00F6605A" w:rsidRPr="005A4415" w:rsidRDefault="00F6605A" w:rsidP="00AF419D">
            <w:pPr>
              <w:spacing w:before="60" w:after="60"/>
              <w:rPr>
                <w:rFonts w:eastAsia="Times New Roman"/>
                <w:sz w:val="18"/>
                <w:szCs w:val="18"/>
                <w:lang w:eastAsia="en-AU"/>
              </w:rPr>
            </w:pPr>
            <w:r w:rsidRPr="005A4415">
              <w:rPr>
                <w:rFonts w:eastAsia="Times New Roman"/>
                <w:sz w:val="18"/>
                <w:szCs w:val="18"/>
                <w:lang w:eastAsia="en-AU"/>
              </w:rPr>
              <w:t>Support Coordination Level 2: Coordination of Supports</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1491D009"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Hour</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38E6988D" w14:textId="77777777" w:rsidR="00F6605A" w:rsidRPr="005A4415" w:rsidRDefault="00F6605A" w:rsidP="00AF419D">
            <w:pPr>
              <w:spacing w:before="60" w:after="60"/>
              <w:jc w:val="center"/>
              <w:rPr>
                <w:rFonts w:eastAsia="Times New Roman" w:cs="Arial"/>
                <w:color w:val="000000"/>
                <w:sz w:val="18"/>
                <w:szCs w:val="18"/>
                <w:lang w:eastAsia="en-AU"/>
              </w:rPr>
            </w:pPr>
            <w:r w:rsidRPr="005A4415">
              <w:rPr>
                <w:sz w:val="18"/>
                <w:szCs w:val="18"/>
              </w:rPr>
              <w:t>$100.14</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0177244E" w14:textId="77777777" w:rsidR="00F6605A" w:rsidRPr="005A4415" w:rsidRDefault="00F6605A" w:rsidP="00AF419D">
            <w:pPr>
              <w:spacing w:before="60" w:after="60"/>
              <w:jc w:val="center"/>
              <w:rPr>
                <w:rFonts w:eastAsiaTheme="minorHAnsi" w:cs="Arial"/>
                <w:sz w:val="18"/>
                <w:szCs w:val="18"/>
                <w:lang w:eastAsia="en-US"/>
              </w:rPr>
            </w:pPr>
            <w:r w:rsidRPr="005A4415">
              <w:rPr>
                <w:sz w:val="18"/>
                <w:szCs w:val="18"/>
              </w:rPr>
              <w:t>$140.19</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52B877F6" w14:textId="77777777" w:rsidR="00F6605A" w:rsidRPr="005A4415" w:rsidRDefault="00F6605A" w:rsidP="00AF419D">
            <w:pPr>
              <w:spacing w:before="60" w:after="60"/>
              <w:jc w:val="center"/>
              <w:rPr>
                <w:rFonts w:cs="Arial"/>
                <w:sz w:val="18"/>
                <w:szCs w:val="18"/>
              </w:rPr>
            </w:pPr>
            <w:r w:rsidRPr="005A4415">
              <w:rPr>
                <w:sz w:val="18"/>
                <w:szCs w:val="18"/>
              </w:rPr>
              <w:t>$150.21</w:t>
            </w:r>
          </w:p>
        </w:tc>
      </w:tr>
      <w:tr w:rsidR="00F6605A" w14:paraId="30964177" w14:textId="77777777" w:rsidTr="00F6605A">
        <w:trPr>
          <w:cnfStyle w:val="000000100000" w:firstRow="0" w:lastRow="0" w:firstColumn="0" w:lastColumn="0" w:oddVBand="0" w:evenVBand="0" w:oddHBand="1" w:evenHBand="0" w:firstRowFirstColumn="0" w:firstRowLastColumn="0" w:lastRowFirstColumn="0" w:lastRowLastColumn="0"/>
          <w:trHeight w:val="356"/>
        </w:trPr>
        <w:tc>
          <w:tcPr>
            <w:tcW w:w="999"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49DC0E6E"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07_004_0132_8_3</w:t>
            </w:r>
          </w:p>
        </w:tc>
        <w:tc>
          <w:tcPr>
            <w:tcW w:w="20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1A227F49" w14:textId="77777777" w:rsidR="00F6605A" w:rsidRPr="005A4415" w:rsidRDefault="00F6605A" w:rsidP="00AF419D">
            <w:pPr>
              <w:spacing w:before="60" w:after="60"/>
              <w:rPr>
                <w:rFonts w:eastAsia="Times New Roman"/>
                <w:sz w:val="18"/>
                <w:szCs w:val="18"/>
                <w:lang w:eastAsia="en-AU"/>
              </w:rPr>
            </w:pPr>
            <w:r w:rsidRPr="005A4415">
              <w:rPr>
                <w:rFonts w:eastAsia="Times New Roman"/>
                <w:sz w:val="18"/>
                <w:szCs w:val="18"/>
                <w:lang w:eastAsia="en-AU"/>
              </w:rPr>
              <w:t>Support Coordination Level 3: Specialist Support Coordination</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3879C785"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Hour</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32E81568" w14:textId="77777777" w:rsidR="00F6605A" w:rsidRPr="005A4415" w:rsidRDefault="00F6605A" w:rsidP="00AF419D">
            <w:pPr>
              <w:spacing w:before="60" w:after="60"/>
              <w:jc w:val="center"/>
              <w:rPr>
                <w:rFonts w:eastAsiaTheme="minorHAnsi" w:cs="Arial"/>
                <w:color w:val="FEFFFF" w:themeColor="background1"/>
                <w:sz w:val="18"/>
                <w:szCs w:val="18"/>
                <w:lang w:eastAsia="en-US"/>
              </w:rPr>
            </w:pPr>
            <w:r w:rsidRPr="005A4415">
              <w:rPr>
                <w:sz w:val="18"/>
                <w:szCs w:val="18"/>
              </w:rPr>
              <w:t>$190.54</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0C89F354" w14:textId="77777777" w:rsidR="00F6605A" w:rsidRPr="005A4415" w:rsidRDefault="00F6605A" w:rsidP="00AF419D">
            <w:pPr>
              <w:spacing w:before="60" w:after="60"/>
              <w:jc w:val="center"/>
              <w:rPr>
                <w:rFonts w:cs="Arial"/>
                <w:sz w:val="18"/>
                <w:szCs w:val="18"/>
              </w:rPr>
            </w:pPr>
            <w:r w:rsidRPr="005A4415">
              <w:rPr>
                <w:sz w:val="18"/>
                <w:szCs w:val="18"/>
              </w:rPr>
              <w:t>$266.75</w:t>
            </w:r>
          </w:p>
        </w:tc>
        <w:tc>
          <w:tcPr>
            <w:tcW w:w="500" w:type="pct"/>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hideMark/>
          </w:tcPr>
          <w:p w14:paraId="23488801" w14:textId="77777777" w:rsidR="00F6605A" w:rsidRPr="005A4415" w:rsidRDefault="00F6605A" w:rsidP="00AF419D">
            <w:pPr>
              <w:spacing w:before="60" w:after="60"/>
              <w:jc w:val="center"/>
              <w:rPr>
                <w:rFonts w:cs="Arial"/>
                <w:sz w:val="18"/>
                <w:szCs w:val="18"/>
              </w:rPr>
            </w:pPr>
            <w:r w:rsidRPr="005A4415">
              <w:rPr>
                <w:sz w:val="18"/>
                <w:szCs w:val="18"/>
              </w:rPr>
              <w:t>$285.80</w:t>
            </w:r>
          </w:p>
        </w:tc>
      </w:tr>
      <w:tr w:rsidR="00F6605A" w14:paraId="74564013" w14:textId="77777777" w:rsidTr="00F6605A">
        <w:trPr>
          <w:trHeight w:val="595"/>
        </w:trPr>
        <w:tc>
          <w:tcPr>
            <w:tcW w:w="999"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hideMark/>
          </w:tcPr>
          <w:p w14:paraId="0F5A476D" w14:textId="77777777" w:rsidR="00F6605A" w:rsidRPr="005A4415" w:rsidRDefault="00F6605A" w:rsidP="00AF419D">
            <w:pPr>
              <w:spacing w:before="60" w:after="60"/>
              <w:jc w:val="center"/>
              <w:rPr>
                <w:rFonts w:eastAsia="Times New Roman"/>
                <w:sz w:val="18"/>
                <w:szCs w:val="18"/>
                <w:lang w:eastAsia="en-AU"/>
              </w:rPr>
            </w:pPr>
            <w:r w:rsidRPr="00406F69">
              <w:rPr>
                <w:rFonts w:eastAsia="Times New Roman"/>
                <w:sz w:val="18"/>
                <w:szCs w:val="18"/>
                <w:lang w:eastAsia="en-AU"/>
              </w:rPr>
              <w:t>01_134</w:t>
            </w:r>
            <w:r w:rsidRPr="009E5800">
              <w:rPr>
                <w:rFonts w:eastAsia="Times New Roman"/>
                <w:sz w:val="18"/>
                <w:szCs w:val="18"/>
                <w:lang w:eastAsia="en-AU"/>
              </w:rPr>
              <w:t>_0117_8_</w:t>
            </w:r>
            <w:r w:rsidRPr="00406F69">
              <w:rPr>
                <w:rFonts w:eastAsia="Times New Roman"/>
                <w:sz w:val="18"/>
                <w:szCs w:val="18"/>
                <w:lang w:eastAsia="en-AU"/>
              </w:rPr>
              <w:t>1</w:t>
            </w:r>
          </w:p>
        </w:tc>
        <w:tc>
          <w:tcPr>
            <w:tcW w:w="2000"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hideMark/>
          </w:tcPr>
          <w:p w14:paraId="1572E83B" w14:textId="77777777" w:rsidR="00F6605A" w:rsidRPr="005A4415" w:rsidRDefault="00F6605A" w:rsidP="00AF419D">
            <w:pPr>
              <w:spacing w:before="60" w:after="60"/>
              <w:rPr>
                <w:rFonts w:eastAsia="Times New Roman"/>
                <w:sz w:val="18"/>
                <w:szCs w:val="18"/>
                <w:lang w:eastAsia="en-AU"/>
              </w:rPr>
            </w:pPr>
            <w:r w:rsidRPr="009E5800">
              <w:rPr>
                <w:rFonts w:eastAsia="Times New Roman"/>
                <w:sz w:val="18"/>
                <w:szCs w:val="18"/>
                <w:lang w:eastAsia="en-AU"/>
              </w:rPr>
              <w:t xml:space="preserve">Capacity Building and Training in </w:t>
            </w:r>
            <w:r w:rsidRPr="00406F69">
              <w:rPr>
                <w:rFonts w:eastAsia="Times New Roman"/>
                <w:sz w:val="18"/>
                <w:szCs w:val="18"/>
                <w:lang w:eastAsia="en-AU"/>
              </w:rPr>
              <w:t>Self-</w:t>
            </w:r>
            <w:r w:rsidRPr="009E5800">
              <w:rPr>
                <w:rFonts w:eastAsia="Times New Roman"/>
                <w:sz w:val="18"/>
                <w:szCs w:val="18"/>
                <w:lang w:eastAsia="en-AU"/>
              </w:rPr>
              <w:t xml:space="preserve">Management </w:t>
            </w:r>
            <w:r w:rsidRPr="00406F69">
              <w:rPr>
                <w:rFonts w:eastAsia="Times New Roman"/>
                <w:sz w:val="18"/>
                <w:szCs w:val="18"/>
                <w:lang w:eastAsia="en-AU"/>
              </w:rPr>
              <w:t>and Plan Management</w:t>
            </w:r>
          </w:p>
        </w:tc>
        <w:tc>
          <w:tcPr>
            <w:tcW w:w="500"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vAlign w:val="center"/>
            <w:hideMark/>
          </w:tcPr>
          <w:p w14:paraId="7443EBC8" w14:textId="77777777" w:rsidR="00F6605A" w:rsidRPr="005A4415" w:rsidRDefault="00F6605A" w:rsidP="00AF419D">
            <w:pPr>
              <w:spacing w:before="60" w:after="60"/>
              <w:jc w:val="center"/>
              <w:rPr>
                <w:rFonts w:eastAsia="Times New Roman"/>
                <w:sz w:val="18"/>
                <w:szCs w:val="18"/>
                <w:lang w:eastAsia="en-AU"/>
              </w:rPr>
            </w:pPr>
            <w:r w:rsidRPr="005A4415">
              <w:rPr>
                <w:rFonts w:eastAsia="Times New Roman"/>
                <w:sz w:val="18"/>
                <w:szCs w:val="18"/>
                <w:lang w:eastAsia="en-AU"/>
              </w:rPr>
              <w:t>Hour</w:t>
            </w:r>
          </w:p>
        </w:tc>
        <w:tc>
          <w:tcPr>
            <w:tcW w:w="500"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vAlign w:val="center"/>
            <w:hideMark/>
          </w:tcPr>
          <w:p w14:paraId="6CB95B61" w14:textId="77777777" w:rsidR="00F6605A" w:rsidRPr="005A4415" w:rsidRDefault="00F6605A" w:rsidP="00AF419D">
            <w:pPr>
              <w:spacing w:before="60" w:after="60"/>
              <w:jc w:val="center"/>
              <w:rPr>
                <w:sz w:val="18"/>
                <w:szCs w:val="18"/>
              </w:rPr>
            </w:pPr>
            <w:r w:rsidRPr="005A4415">
              <w:rPr>
                <w:sz w:val="18"/>
                <w:szCs w:val="18"/>
              </w:rPr>
              <w:t>$70.87</w:t>
            </w:r>
          </w:p>
        </w:tc>
        <w:tc>
          <w:tcPr>
            <w:tcW w:w="500"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vAlign w:val="center"/>
            <w:hideMark/>
          </w:tcPr>
          <w:p w14:paraId="1DF37EAB" w14:textId="77777777" w:rsidR="00F6605A" w:rsidRPr="005A4415" w:rsidRDefault="00F6605A" w:rsidP="00AF419D">
            <w:pPr>
              <w:spacing w:before="60" w:after="60"/>
              <w:jc w:val="center"/>
              <w:rPr>
                <w:sz w:val="18"/>
                <w:szCs w:val="18"/>
              </w:rPr>
            </w:pPr>
            <w:r w:rsidRPr="005A4415">
              <w:rPr>
                <w:sz w:val="18"/>
                <w:szCs w:val="18"/>
              </w:rPr>
              <w:t>$99.22</w:t>
            </w:r>
          </w:p>
        </w:tc>
        <w:tc>
          <w:tcPr>
            <w:tcW w:w="500" w:type="pct"/>
            <w:tcBorders>
              <w:top w:val="single" w:sz="4" w:space="0" w:color="B962C8" w:themeColor="accent1" w:themeTint="99"/>
              <w:left w:val="single" w:sz="4" w:space="0" w:color="B962C8" w:themeColor="accent1" w:themeTint="99"/>
              <w:bottom w:val="single" w:sz="4" w:space="0" w:color="6B2976" w:themeColor="accent1"/>
              <w:right w:val="single" w:sz="4" w:space="0" w:color="B962C8" w:themeColor="accent1" w:themeTint="99"/>
            </w:tcBorders>
            <w:vAlign w:val="center"/>
            <w:hideMark/>
          </w:tcPr>
          <w:p w14:paraId="214F254A" w14:textId="77777777" w:rsidR="00F6605A" w:rsidRPr="005A4415" w:rsidRDefault="00F6605A" w:rsidP="00AF419D">
            <w:pPr>
              <w:spacing w:before="60" w:after="60"/>
              <w:jc w:val="center"/>
              <w:rPr>
                <w:sz w:val="18"/>
                <w:szCs w:val="18"/>
              </w:rPr>
            </w:pPr>
            <w:r w:rsidRPr="005A4415">
              <w:rPr>
                <w:sz w:val="18"/>
                <w:szCs w:val="18"/>
              </w:rPr>
              <w:t>$106.31</w:t>
            </w:r>
          </w:p>
        </w:tc>
      </w:tr>
    </w:tbl>
    <w:p w14:paraId="59937C5F" w14:textId="77777777" w:rsidR="00F6605A" w:rsidRDefault="00F6605A" w:rsidP="00A75C36"/>
    <w:p w14:paraId="5EC868BC" w14:textId="40E9E988" w:rsidR="00AF3D7C" w:rsidRDefault="00AF3D7C" w:rsidP="00A75C36">
      <w:r w:rsidRPr="00DF0C3D">
        <w:t xml:space="preserve">Support </w:t>
      </w:r>
      <w:r w:rsidR="0049595E">
        <w:t>coordinator</w:t>
      </w:r>
      <w:r w:rsidRPr="00DF0C3D">
        <w:t xml:space="preserve">s are also permitted, subject to the rules set out in the </w:t>
      </w:r>
      <w:r w:rsidRPr="00DF0C3D">
        <w:rPr>
          <w:i/>
        </w:rPr>
        <w:t>NDIS Pricing Arrangements and Price Limits,</w:t>
      </w:r>
      <w:r w:rsidRPr="00DF0C3D">
        <w:t xml:space="preserve"> to claim for provider travel (labour and non-labour costs); non-face-to-face activities, NDIA requested reports and short notice cancellations.</w:t>
      </w:r>
    </w:p>
    <w:p w14:paraId="5C76B589" w14:textId="4C2E4CA1" w:rsidR="00CE0652" w:rsidRDefault="00A75C36" w:rsidP="00A75C36">
      <w:r w:rsidRPr="00E0300A">
        <w:t>This chapter analyses the pricing arrangements for support coordination, with a focus on their effectiveness in promoting innovation, enhancing service quality, and ensuring value for money. It examines current pricing arrangements, usage statistics, providers and markets, stakeholder concerns, and draws conclusions on potential changes to the pricing framework. The objective is to provide a comprehensive understanding of the pricing framework and its impact on NDIS participants.</w:t>
      </w:r>
    </w:p>
    <w:p w14:paraId="5FCD7FEB" w14:textId="00B32038" w:rsidR="004F1158" w:rsidRPr="006A39F4" w:rsidRDefault="004F1158" w:rsidP="00D9646F">
      <w:pPr>
        <w:pStyle w:val="Heading3"/>
      </w:pPr>
      <w:r w:rsidRPr="006A39F4">
        <w:t>6.2</w:t>
      </w:r>
      <w:r w:rsidRPr="006A39F4">
        <w:tab/>
        <w:t>Scheme Statistics</w:t>
      </w:r>
    </w:p>
    <w:p w14:paraId="55E39913" w14:textId="5D9C0523" w:rsidR="00881138" w:rsidRDefault="005C1098" w:rsidP="00CE0652">
      <w:r>
        <w:rPr>
          <w:rFonts w:cs="Arial"/>
          <w:lang w:eastAsia="en-US" w:bidi="th-TH"/>
        </w:rPr>
        <w:t>S</w:t>
      </w:r>
      <w:r w:rsidRPr="143A29CF">
        <w:rPr>
          <w:rFonts w:cs="Arial"/>
          <w:lang w:eastAsia="en-US" w:bidi="th-TH"/>
        </w:rPr>
        <w:t xml:space="preserve">ome 7,023 </w:t>
      </w:r>
      <w:r w:rsidR="00737D43">
        <w:rPr>
          <w:rFonts w:cs="Arial"/>
          <w:lang w:eastAsia="en-US" w:bidi="th-TH"/>
        </w:rPr>
        <w:t xml:space="preserve">unique </w:t>
      </w:r>
      <w:r>
        <w:rPr>
          <w:rFonts w:cs="Arial"/>
          <w:lang w:eastAsia="en-US" w:bidi="th-TH"/>
        </w:rPr>
        <w:t xml:space="preserve">providers delivered </w:t>
      </w:r>
      <w:r w:rsidRPr="143A29CF">
        <w:rPr>
          <w:rFonts w:cs="Arial"/>
          <w:lang w:eastAsia="en-US" w:bidi="th-TH"/>
        </w:rPr>
        <w:t>support coordinat</w:t>
      </w:r>
      <w:r>
        <w:rPr>
          <w:rFonts w:cs="Arial"/>
          <w:lang w:eastAsia="en-US" w:bidi="th-TH"/>
        </w:rPr>
        <w:t>ion supports</w:t>
      </w:r>
      <w:r w:rsidRPr="143A29CF">
        <w:rPr>
          <w:rFonts w:cs="Arial"/>
          <w:lang w:eastAsia="en-US" w:bidi="th-TH"/>
        </w:rPr>
        <w:t xml:space="preserve"> </w:t>
      </w:r>
      <w:r>
        <w:rPr>
          <w:rFonts w:cs="Arial"/>
          <w:lang w:eastAsia="en-US" w:bidi="th-TH"/>
        </w:rPr>
        <w:t xml:space="preserve">(including capacity building and training support </w:t>
      </w:r>
      <w:r w:rsidR="00C90B5E">
        <w:rPr>
          <w:rFonts w:cs="Arial"/>
          <w:lang w:eastAsia="en-US" w:bidi="th-TH"/>
        </w:rPr>
        <w:t xml:space="preserve">and provider travel </w:t>
      </w:r>
      <w:r>
        <w:rPr>
          <w:rFonts w:cs="Arial"/>
          <w:lang w:eastAsia="en-US" w:bidi="th-TH"/>
        </w:rPr>
        <w:t>item</w:t>
      </w:r>
      <w:r w:rsidR="00C90B5E">
        <w:rPr>
          <w:rFonts w:cs="Arial"/>
          <w:lang w:eastAsia="en-US" w:bidi="th-TH"/>
        </w:rPr>
        <w:t>s</w:t>
      </w:r>
      <w:r>
        <w:rPr>
          <w:rFonts w:cs="Arial"/>
          <w:lang w:eastAsia="en-US" w:bidi="th-TH"/>
        </w:rPr>
        <w:t xml:space="preserve">) to </w:t>
      </w:r>
      <w:r w:rsidR="00271690" w:rsidRPr="143A29CF">
        <w:rPr>
          <w:rFonts w:cs="Arial"/>
          <w:lang w:eastAsia="en-US" w:bidi="th-TH"/>
        </w:rPr>
        <w:t xml:space="preserve">210,909 participants in the six </w:t>
      </w:r>
      <w:r w:rsidR="00271690" w:rsidRPr="143A29CF">
        <w:rPr>
          <w:rFonts w:cs="Arial"/>
          <w:lang w:eastAsia="en-US" w:bidi="th-TH"/>
        </w:rPr>
        <w:t xml:space="preserve">months to December </w:t>
      </w:r>
      <w:r w:rsidR="00271690">
        <w:rPr>
          <w:rFonts w:cs="Arial"/>
          <w:lang w:eastAsia="en-US" w:bidi="th-TH"/>
        </w:rPr>
        <w:t>20</w:t>
      </w:r>
      <w:r w:rsidR="00271690" w:rsidRPr="143A29CF">
        <w:rPr>
          <w:rFonts w:cs="Arial"/>
          <w:lang w:eastAsia="en-US" w:bidi="th-TH"/>
        </w:rPr>
        <w:t>22</w:t>
      </w:r>
      <w:r w:rsidR="00271690">
        <w:rPr>
          <w:rFonts w:cs="Arial"/>
          <w:lang w:eastAsia="en-US" w:bidi="th-TH"/>
        </w:rPr>
        <w:t xml:space="preserve">, </w:t>
      </w:r>
      <w:r w:rsidR="00271690" w:rsidRPr="143A29CF">
        <w:rPr>
          <w:rFonts w:cs="Arial"/>
          <w:lang w:eastAsia="en-US" w:bidi="th-TH"/>
        </w:rPr>
        <w:t>37% of active participants</w:t>
      </w:r>
      <w:r w:rsidR="00271690">
        <w:t xml:space="preserve">. </w:t>
      </w:r>
      <w:r w:rsidR="007D4F3F">
        <w:t xml:space="preserve">This equated to </w:t>
      </w:r>
      <w:r w:rsidR="00100AAB" w:rsidRPr="143A29CF">
        <w:rPr>
          <w:rFonts w:cs="Arial"/>
          <w:lang w:eastAsia="en-US" w:bidi="th-TH"/>
        </w:rPr>
        <w:t xml:space="preserve">payments </w:t>
      </w:r>
      <w:r w:rsidR="007D4F3F">
        <w:rPr>
          <w:rFonts w:cs="Arial"/>
          <w:lang w:eastAsia="en-US" w:bidi="th-TH"/>
        </w:rPr>
        <w:t xml:space="preserve">amounting </w:t>
      </w:r>
      <w:r w:rsidR="00100AAB" w:rsidRPr="143A29CF">
        <w:rPr>
          <w:rFonts w:cs="Arial"/>
          <w:lang w:eastAsia="en-US" w:bidi="th-TH"/>
        </w:rPr>
        <w:t>to $</w:t>
      </w:r>
      <w:r w:rsidR="00B75BBF" w:rsidRPr="143A29CF">
        <w:rPr>
          <w:rFonts w:cs="Arial"/>
          <w:lang w:eastAsia="en-US" w:bidi="th-TH"/>
        </w:rPr>
        <w:t>428</w:t>
      </w:r>
      <w:r w:rsidR="00A42C37" w:rsidRPr="143A29CF">
        <w:rPr>
          <w:rFonts w:cs="Arial"/>
          <w:lang w:eastAsia="en-US" w:bidi="th-TH"/>
        </w:rPr>
        <w:t>.4</w:t>
      </w:r>
      <w:r w:rsidR="00100AAB" w:rsidRPr="143A29CF">
        <w:rPr>
          <w:rFonts w:cs="Arial"/>
          <w:lang w:eastAsia="en-US" w:bidi="th-TH"/>
        </w:rPr>
        <w:t xml:space="preserve"> </w:t>
      </w:r>
      <w:r w:rsidR="00B75BBF" w:rsidRPr="143A29CF">
        <w:rPr>
          <w:rFonts w:cs="Arial"/>
          <w:lang w:eastAsia="en-US" w:bidi="th-TH"/>
        </w:rPr>
        <w:t>m</w:t>
      </w:r>
      <w:r w:rsidR="00100AAB" w:rsidRPr="143A29CF">
        <w:rPr>
          <w:rFonts w:cs="Arial"/>
          <w:lang w:eastAsia="en-US" w:bidi="th-TH"/>
        </w:rPr>
        <w:t>illion</w:t>
      </w:r>
      <w:r w:rsidR="00E5365E" w:rsidRPr="143A29CF">
        <w:rPr>
          <w:rFonts w:cs="Arial"/>
          <w:lang w:eastAsia="en-US" w:bidi="th-TH"/>
        </w:rPr>
        <w:t xml:space="preserve"> in payments</w:t>
      </w:r>
      <w:r w:rsidR="00A126BB" w:rsidRPr="143A29CF">
        <w:rPr>
          <w:rFonts w:cs="Arial"/>
          <w:lang w:eastAsia="en-US" w:bidi="th-TH"/>
        </w:rPr>
        <w:t xml:space="preserve"> (</w:t>
      </w:r>
      <w:r w:rsidR="00D51DD3" w:rsidRPr="143A29CF">
        <w:rPr>
          <w:rFonts w:cs="Arial"/>
          <w:lang w:eastAsia="en-US" w:bidi="th-TH"/>
        </w:rPr>
        <w:t>3</w:t>
      </w:r>
      <w:r w:rsidR="00982D20" w:rsidRPr="143A29CF">
        <w:rPr>
          <w:rFonts w:cs="Arial"/>
          <w:lang w:eastAsia="en-US" w:bidi="th-TH"/>
        </w:rPr>
        <w:t>%</w:t>
      </w:r>
      <w:r w:rsidR="00D51DD3" w:rsidRPr="143A29CF">
        <w:rPr>
          <w:rFonts w:cs="Arial"/>
          <w:lang w:eastAsia="en-US" w:bidi="th-TH"/>
        </w:rPr>
        <w:t xml:space="preserve"> of </w:t>
      </w:r>
      <w:r w:rsidR="00EC6B3C" w:rsidRPr="143A29CF">
        <w:rPr>
          <w:rFonts w:cs="Arial"/>
          <w:lang w:eastAsia="en-US" w:bidi="th-TH"/>
        </w:rPr>
        <w:t xml:space="preserve">total </w:t>
      </w:r>
      <w:r w:rsidR="00D51DD3" w:rsidRPr="143A29CF">
        <w:rPr>
          <w:rFonts w:cs="Arial"/>
          <w:lang w:eastAsia="en-US" w:bidi="th-TH"/>
        </w:rPr>
        <w:t>scheme spend</w:t>
      </w:r>
      <w:r w:rsidR="00493FEE" w:rsidRPr="143A29CF">
        <w:rPr>
          <w:rFonts w:cs="Arial"/>
          <w:lang w:eastAsia="en-US" w:bidi="th-TH"/>
        </w:rPr>
        <w:t>)</w:t>
      </w:r>
      <w:r w:rsidR="00493FEE">
        <w:rPr>
          <w:rFonts w:cs="Arial"/>
          <w:lang w:eastAsia="en-US" w:bidi="th-TH"/>
        </w:rPr>
        <w:t>, an increase</w:t>
      </w:r>
      <w:r w:rsidR="001E4D83" w:rsidRPr="143A29CF">
        <w:rPr>
          <w:rFonts w:cs="Arial"/>
          <w:lang w:eastAsia="en-US" w:bidi="th-TH"/>
        </w:rPr>
        <w:t xml:space="preserve"> of </w:t>
      </w:r>
      <w:r w:rsidR="00493FEE">
        <w:rPr>
          <w:rFonts w:cs="Arial"/>
          <w:lang w:eastAsia="en-US" w:bidi="th-TH"/>
        </w:rPr>
        <w:t>15</w:t>
      </w:r>
      <w:r w:rsidR="001E4D83" w:rsidRPr="143A29CF">
        <w:rPr>
          <w:rFonts w:cs="Arial"/>
          <w:lang w:eastAsia="en-US" w:bidi="th-TH"/>
        </w:rPr>
        <w:t xml:space="preserve">% </w:t>
      </w:r>
      <w:r w:rsidR="007D686C">
        <w:rPr>
          <w:rFonts w:cs="Arial"/>
          <w:lang w:eastAsia="en-US" w:bidi="th-TH"/>
        </w:rPr>
        <w:t>compared to the six months to December 2021</w:t>
      </w:r>
      <w:r w:rsidR="00493FEE" w:rsidRPr="00DA312F">
        <w:rPr>
          <w:szCs w:val="22"/>
        </w:rPr>
        <w:t xml:space="preserve"> </w:t>
      </w:r>
      <w:r w:rsidR="00493FEE">
        <w:rPr>
          <w:szCs w:val="22"/>
        </w:rPr>
        <w:t>($372.4 million).</w:t>
      </w:r>
      <w:r w:rsidR="00DD01AE">
        <w:rPr>
          <w:szCs w:val="22"/>
        </w:rPr>
        <w:t xml:space="preserve"> </w:t>
      </w:r>
      <w:r w:rsidR="00DD01AE">
        <w:rPr>
          <w:szCs w:val="22"/>
        </w:rPr>
        <w:fldChar w:fldCharType="begin"/>
      </w:r>
      <w:r w:rsidR="00DD01AE">
        <w:rPr>
          <w:szCs w:val="22"/>
        </w:rPr>
        <w:instrText xml:space="preserve"> REF _Ref134303584 </w:instrText>
      </w:r>
      <w:r w:rsidR="00DD01AE">
        <w:rPr>
          <w:szCs w:val="22"/>
        </w:rPr>
        <w:fldChar w:fldCharType="separate"/>
      </w:r>
      <w:r w:rsidR="00D64E4C">
        <w:t xml:space="preserve">Table </w:t>
      </w:r>
      <w:r w:rsidR="00D64E4C">
        <w:rPr>
          <w:noProof/>
        </w:rPr>
        <w:t>12</w:t>
      </w:r>
      <w:r w:rsidR="00DD01AE">
        <w:rPr>
          <w:szCs w:val="22"/>
        </w:rPr>
        <w:fldChar w:fldCharType="end"/>
      </w:r>
      <w:r w:rsidR="00881138" w:rsidRPr="00977593">
        <w:t xml:space="preserve"> below displays the change in some of these statistics the six months to December 2021 and </w:t>
      </w:r>
      <w:r w:rsidR="007D686C">
        <w:t>the six months to</w:t>
      </w:r>
      <w:r w:rsidR="00881138" w:rsidRPr="00977593">
        <w:t xml:space="preserve"> December 2022.</w:t>
      </w:r>
    </w:p>
    <w:p w14:paraId="46F23EC1" w14:textId="72EC82A0" w:rsidR="00CE0652" w:rsidRDefault="00CE0652" w:rsidP="00CE0652">
      <w:pPr>
        <w:pStyle w:val="Caption"/>
      </w:pPr>
      <w:bookmarkStart w:id="109" w:name="_Ref134303584"/>
      <w:r>
        <w:t xml:space="preserve">Table </w:t>
      </w:r>
      <w:r>
        <w:fldChar w:fldCharType="begin"/>
      </w:r>
      <w:r>
        <w:instrText>SEQ Table \* ARABIC</w:instrText>
      </w:r>
      <w:r>
        <w:fldChar w:fldCharType="separate"/>
      </w:r>
      <w:r w:rsidR="00D64E4C">
        <w:rPr>
          <w:noProof/>
        </w:rPr>
        <w:t>12</w:t>
      </w:r>
      <w:r>
        <w:fldChar w:fldCharType="end"/>
      </w:r>
      <w:bookmarkEnd w:id="109"/>
      <w:r>
        <w:t xml:space="preserve">: </w:t>
      </w:r>
      <w:r w:rsidRPr="00EF28D8">
        <w:t>SUPPORT COORDINATION SCHEME STATISTICS</w:t>
      </w:r>
    </w:p>
    <w:tbl>
      <w:tblPr>
        <w:tblW w:w="8505" w:type="dxa"/>
        <w:tblInd w:w="279" w:type="dxa"/>
        <w:tblBorders>
          <w:top w:val="single" w:sz="12" w:space="0" w:color="4F1E58" w:themeColor="text1" w:themeShade="BF"/>
          <w:left w:val="single" w:sz="12" w:space="0" w:color="4F1E58" w:themeColor="text1" w:themeShade="BF"/>
          <w:bottom w:val="single" w:sz="12" w:space="0" w:color="4F1E58" w:themeColor="text1" w:themeShade="BF"/>
          <w:right w:val="single" w:sz="12" w:space="0" w:color="4F1E58" w:themeColor="text1" w:themeShade="BF"/>
          <w:insideH w:val="single" w:sz="6" w:space="0" w:color="4F1E58" w:themeColor="text1" w:themeShade="BF"/>
          <w:insideV w:val="single" w:sz="6" w:space="0" w:color="4F1E58" w:themeColor="text1" w:themeShade="BF"/>
        </w:tblBorders>
        <w:tblLayout w:type="fixed"/>
        <w:tblLook w:val="04A0" w:firstRow="1" w:lastRow="0" w:firstColumn="1" w:lastColumn="0" w:noHBand="0" w:noVBand="1"/>
        <w:tblCaption w:val="TABLE 12: SUPPORT COORDINATION SCHEME STATISTICS"/>
        <w:tblDescription w:val="The table provides information on the total number of NGOs participants receiving support coordination services. The table also provides statistics on the total number of  active support coordinator providers and the total amount claimed by support coordinators."/>
      </w:tblPr>
      <w:tblGrid>
        <w:gridCol w:w="3402"/>
        <w:gridCol w:w="1701"/>
        <w:gridCol w:w="1701"/>
        <w:gridCol w:w="1701"/>
      </w:tblGrid>
      <w:tr w:rsidR="00881138" w:rsidRPr="00CE6573" w14:paraId="5CC3C860" w14:textId="77777777">
        <w:trPr>
          <w:trHeight w:hRule="exact" w:val="567"/>
          <w:tblHeader/>
        </w:trPr>
        <w:tc>
          <w:tcPr>
            <w:tcW w:w="3402"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17743F81" w14:textId="77777777" w:rsidR="00881138" w:rsidRPr="00CE6573" w:rsidRDefault="00881138" w:rsidP="00D608D6">
            <w:pPr>
              <w:spacing w:before="60" w:after="60" w:line="240" w:lineRule="auto"/>
              <w:rPr>
                <w:rFonts w:eastAsia="Times New Roman" w:cs="Arial"/>
                <w:b/>
                <w:bCs/>
                <w:color w:val="FEFFFF" w:themeColor="background1"/>
                <w:sz w:val="18"/>
                <w:szCs w:val="18"/>
                <w:lang w:eastAsia="zh-CN" w:bidi="th-TH"/>
              </w:rPr>
            </w:pPr>
            <w:r w:rsidRPr="00CE6573">
              <w:rPr>
                <w:rFonts w:eastAsia="Times New Roman" w:cs="Arial"/>
                <w:b/>
                <w:bCs/>
                <w:color w:val="FEFFFF" w:themeColor="background1"/>
                <w:sz w:val="18"/>
                <w:szCs w:val="18"/>
                <w:lang w:eastAsia="zh-CN" w:bidi="th-TH"/>
              </w:rPr>
              <w:t>Statistics</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tcPr>
          <w:p w14:paraId="61B4E3EB" w14:textId="419BD4B6" w:rsidR="00881138" w:rsidRPr="00CE6573" w:rsidRDefault="00881138" w:rsidP="00D608D6">
            <w:pPr>
              <w:spacing w:before="60" w:after="60" w:line="240" w:lineRule="auto"/>
              <w:jc w:val="center"/>
              <w:rPr>
                <w:rFonts w:eastAsia="Times New Roman" w:cs="Arial"/>
                <w:b/>
                <w:bCs/>
                <w:color w:val="FEFFFF" w:themeColor="background1"/>
                <w:sz w:val="18"/>
                <w:szCs w:val="18"/>
                <w:lang w:eastAsia="zh-CN" w:bidi="th-TH"/>
              </w:rPr>
            </w:pPr>
            <w:r w:rsidRPr="00CE6573">
              <w:rPr>
                <w:rFonts w:eastAsia="Times New Roman" w:cs="Arial"/>
                <w:b/>
                <w:bCs/>
                <w:color w:val="FEFFFF" w:themeColor="background1"/>
                <w:sz w:val="18"/>
                <w:szCs w:val="18"/>
                <w:lang w:eastAsia="zh-CN" w:bidi="th-TH"/>
              </w:rPr>
              <w:t xml:space="preserve">July </w:t>
            </w:r>
            <w:r w:rsidR="002B0448">
              <w:rPr>
                <w:rFonts w:eastAsia="Times New Roman" w:cs="Arial"/>
                <w:b/>
                <w:bCs/>
                <w:color w:val="FEFFFF" w:themeColor="background1"/>
                <w:sz w:val="18"/>
                <w:szCs w:val="18"/>
                <w:lang w:eastAsia="zh-CN" w:bidi="th-TH"/>
              </w:rPr>
              <w:t>–</w:t>
            </w:r>
            <w:r w:rsidRPr="00CE6573">
              <w:rPr>
                <w:rFonts w:eastAsia="Times New Roman" w:cs="Arial"/>
                <w:b/>
                <w:bCs/>
                <w:color w:val="FEFFFF" w:themeColor="background1"/>
                <w:sz w:val="18"/>
                <w:szCs w:val="18"/>
                <w:lang w:eastAsia="zh-CN" w:bidi="th-TH"/>
              </w:rPr>
              <w:t xml:space="preserve"> December 2021</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shd w:val="clear" w:color="auto" w:fill="6B2976"/>
            <w:hideMark/>
          </w:tcPr>
          <w:p w14:paraId="7398A714" w14:textId="123C2E39" w:rsidR="00881138" w:rsidRPr="00CE6573" w:rsidRDefault="00881138" w:rsidP="00D608D6">
            <w:pPr>
              <w:spacing w:before="60" w:after="60" w:line="240" w:lineRule="auto"/>
              <w:jc w:val="center"/>
              <w:rPr>
                <w:rFonts w:eastAsia="Times New Roman" w:cs="Arial"/>
                <w:b/>
                <w:bCs/>
                <w:color w:val="FEFFFF" w:themeColor="background1"/>
                <w:sz w:val="18"/>
                <w:szCs w:val="18"/>
                <w:lang w:eastAsia="zh-CN" w:bidi="th-TH"/>
              </w:rPr>
            </w:pPr>
            <w:r w:rsidRPr="00CE6573">
              <w:rPr>
                <w:rFonts w:eastAsia="Times New Roman" w:cs="Arial"/>
                <w:b/>
                <w:bCs/>
                <w:color w:val="FEFFFF" w:themeColor="background1"/>
                <w:sz w:val="18"/>
                <w:szCs w:val="18"/>
                <w:lang w:eastAsia="zh-CN" w:bidi="th-TH"/>
              </w:rPr>
              <w:t xml:space="preserve">July </w:t>
            </w:r>
            <w:r w:rsidR="002B0448">
              <w:rPr>
                <w:rFonts w:eastAsia="Times New Roman" w:cs="Arial"/>
                <w:b/>
                <w:bCs/>
                <w:color w:val="FEFFFF" w:themeColor="background1"/>
                <w:sz w:val="18"/>
                <w:szCs w:val="18"/>
                <w:lang w:eastAsia="zh-CN" w:bidi="th-TH"/>
              </w:rPr>
              <w:t>–</w:t>
            </w:r>
            <w:r w:rsidRPr="00CE6573">
              <w:rPr>
                <w:rFonts w:eastAsia="Times New Roman" w:cs="Arial"/>
                <w:b/>
                <w:bCs/>
                <w:color w:val="FEFFFF" w:themeColor="background1"/>
                <w:sz w:val="18"/>
                <w:szCs w:val="18"/>
                <w:lang w:eastAsia="zh-CN" w:bidi="th-TH"/>
              </w:rPr>
              <w:t xml:space="preserve"> December 2022</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shd w:val="clear" w:color="auto" w:fill="6B2976"/>
          </w:tcPr>
          <w:p w14:paraId="424E9C02" w14:textId="77777777" w:rsidR="00881138" w:rsidRPr="00CE6573" w:rsidRDefault="00881138" w:rsidP="00D608D6">
            <w:pPr>
              <w:spacing w:before="60" w:after="60" w:line="240" w:lineRule="auto"/>
              <w:jc w:val="center"/>
              <w:rPr>
                <w:rFonts w:eastAsia="Times New Roman" w:cs="Arial"/>
                <w:b/>
                <w:bCs/>
                <w:color w:val="FEFFFF" w:themeColor="background1"/>
                <w:sz w:val="18"/>
                <w:szCs w:val="18"/>
                <w:lang w:eastAsia="zh-CN" w:bidi="th-TH"/>
              </w:rPr>
            </w:pPr>
            <w:r w:rsidRPr="00CE6573">
              <w:rPr>
                <w:rFonts w:eastAsia="Times New Roman" w:cs="Arial"/>
                <w:b/>
                <w:bCs/>
                <w:color w:val="FEFFFF" w:themeColor="background1"/>
                <w:sz w:val="18"/>
                <w:szCs w:val="18"/>
                <w:lang w:eastAsia="zh-CN" w:bidi="th-TH"/>
              </w:rPr>
              <w:t>Percentage Change</w:t>
            </w:r>
          </w:p>
        </w:tc>
      </w:tr>
      <w:tr w:rsidR="00881138" w:rsidRPr="00CE6573" w14:paraId="0682D5F9" w14:textId="77777777">
        <w:trPr>
          <w:trHeight w:val="397"/>
        </w:trPr>
        <w:tc>
          <w:tcPr>
            <w:tcW w:w="3402" w:type="dxa"/>
            <w:tcBorders>
              <w:top w:val="single" w:sz="4" w:space="0" w:color="4F1E58" w:themeColor="accent1" w:themeShade="BF"/>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5DEAE7EF" w14:textId="77777777" w:rsidR="00881138" w:rsidRPr="00CE6573" w:rsidRDefault="00881138">
            <w:pPr>
              <w:spacing w:before="60" w:after="60" w:line="240" w:lineRule="auto"/>
              <w:rPr>
                <w:rFonts w:eastAsia="Times New Roman" w:cs="Arial"/>
                <w:color w:val="000000"/>
                <w:sz w:val="18"/>
                <w:szCs w:val="18"/>
                <w:lang w:eastAsia="zh-CN" w:bidi="th-TH"/>
              </w:rPr>
            </w:pPr>
            <w:r w:rsidRPr="00CE6573">
              <w:rPr>
                <w:rFonts w:cs="Arial"/>
                <w:sz w:val="18"/>
                <w:szCs w:val="18"/>
              </w:rPr>
              <w:t>Total number of NDIS participants</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vAlign w:val="center"/>
          </w:tcPr>
          <w:p w14:paraId="17D0AC98" w14:textId="77777777" w:rsidR="00881138" w:rsidRPr="00717793" w:rsidRDefault="00881138">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182,938</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3B7A04DB" w14:textId="77777777" w:rsidR="00881138" w:rsidRPr="00CE6573" w:rsidRDefault="00881138" w:rsidP="00D608D6">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210,909</w:t>
            </w:r>
          </w:p>
        </w:tc>
        <w:tc>
          <w:tcPr>
            <w:tcW w:w="1701" w:type="dxa"/>
            <w:tcBorders>
              <w:top w:val="single" w:sz="4" w:space="0" w:color="4F1E58" w:themeColor="accent1" w:themeShade="BF"/>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531923E4" w14:textId="77777777" w:rsidR="00881138" w:rsidRPr="00CE6573" w:rsidRDefault="00881138">
            <w:pPr>
              <w:spacing w:before="60" w:after="60" w:line="240" w:lineRule="auto"/>
              <w:ind w:right="510"/>
              <w:jc w:val="right"/>
              <w:rPr>
                <w:rFonts w:cs="Arial"/>
                <w:sz w:val="18"/>
                <w:szCs w:val="18"/>
              </w:rPr>
            </w:pPr>
            <w:r>
              <w:rPr>
                <w:rFonts w:cs="Arial"/>
                <w:sz w:val="18"/>
                <w:szCs w:val="18"/>
              </w:rPr>
              <w:t>+</w:t>
            </w:r>
            <w:r w:rsidRPr="00717793">
              <w:rPr>
                <w:rFonts w:cs="Arial"/>
                <w:sz w:val="18"/>
                <w:szCs w:val="18"/>
              </w:rPr>
              <w:t>15%</w:t>
            </w:r>
          </w:p>
        </w:tc>
      </w:tr>
      <w:tr w:rsidR="00881138" w:rsidRPr="00CE6573" w14:paraId="23A5027A" w14:textId="77777777">
        <w:trPr>
          <w:trHeight w:val="397"/>
        </w:trPr>
        <w:tc>
          <w:tcPr>
            <w:tcW w:w="3402"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64575366" w14:textId="77777777" w:rsidR="00881138" w:rsidRPr="00CE6573" w:rsidRDefault="00881138">
            <w:pPr>
              <w:spacing w:before="60" w:after="60" w:line="240" w:lineRule="auto"/>
              <w:rPr>
                <w:rFonts w:eastAsia="Times New Roman" w:cs="Arial"/>
                <w:color w:val="000000"/>
                <w:sz w:val="18"/>
                <w:szCs w:val="18"/>
                <w:lang w:eastAsia="zh-CN" w:bidi="th-TH"/>
              </w:rPr>
            </w:pPr>
            <w:r w:rsidRPr="00CE6573">
              <w:rPr>
                <w:rFonts w:cs="Arial"/>
                <w:sz w:val="18"/>
                <w:szCs w:val="18"/>
              </w:rPr>
              <w:lastRenderedPageBreak/>
              <w:t>Total number of active providers</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vAlign w:val="center"/>
          </w:tcPr>
          <w:p w14:paraId="052754C3" w14:textId="77777777" w:rsidR="00881138" w:rsidRPr="00717793" w:rsidRDefault="00881138">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5,232</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auto"/>
            <w:noWrap/>
            <w:vAlign w:val="center"/>
          </w:tcPr>
          <w:p w14:paraId="50EB751C" w14:textId="77777777" w:rsidR="00881138" w:rsidRPr="00CE6573" w:rsidRDefault="00881138" w:rsidP="00D608D6">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7,023</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vAlign w:val="center"/>
          </w:tcPr>
          <w:p w14:paraId="73F89CD1" w14:textId="77777777" w:rsidR="00881138" w:rsidRPr="00CE6573" w:rsidRDefault="00881138">
            <w:pPr>
              <w:spacing w:before="60" w:after="60" w:line="240" w:lineRule="auto"/>
              <w:ind w:right="510"/>
              <w:jc w:val="right"/>
              <w:rPr>
                <w:rFonts w:cs="Arial"/>
                <w:sz w:val="18"/>
                <w:szCs w:val="18"/>
              </w:rPr>
            </w:pPr>
            <w:r>
              <w:rPr>
                <w:rFonts w:cs="Arial"/>
                <w:sz w:val="18"/>
                <w:szCs w:val="18"/>
              </w:rPr>
              <w:t>+</w:t>
            </w:r>
            <w:r w:rsidRPr="00717793">
              <w:rPr>
                <w:rFonts w:cs="Arial"/>
                <w:sz w:val="18"/>
                <w:szCs w:val="18"/>
              </w:rPr>
              <w:t>34%</w:t>
            </w:r>
          </w:p>
        </w:tc>
      </w:tr>
      <w:tr w:rsidR="00881138" w:rsidRPr="00CE6573" w14:paraId="10F57580" w14:textId="77777777">
        <w:trPr>
          <w:trHeight w:val="397"/>
        </w:trPr>
        <w:tc>
          <w:tcPr>
            <w:tcW w:w="3402" w:type="dxa"/>
            <w:tcBorders>
              <w:top w:val="single" w:sz="6" w:space="0" w:color="B962C8" w:themeColor="accent1" w:themeTint="99"/>
              <w:left w:val="single" w:sz="4"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0C5CC23D" w14:textId="77777777" w:rsidR="00881138" w:rsidRPr="00CE6573" w:rsidRDefault="00881138">
            <w:pPr>
              <w:spacing w:before="60" w:after="60" w:line="240" w:lineRule="auto"/>
              <w:rPr>
                <w:rFonts w:eastAsia="Times New Roman" w:cs="Arial"/>
                <w:color w:val="000000"/>
                <w:sz w:val="18"/>
                <w:szCs w:val="18"/>
                <w:lang w:eastAsia="zh-CN" w:bidi="th-TH"/>
              </w:rPr>
            </w:pPr>
            <w:r w:rsidRPr="00CE6573">
              <w:rPr>
                <w:rFonts w:cs="Arial"/>
                <w:sz w:val="18"/>
                <w:szCs w:val="18"/>
              </w:rPr>
              <w:t>Total amount claimed</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vAlign w:val="center"/>
          </w:tcPr>
          <w:p w14:paraId="5D944F50" w14:textId="77777777" w:rsidR="00881138" w:rsidRPr="00717793" w:rsidRDefault="00881138">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$372 million</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6" w:space="0" w:color="B962C8" w:themeColor="accent1" w:themeTint="99"/>
            </w:tcBorders>
            <w:shd w:val="clear" w:color="auto" w:fill="E8CAED" w:themeFill="text1" w:themeFillTint="33"/>
            <w:noWrap/>
            <w:vAlign w:val="center"/>
          </w:tcPr>
          <w:p w14:paraId="1DB38FE6" w14:textId="77777777" w:rsidR="00881138" w:rsidRPr="00CE6573" w:rsidRDefault="00881138" w:rsidP="00D608D6">
            <w:pPr>
              <w:spacing w:before="60" w:after="60" w:line="240" w:lineRule="auto"/>
              <w:ind w:right="284"/>
              <w:jc w:val="right"/>
              <w:rPr>
                <w:rFonts w:eastAsia="Times New Roman" w:cs="Arial"/>
                <w:color w:val="000000"/>
                <w:sz w:val="18"/>
                <w:szCs w:val="18"/>
                <w:lang w:eastAsia="zh-CN" w:bidi="th-TH"/>
              </w:rPr>
            </w:pPr>
            <w:r w:rsidRPr="00717793">
              <w:rPr>
                <w:rFonts w:eastAsia="Times New Roman" w:cs="Arial"/>
                <w:color w:val="000000"/>
                <w:sz w:val="18"/>
                <w:szCs w:val="18"/>
                <w:lang w:eastAsia="zh-CN" w:bidi="th-TH"/>
              </w:rPr>
              <w:t>$428 million</w:t>
            </w:r>
          </w:p>
        </w:tc>
        <w:tc>
          <w:tcPr>
            <w:tcW w:w="1701" w:type="dxa"/>
            <w:tcBorders>
              <w:top w:val="single" w:sz="6" w:space="0" w:color="B962C8" w:themeColor="accent1" w:themeTint="99"/>
              <w:left w:val="single" w:sz="6" w:space="0" w:color="B962C8" w:themeColor="accent1" w:themeTint="99"/>
              <w:bottom w:val="single" w:sz="6" w:space="0" w:color="B962C8" w:themeColor="accent1" w:themeTint="99"/>
              <w:right w:val="single" w:sz="4" w:space="0" w:color="B962C8" w:themeColor="accent1" w:themeTint="99"/>
            </w:tcBorders>
            <w:shd w:val="clear" w:color="auto" w:fill="E8CAED" w:themeFill="text1" w:themeFillTint="33"/>
            <w:vAlign w:val="center"/>
          </w:tcPr>
          <w:p w14:paraId="0CA42A3F" w14:textId="77777777" w:rsidR="00881138" w:rsidRPr="00CE6573" w:rsidRDefault="00881138">
            <w:pPr>
              <w:spacing w:before="60" w:after="60" w:line="240" w:lineRule="auto"/>
              <w:ind w:right="510"/>
              <w:jc w:val="right"/>
              <w:rPr>
                <w:rFonts w:cs="Arial"/>
                <w:sz w:val="18"/>
                <w:szCs w:val="18"/>
              </w:rPr>
            </w:pPr>
            <w:r>
              <w:rPr>
                <w:rFonts w:cs="Arial"/>
                <w:sz w:val="18"/>
                <w:szCs w:val="18"/>
              </w:rPr>
              <w:t>+</w:t>
            </w:r>
            <w:r w:rsidRPr="00717793">
              <w:rPr>
                <w:rFonts w:cs="Arial"/>
                <w:sz w:val="18"/>
                <w:szCs w:val="18"/>
              </w:rPr>
              <w:t>15%</w:t>
            </w:r>
          </w:p>
        </w:tc>
      </w:tr>
    </w:tbl>
    <w:p w14:paraId="53BC1C2B" w14:textId="72D12DD1" w:rsidR="00881138" w:rsidRPr="00572EF2" w:rsidRDefault="008E731A" w:rsidP="00572EF2">
      <w:pPr>
        <w:pStyle w:val="Footnote"/>
        <w:ind w:left="0" w:firstLine="0"/>
        <w:rPr>
          <w:b/>
          <w:i/>
          <w:sz w:val="16"/>
          <w:szCs w:val="16"/>
        </w:rPr>
      </w:pPr>
      <w:r w:rsidRPr="002F7625">
        <w:rPr>
          <w:b/>
          <w:i/>
          <w:sz w:val="16"/>
          <w:szCs w:val="16"/>
        </w:rPr>
        <w:t>Source: NDIS internal administrative data</w:t>
      </w:r>
    </w:p>
    <w:p w14:paraId="4AEB2F37" w14:textId="101E8B03" w:rsidR="003313BD" w:rsidRPr="00DC7710" w:rsidRDefault="003313BD" w:rsidP="00572EF2">
      <w:pPr>
        <w:spacing w:before="240"/>
        <w:rPr>
          <w:b/>
          <w:u w:val="single"/>
        </w:rPr>
      </w:pPr>
      <w:r w:rsidRPr="00DC7710">
        <w:rPr>
          <w:b/>
          <w:u w:val="single"/>
        </w:rPr>
        <w:t>Participants</w:t>
      </w:r>
    </w:p>
    <w:p w14:paraId="14E4D7B9" w14:textId="5D29F318" w:rsidR="19AAFC2D" w:rsidRDefault="19AAFC2D" w:rsidP="143A29CF">
      <w:pPr>
        <w:rPr>
          <w:rFonts w:cs="Arial"/>
          <w:lang w:eastAsia="en-US" w:bidi="th-TH"/>
        </w:rPr>
      </w:pPr>
      <w:r w:rsidRPr="143A29CF">
        <w:rPr>
          <w:rFonts w:cs="Arial"/>
          <w:lang w:eastAsia="en-US" w:bidi="th-TH"/>
        </w:rPr>
        <w:t>Most of the</w:t>
      </w:r>
      <w:r w:rsidR="00330013">
        <w:rPr>
          <w:rFonts w:cs="Arial"/>
          <w:lang w:eastAsia="en-US" w:bidi="th-TH"/>
        </w:rPr>
        <w:t xml:space="preserve"> 210,909</w:t>
      </w:r>
      <w:r w:rsidRPr="143A29CF">
        <w:rPr>
          <w:rFonts w:cs="Arial"/>
          <w:lang w:eastAsia="en-US" w:bidi="th-TH"/>
        </w:rPr>
        <w:t xml:space="preserve"> participants used Level 2</w:t>
      </w:r>
      <w:r w:rsidR="008D0E37">
        <w:rPr>
          <w:rFonts w:cs="Arial"/>
          <w:lang w:eastAsia="en-US" w:bidi="th-TH"/>
        </w:rPr>
        <w:t>:</w:t>
      </w:r>
      <w:r w:rsidRPr="143A29CF">
        <w:rPr>
          <w:rFonts w:cs="Arial"/>
          <w:lang w:eastAsia="en-US" w:bidi="th-TH"/>
        </w:rPr>
        <w:t xml:space="preserve"> Coordination of Supports (203,847 participants). </w:t>
      </w:r>
      <w:r w:rsidR="795C42BA" w:rsidRPr="143A29CF">
        <w:rPr>
          <w:rFonts w:cs="Arial"/>
          <w:lang w:eastAsia="en-US" w:bidi="th-TH"/>
        </w:rPr>
        <w:t>Th</w:t>
      </w:r>
      <w:r w:rsidRPr="143A29CF">
        <w:rPr>
          <w:rFonts w:cs="Arial"/>
          <w:lang w:eastAsia="en-US" w:bidi="th-TH"/>
        </w:rPr>
        <w:t>e</w:t>
      </w:r>
      <w:r w:rsidR="00313776">
        <w:rPr>
          <w:rFonts w:cs="Arial"/>
          <w:lang w:eastAsia="en-US" w:bidi="th-TH"/>
        </w:rPr>
        <w:t>re were</w:t>
      </w:r>
      <w:r w:rsidRPr="143A29CF">
        <w:rPr>
          <w:rFonts w:cs="Arial"/>
          <w:lang w:eastAsia="en-US" w:bidi="th-TH"/>
        </w:rPr>
        <w:t xml:space="preserve"> 8,446 participants </w:t>
      </w:r>
      <w:r w:rsidR="00313776">
        <w:rPr>
          <w:rFonts w:cs="Arial"/>
          <w:lang w:eastAsia="en-US" w:bidi="th-TH"/>
        </w:rPr>
        <w:t xml:space="preserve">that </w:t>
      </w:r>
      <w:r w:rsidRPr="143A29CF">
        <w:rPr>
          <w:rFonts w:cs="Arial"/>
          <w:lang w:eastAsia="en-US" w:bidi="th-TH"/>
        </w:rPr>
        <w:t>used Level 3 Specialist Support Coordination</w:t>
      </w:r>
      <w:r w:rsidR="003E5D47">
        <w:rPr>
          <w:rFonts w:cs="Arial"/>
          <w:lang w:eastAsia="en-US" w:bidi="th-TH"/>
        </w:rPr>
        <w:t xml:space="preserve"> and </w:t>
      </w:r>
      <w:r w:rsidR="00A7502E">
        <w:rPr>
          <w:rFonts w:cs="Arial"/>
          <w:lang w:eastAsia="en-US" w:bidi="th-TH"/>
        </w:rPr>
        <w:t xml:space="preserve">777 </w:t>
      </w:r>
      <w:r w:rsidR="571F8F82" w:rsidRPr="143A29CF">
        <w:rPr>
          <w:rFonts w:cs="Arial"/>
          <w:lang w:eastAsia="en-US" w:bidi="th-TH"/>
        </w:rPr>
        <w:t xml:space="preserve">participants </w:t>
      </w:r>
      <w:r w:rsidR="00A7502E">
        <w:rPr>
          <w:rFonts w:cs="Arial"/>
          <w:lang w:eastAsia="en-US" w:bidi="th-TH"/>
        </w:rPr>
        <w:t>using</w:t>
      </w:r>
      <w:r w:rsidR="7C76EF84" w:rsidRPr="143A29CF">
        <w:rPr>
          <w:rFonts w:cs="Arial"/>
          <w:lang w:eastAsia="en-US" w:bidi="th-TH"/>
        </w:rPr>
        <w:t xml:space="preserve"> </w:t>
      </w:r>
      <w:r w:rsidR="571F8F82" w:rsidRPr="143A29CF">
        <w:rPr>
          <w:rFonts w:cs="Arial"/>
          <w:lang w:eastAsia="en-US" w:bidi="th-TH"/>
        </w:rPr>
        <w:t>Level 1 Support Connection</w:t>
      </w:r>
      <w:r w:rsidR="7966F776" w:rsidRPr="143A29CF">
        <w:rPr>
          <w:rFonts w:cs="Arial"/>
          <w:lang w:eastAsia="en-US" w:bidi="th-TH"/>
        </w:rPr>
        <w:t xml:space="preserve"> in </w:t>
      </w:r>
      <w:r w:rsidR="00E76B14">
        <w:rPr>
          <w:rFonts w:cs="Arial"/>
          <w:lang w:eastAsia="en-US" w:bidi="th-TH"/>
        </w:rPr>
        <w:t>the six months</w:t>
      </w:r>
      <w:r w:rsidR="00493FEE">
        <w:rPr>
          <w:rFonts w:cs="Arial"/>
          <w:lang w:eastAsia="en-US" w:bidi="th-TH"/>
        </w:rPr>
        <w:t xml:space="preserve"> </w:t>
      </w:r>
      <w:r w:rsidR="00493FEE">
        <w:rPr>
          <w:szCs w:val="22"/>
        </w:rPr>
        <w:t xml:space="preserve">to December </w:t>
      </w:r>
      <w:r w:rsidR="00493FEE">
        <w:rPr>
          <w:rFonts w:cs="Arial"/>
          <w:lang w:eastAsia="en-US" w:bidi="th-TH"/>
        </w:rPr>
        <w:t>2022</w:t>
      </w:r>
      <w:r w:rsidR="00313776">
        <w:rPr>
          <w:rFonts w:cs="Arial"/>
          <w:lang w:eastAsia="en-US" w:bidi="th-TH"/>
        </w:rPr>
        <w:t>,</w:t>
      </w:r>
      <w:r w:rsidR="7966F776" w:rsidRPr="143A29CF">
        <w:rPr>
          <w:rFonts w:cs="Arial"/>
          <w:lang w:eastAsia="en-US" w:bidi="th-TH"/>
        </w:rPr>
        <w:t xml:space="preserve"> as </w:t>
      </w:r>
      <w:r w:rsidR="069728C0" w:rsidRPr="143A29CF">
        <w:rPr>
          <w:rFonts w:cs="Arial"/>
          <w:lang w:eastAsia="en-US" w:bidi="th-TH"/>
        </w:rPr>
        <w:t>shown</w:t>
      </w:r>
      <w:r w:rsidR="7966F776" w:rsidRPr="143A29CF">
        <w:rPr>
          <w:rFonts w:cs="Arial"/>
          <w:lang w:eastAsia="en-US" w:bidi="th-TH"/>
        </w:rPr>
        <w:t xml:space="preserve"> </w:t>
      </w:r>
      <w:r w:rsidR="00313776">
        <w:rPr>
          <w:rFonts w:cs="Arial"/>
          <w:lang w:eastAsia="en-US" w:bidi="th-TH"/>
        </w:rPr>
        <w:t>in</w:t>
      </w:r>
      <w:r w:rsidR="00C829E5">
        <w:rPr>
          <w:rFonts w:cs="Arial"/>
          <w:lang w:eastAsia="en-US" w:bidi="th-TH"/>
        </w:rPr>
        <w:t xml:space="preserve"> </w:t>
      </w:r>
      <w:r w:rsidR="00C829E5">
        <w:rPr>
          <w:rFonts w:cs="Arial"/>
          <w:lang w:eastAsia="en-US" w:bidi="th-TH"/>
        </w:rPr>
        <w:fldChar w:fldCharType="begin"/>
      </w:r>
      <w:r w:rsidR="00C829E5">
        <w:rPr>
          <w:rFonts w:cs="Arial"/>
          <w:lang w:eastAsia="en-US" w:bidi="th-TH"/>
        </w:rPr>
        <w:instrText xml:space="preserve"> REF _Ref134303333 </w:instrText>
      </w:r>
      <w:r w:rsidR="00C829E5">
        <w:rPr>
          <w:rFonts w:cs="Arial"/>
          <w:lang w:eastAsia="en-US" w:bidi="th-TH"/>
        </w:rPr>
        <w:fldChar w:fldCharType="separate"/>
      </w:r>
      <w:r w:rsidR="00D64E4C">
        <w:t xml:space="preserve">Figure </w:t>
      </w:r>
      <w:r w:rsidR="00D64E4C">
        <w:rPr>
          <w:noProof/>
        </w:rPr>
        <w:t>22</w:t>
      </w:r>
      <w:r w:rsidR="00C829E5">
        <w:rPr>
          <w:rFonts w:cs="Arial"/>
          <w:lang w:eastAsia="en-US" w:bidi="th-TH"/>
        </w:rPr>
        <w:fldChar w:fldCharType="end"/>
      </w:r>
      <w:r w:rsidR="00313776">
        <w:rPr>
          <w:rFonts w:cs="Arial"/>
          <w:lang w:eastAsia="en-US" w:bidi="th-TH"/>
        </w:rPr>
        <w:t xml:space="preserve"> </w:t>
      </w:r>
      <w:r w:rsidR="7966F776" w:rsidRPr="143A29CF">
        <w:rPr>
          <w:rFonts w:cs="Arial"/>
          <w:lang w:eastAsia="en-US" w:bidi="th-TH"/>
        </w:rPr>
        <w:t>below.</w:t>
      </w:r>
    </w:p>
    <w:p w14:paraId="243F9743" w14:textId="2AC287F1" w:rsidR="002F3968" w:rsidRPr="008C5226" w:rsidRDefault="00E17344" w:rsidP="008C5226">
      <w:pPr>
        <w:rPr>
          <w:rFonts w:cs="Arial"/>
          <w:lang w:eastAsia="en-US" w:bidi="th-TH"/>
        </w:rPr>
      </w:pPr>
      <w:r>
        <w:rPr>
          <w:rFonts w:cs="Arial"/>
          <w:lang w:eastAsia="en-US" w:bidi="th-TH"/>
        </w:rPr>
        <w:t>Noting</w:t>
      </w:r>
      <w:r w:rsidR="4E41E354" w:rsidRPr="143A29CF">
        <w:rPr>
          <w:rFonts w:cs="Arial"/>
          <w:lang w:eastAsia="en-US" w:bidi="th-TH"/>
        </w:rPr>
        <w:t xml:space="preserve"> one participant can receive multiple levels of </w:t>
      </w:r>
      <w:r>
        <w:rPr>
          <w:rFonts w:cs="Arial"/>
          <w:lang w:eastAsia="en-US" w:bidi="th-TH"/>
        </w:rPr>
        <w:t xml:space="preserve">support </w:t>
      </w:r>
      <w:r w:rsidR="4E41E354" w:rsidRPr="143A29CF">
        <w:rPr>
          <w:rFonts w:cs="Arial"/>
          <w:lang w:eastAsia="en-US" w:bidi="th-TH"/>
        </w:rPr>
        <w:t>coordination</w:t>
      </w:r>
      <w:r w:rsidR="00493FEE">
        <w:rPr>
          <w:rFonts w:cs="Arial"/>
          <w:lang w:eastAsia="en-US" w:bidi="th-TH"/>
        </w:rPr>
        <w:t xml:space="preserve"> </w:t>
      </w:r>
      <w:r w:rsidR="00493FEE" w:rsidRPr="143A29CF">
        <w:rPr>
          <w:rFonts w:cs="Arial"/>
          <w:lang w:eastAsia="en-US" w:bidi="th-TH"/>
        </w:rPr>
        <w:t>at the same time</w:t>
      </w:r>
      <w:r w:rsidR="4E41E354" w:rsidRPr="143A29CF">
        <w:rPr>
          <w:rFonts w:cs="Arial"/>
          <w:lang w:eastAsia="en-US" w:bidi="th-TH"/>
        </w:rPr>
        <w:t>.</w:t>
      </w:r>
    </w:p>
    <w:p w14:paraId="0DD83724" w14:textId="3D747494" w:rsidR="008C5226" w:rsidRDefault="008C5226" w:rsidP="008C5226">
      <w:pPr>
        <w:pStyle w:val="Caption"/>
      </w:pPr>
      <w:bookmarkStart w:id="110" w:name="_Ref134303333"/>
      <w:r>
        <w:t xml:space="preserve">Figure </w:t>
      </w:r>
      <w:r>
        <w:fldChar w:fldCharType="begin"/>
      </w:r>
      <w:r>
        <w:instrText>SEQ Figure \* ARABIC</w:instrText>
      </w:r>
      <w:r>
        <w:fldChar w:fldCharType="separate"/>
      </w:r>
      <w:r w:rsidR="00D64E4C">
        <w:rPr>
          <w:noProof/>
        </w:rPr>
        <w:t>22</w:t>
      </w:r>
      <w:r>
        <w:fldChar w:fldCharType="end"/>
      </w:r>
      <w:bookmarkEnd w:id="110"/>
      <w:r>
        <w:t>: PARTICIPANTS USING SUPPORT COORDINATORS BY LEVELS</w:t>
      </w:r>
    </w:p>
    <w:p w14:paraId="026F3F3D" w14:textId="52E8F3DF" w:rsidR="143A29CF" w:rsidRPr="00572EF2" w:rsidRDefault="00D10F07" w:rsidP="00572EF2">
      <w:pPr>
        <w:jc w:val="center"/>
      </w:pPr>
      <w:r>
        <w:rPr>
          <w:noProof/>
        </w:rPr>
        <w:drawing>
          <wp:inline distT="0" distB="0" distL="0" distR="0" wp14:anchorId="3839ACD5" wp14:editId="65D1D46C">
            <wp:extent cx="2895600" cy="2871470"/>
            <wp:effectExtent l="0" t="0" r="0" b="5080"/>
            <wp:docPr id="39" name="Picture 39" descr="FIGURE 22a: PARTICIPANTS USING SUPPORT COORDINATORS BY LEVELS, July to December 2021&#10;&#10;In the half year ending December 2021 there were 786 using level 1 support coordination, 177,895 participants using level 2 support coordination and 7,177 participants using level 3 specialist support coordin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22a: PARTICIPANTS USING SUPPORT COORDINATORS BY LEVELS, July to December 2021&#10;&#10;In the half year ending December 2021 there were 786 using level 1 support coordination, 177,895 participants using level 2 support coordination and 7,177 participants using level 3 specialist support coordination. "/>
                    <pic:cNvPicPr>
                      <a:picLocks noChangeAspect="1" noChangeArrowheads="1"/>
                    </pic:cNvPicPr>
                  </pic:nvPicPr>
                  <pic:blipFill rotWithShape="1">
                    <a:blip r:embed="rId39">
                      <a:extLst>
                        <a:ext uri="{28A0092B-C50C-407E-A947-70E740481C1C}">
                          <a14:useLocalDpi xmlns:a14="http://schemas.microsoft.com/office/drawing/2010/main" val="0"/>
                        </a:ext>
                      </a:extLst>
                    </a:blip>
                    <a:srcRect l="2801" r="2593"/>
                    <a:stretch/>
                  </pic:blipFill>
                  <pic:spPr bwMode="auto">
                    <a:xfrm>
                      <a:off x="0" y="0"/>
                      <a:ext cx="2895600" cy="2871470"/>
                    </a:xfrm>
                    <a:prstGeom prst="rect">
                      <a:avLst/>
                    </a:prstGeom>
                    <a:noFill/>
                    <a:ln>
                      <a:noFill/>
                    </a:ln>
                    <a:extLst>
                      <a:ext uri="{53640926-AAD7-44D8-BBD7-CCE9431645EC}">
                        <a14:shadowObscured xmlns:a14="http://schemas.microsoft.com/office/drawing/2010/main"/>
                      </a:ext>
                    </a:extLst>
                  </pic:spPr>
                </pic:pic>
              </a:graphicData>
            </a:graphic>
          </wp:inline>
        </w:drawing>
      </w:r>
      <w:r w:rsidR="00C23430" w:rsidRPr="00C23430">
        <w:rPr>
          <w:noProof/>
        </w:rPr>
        <w:t xml:space="preserve"> </w:t>
      </w:r>
      <w:r>
        <w:rPr>
          <w:noProof/>
        </w:rPr>
        <w:drawing>
          <wp:inline distT="0" distB="0" distL="0" distR="0" wp14:anchorId="4244CE0F" wp14:editId="2899CCA8">
            <wp:extent cx="2743200" cy="2877820"/>
            <wp:effectExtent l="0" t="0" r="0" b="0"/>
            <wp:docPr id="38" name="Picture 38" descr="FIGURE 22b: PARTICIPANTS USING SUPPORT COORDINATORS BY LEVELS, July to December 2022&#10;&#10;In the half year ending December 2022 there were 777 using level 1 support coordination (an 1% decline on the same period in 2021), 203,847 participants using level 2 support coordination (an 15% increase on the same period in 2021), and 8,446 participants using level 3 specialist support coordination (an 18% increase on the same period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22b: PARTICIPANTS USING SUPPORT COORDINATORS BY LEVELS, July to December 2022&#10;&#10;In the half year ending December 2022 there were 777 using level 1 support coordination (an 1% decline on the same period in 2021), 203,847 participants using level 2 support coordination (an 15% increase on the same period in 2021), and 8,446 participants using level 3 specialist support coordination (an 18% increase on the same period in 2021).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43200" cy="2877820"/>
                    </a:xfrm>
                    <a:prstGeom prst="rect">
                      <a:avLst/>
                    </a:prstGeom>
                    <a:noFill/>
                  </pic:spPr>
                </pic:pic>
              </a:graphicData>
            </a:graphic>
          </wp:inline>
        </w:drawing>
      </w:r>
    </w:p>
    <w:p w14:paraId="042853DA" w14:textId="6826D909" w:rsidR="0F3D0D9F" w:rsidRPr="00572EF2" w:rsidRDefault="00727278" w:rsidP="0F3D0D9F">
      <w:pPr>
        <w:rPr>
          <w:b/>
          <w:bCs/>
          <w:u w:val="single"/>
        </w:rPr>
      </w:pPr>
      <w:r w:rsidRPr="0F3D0D9F">
        <w:rPr>
          <w:rFonts w:cs="Arial"/>
          <w:lang w:eastAsia="en-US" w:bidi="th-TH"/>
        </w:rPr>
        <w:t xml:space="preserve">During the period between </w:t>
      </w:r>
      <w:r w:rsidR="00BE6190" w:rsidRPr="0F3D0D9F">
        <w:rPr>
          <w:rFonts w:cs="Arial"/>
          <w:lang w:eastAsia="en-US" w:bidi="th-TH"/>
        </w:rPr>
        <w:t>December</w:t>
      </w:r>
      <w:r w:rsidRPr="0F3D0D9F">
        <w:rPr>
          <w:rFonts w:cs="Arial"/>
          <w:lang w:eastAsia="en-US" w:bidi="th-TH"/>
        </w:rPr>
        <w:t xml:space="preserve"> 2020 </w:t>
      </w:r>
      <w:r w:rsidR="00BE6190" w:rsidRPr="0F3D0D9F">
        <w:rPr>
          <w:rFonts w:cs="Arial"/>
          <w:lang w:eastAsia="en-US" w:bidi="th-TH"/>
        </w:rPr>
        <w:t xml:space="preserve">quarter </w:t>
      </w:r>
      <w:r w:rsidRPr="0F3D0D9F">
        <w:rPr>
          <w:rFonts w:cs="Arial"/>
          <w:lang w:eastAsia="en-US" w:bidi="th-TH"/>
        </w:rPr>
        <w:t>to December 2022</w:t>
      </w:r>
      <w:r w:rsidR="00BE6190" w:rsidRPr="0F3D0D9F">
        <w:rPr>
          <w:rFonts w:cs="Arial"/>
          <w:lang w:eastAsia="en-US" w:bidi="th-TH"/>
        </w:rPr>
        <w:t xml:space="preserve"> quarter</w:t>
      </w:r>
      <w:r w:rsidRPr="0F3D0D9F">
        <w:rPr>
          <w:rFonts w:cs="Arial"/>
          <w:lang w:eastAsia="en-US" w:bidi="th-TH"/>
        </w:rPr>
        <w:t xml:space="preserve">, </w:t>
      </w:r>
      <w:r w:rsidR="00B70F36" w:rsidRPr="143A29CF">
        <w:rPr>
          <w:rFonts w:cs="Arial"/>
          <w:lang w:eastAsia="en-US" w:bidi="th-TH"/>
        </w:rPr>
        <w:t>the number of participants</w:t>
      </w:r>
      <w:r w:rsidR="00AD24D4">
        <w:rPr>
          <w:rFonts w:cs="Arial"/>
          <w:lang w:eastAsia="en-US" w:bidi="th-TH"/>
        </w:rPr>
        <w:t xml:space="preserve"> </w:t>
      </w:r>
      <w:r w:rsidR="00B70F36" w:rsidRPr="143A29CF">
        <w:rPr>
          <w:rFonts w:cs="Arial"/>
          <w:lang w:eastAsia="en-US" w:bidi="th-TH"/>
        </w:rPr>
        <w:t>being supported by support coordinators increased from</w:t>
      </w:r>
      <w:r w:rsidR="00F24B1F" w:rsidRPr="143A29CF">
        <w:rPr>
          <w:rFonts w:cs="Arial"/>
          <w:lang w:eastAsia="en-US" w:bidi="th-TH"/>
        </w:rPr>
        <w:t xml:space="preserve"> 138,</w:t>
      </w:r>
      <w:r w:rsidR="00493FEE">
        <w:rPr>
          <w:rFonts w:cs="Arial"/>
          <w:lang w:eastAsia="en-US" w:bidi="th-TH"/>
        </w:rPr>
        <w:t>665</w:t>
      </w:r>
      <w:r w:rsidR="002B475C" w:rsidRPr="143A29CF">
        <w:rPr>
          <w:rFonts w:cs="Arial"/>
          <w:lang w:eastAsia="en-US" w:bidi="th-TH"/>
        </w:rPr>
        <w:t xml:space="preserve"> to </w:t>
      </w:r>
      <w:r w:rsidR="00493FEE">
        <w:rPr>
          <w:rFonts w:cs="Arial"/>
          <w:lang w:eastAsia="en-US" w:bidi="th-TH"/>
        </w:rPr>
        <w:t>196</w:t>
      </w:r>
      <w:r w:rsidR="00493FEE" w:rsidRPr="143A29CF">
        <w:rPr>
          <w:rFonts w:cs="Arial"/>
          <w:lang w:eastAsia="en-US" w:bidi="th-TH"/>
        </w:rPr>
        <w:t>,</w:t>
      </w:r>
      <w:r w:rsidR="00493FEE">
        <w:rPr>
          <w:rFonts w:cs="Arial"/>
          <w:lang w:eastAsia="en-US" w:bidi="th-TH"/>
        </w:rPr>
        <w:t>328</w:t>
      </w:r>
      <w:r w:rsidR="00B70F36" w:rsidRPr="143A29CF">
        <w:rPr>
          <w:rFonts w:cs="Arial"/>
          <w:lang w:eastAsia="en-US" w:bidi="th-TH"/>
        </w:rPr>
        <w:t xml:space="preserve"> – a quarterly average increase of </w:t>
      </w:r>
      <w:r w:rsidR="00941A80" w:rsidRPr="143A29CF">
        <w:rPr>
          <w:rFonts w:cs="Arial"/>
          <w:lang w:eastAsia="en-US" w:bidi="th-TH"/>
        </w:rPr>
        <w:t>4.5</w:t>
      </w:r>
      <w:r w:rsidR="00493FEE">
        <w:rPr>
          <w:rFonts w:cs="Arial"/>
          <w:lang w:eastAsia="en-US" w:bidi="th-TH"/>
        </w:rPr>
        <w:t>%</w:t>
      </w:r>
      <w:r w:rsidR="00493FEE" w:rsidRPr="143A29CF">
        <w:rPr>
          <w:rFonts w:cs="Arial"/>
          <w:lang w:eastAsia="en-US" w:bidi="th-TH"/>
        </w:rPr>
        <w:t>.</w:t>
      </w:r>
      <w:r w:rsidR="00AD24D4">
        <w:rPr>
          <w:rFonts w:cs="Arial"/>
          <w:lang w:eastAsia="en-US" w:bidi="th-TH"/>
        </w:rPr>
        <w:t xml:space="preserve"> This is based on</w:t>
      </w:r>
      <w:r w:rsidR="00AD24D4" w:rsidRPr="143A29CF">
        <w:rPr>
          <w:rFonts w:cs="Arial"/>
          <w:lang w:eastAsia="en-US" w:bidi="th-TH"/>
        </w:rPr>
        <w:t xml:space="preserve"> </w:t>
      </w:r>
      <w:r w:rsidR="00AD24D4">
        <w:rPr>
          <w:rFonts w:cs="Arial"/>
          <w:lang w:eastAsia="en-US" w:bidi="th-TH"/>
        </w:rPr>
        <w:t xml:space="preserve">active claiming </w:t>
      </w:r>
      <w:r w:rsidR="007416BC">
        <w:rPr>
          <w:rFonts w:cs="Arial"/>
          <w:lang w:eastAsia="en-US" w:bidi="th-TH"/>
        </w:rPr>
        <w:t>in each</w:t>
      </w:r>
      <w:r w:rsidR="00AD24D4">
        <w:rPr>
          <w:rFonts w:cs="Arial"/>
          <w:lang w:eastAsia="en-US" w:bidi="th-TH"/>
        </w:rPr>
        <w:t xml:space="preserve"> quarter.</w:t>
      </w:r>
      <w:r w:rsidR="00044A2A">
        <w:rPr>
          <w:rFonts w:cs="Arial"/>
          <w:lang w:eastAsia="en-US" w:bidi="th-TH"/>
        </w:rPr>
        <w:t xml:space="preserve"> </w:t>
      </w:r>
    </w:p>
    <w:p w14:paraId="620A53AF" w14:textId="55AED1B9" w:rsidR="7A0640CF" w:rsidRDefault="1ACD6A75" w:rsidP="00572EF2">
      <w:pPr>
        <w:spacing w:before="240"/>
        <w:rPr>
          <w:b/>
          <w:bCs/>
          <w:u w:val="single"/>
        </w:rPr>
      </w:pPr>
      <w:r w:rsidRPr="0F3D0D9F">
        <w:rPr>
          <w:b/>
          <w:bCs/>
          <w:u w:val="single"/>
        </w:rPr>
        <w:t>Providers</w:t>
      </w:r>
    </w:p>
    <w:p w14:paraId="271812D3" w14:textId="18FA4FED" w:rsidR="7A0640CF" w:rsidRDefault="4E1A0950" w:rsidP="7A0640CF">
      <w:pPr>
        <w:rPr>
          <w:rFonts w:cs="Arial"/>
          <w:lang w:eastAsia="en-US" w:bidi="th-TH"/>
        </w:rPr>
      </w:pPr>
      <w:r w:rsidRPr="0F3D0D9F">
        <w:rPr>
          <w:rFonts w:cs="Arial"/>
          <w:lang w:eastAsia="en-US" w:bidi="th-TH"/>
        </w:rPr>
        <w:t>T</w:t>
      </w:r>
      <w:r w:rsidR="56563060" w:rsidRPr="0F3D0D9F">
        <w:rPr>
          <w:rFonts w:cs="Arial"/>
          <w:lang w:eastAsia="en-US" w:bidi="th-TH"/>
        </w:rPr>
        <w:t>he</w:t>
      </w:r>
      <w:r w:rsidR="355B643C" w:rsidRPr="091CB366">
        <w:rPr>
          <w:rFonts w:cs="Arial"/>
          <w:lang w:eastAsia="en-US" w:bidi="th-TH"/>
        </w:rPr>
        <w:t xml:space="preserve"> number of </w:t>
      </w:r>
      <w:r w:rsidR="705F22D7" w:rsidRPr="091CB366">
        <w:rPr>
          <w:rFonts w:cs="Arial"/>
          <w:lang w:eastAsia="en-US" w:bidi="th-TH"/>
        </w:rPr>
        <w:t xml:space="preserve">unique </w:t>
      </w:r>
      <w:r w:rsidR="287EB434" w:rsidRPr="091CB366">
        <w:rPr>
          <w:rFonts w:cs="Arial"/>
          <w:lang w:eastAsia="en-US" w:bidi="th-TH"/>
        </w:rPr>
        <w:t>providers delivering</w:t>
      </w:r>
      <w:r w:rsidR="6E4037E8" w:rsidRPr="091CB366">
        <w:rPr>
          <w:rFonts w:cs="Arial"/>
          <w:lang w:eastAsia="en-US" w:bidi="th-TH"/>
        </w:rPr>
        <w:t xml:space="preserve"> </w:t>
      </w:r>
      <w:r w:rsidR="355B643C" w:rsidRPr="091CB366">
        <w:rPr>
          <w:rFonts w:cs="Arial"/>
          <w:lang w:eastAsia="en-US" w:bidi="th-TH"/>
        </w:rPr>
        <w:t>support coordinat</w:t>
      </w:r>
      <w:r w:rsidR="287EB434" w:rsidRPr="091CB366">
        <w:rPr>
          <w:rFonts w:cs="Arial"/>
          <w:lang w:eastAsia="en-US" w:bidi="th-TH"/>
        </w:rPr>
        <w:t>ion</w:t>
      </w:r>
      <w:r w:rsidR="355B643C" w:rsidRPr="091CB366">
        <w:rPr>
          <w:rFonts w:cs="Arial"/>
          <w:lang w:eastAsia="en-US" w:bidi="th-TH"/>
        </w:rPr>
        <w:t xml:space="preserve"> </w:t>
      </w:r>
      <w:r w:rsidR="287EB434" w:rsidRPr="091CB366">
        <w:rPr>
          <w:rFonts w:cs="Arial"/>
          <w:lang w:eastAsia="en-US" w:bidi="th-TH"/>
        </w:rPr>
        <w:t xml:space="preserve">supports </w:t>
      </w:r>
      <w:r w:rsidR="355B643C" w:rsidRPr="091CB366">
        <w:rPr>
          <w:rFonts w:cs="Arial"/>
          <w:lang w:eastAsia="en-US" w:bidi="th-TH"/>
        </w:rPr>
        <w:t>increased from 2,</w:t>
      </w:r>
      <w:r w:rsidR="4CA3B495" w:rsidRPr="091CB366">
        <w:rPr>
          <w:rFonts w:cs="Arial"/>
          <w:lang w:eastAsia="en-US" w:bidi="th-TH"/>
        </w:rPr>
        <w:t>998</w:t>
      </w:r>
      <w:r w:rsidR="355B643C" w:rsidRPr="091CB366">
        <w:rPr>
          <w:rFonts w:cs="Arial"/>
          <w:lang w:eastAsia="en-US" w:bidi="th-TH"/>
        </w:rPr>
        <w:t xml:space="preserve"> </w:t>
      </w:r>
      <w:r w:rsidR="1850B44F" w:rsidRPr="091CB366">
        <w:rPr>
          <w:rFonts w:cs="Arial"/>
          <w:lang w:eastAsia="en-US" w:bidi="th-TH"/>
        </w:rPr>
        <w:t>in the six months to</w:t>
      </w:r>
      <w:r w:rsidR="45B43E6B" w:rsidRPr="091CB366">
        <w:rPr>
          <w:rFonts w:cs="Arial"/>
          <w:lang w:eastAsia="en-US" w:bidi="th-TH"/>
        </w:rPr>
        <w:t xml:space="preserve"> </w:t>
      </w:r>
      <w:r w:rsidR="355B643C" w:rsidRPr="091CB366">
        <w:rPr>
          <w:rFonts w:cs="Arial"/>
          <w:lang w:eastAsia="en-US" w:bidi="th-TH"/>
        </w:rPr>
        <w:t xml:space="preserve">December 2020 to </w:t>
      </w:r>
      <w:r w:rsidR="68CFC69E" w:rsidRPr="34BE3095">
        <w:rPr>
          <w:rFonts w:cs="Arial"/>
          <w:lang w:eastAsia="en-US" w:bidi="th-TH"/>
        </w:rPr>
        <w:t>7</w:t>
      </w:r>
      <w:r w:rsidR="3862C003" w:rsidRPr="6286AE60">
        <w:rPr>
          <w:rFonts w:cs="Arial"/>
          <w:lang w:eastAsia="en-US" w:bidi="th-TH"/>
        </w:rPr>
        <w:t>,</w:t>
      </w:r>
      <w:r w:rsidR="1A03CD7C" w:rsidRPr="091CB366">
        <w:rPr>
          <w:rFonts w:cs="Arial"/>
          <w:lang w:eastAsia="en-US" w:bidi="th-TH"/>
        </w:rPr>
        <w:t>023</w:t>
      </w:r>
      <w:r w:rsidR="355B643C" w:rsidRPr="091CB366">
        <w:rPr>
          <w:rFonts w:cs="Arial"/>
          <w:lang w:eastAsia="en-US" w:bidi="th-TH"/>
        </w:rPr>
        <w:t xml:space="preserve"> </w:t>
      </w:r>
      <w:r w:rsidR="1E28EB7A" w:rsidRPr="091CB366">
        <w:rPr>
          <w:rFonts w:cs="Arial"/>
          <w:lang w:eastAsia="en-US" w:bidi="th-TH"/>
        </w:rPr>
        <w:t xml:space="preserve">in the six months to </w:t>
      </w:r>
      <w:r w:rsidR="355B643C" w:rsidRPr="091CB366">
        <w:rPr>
          <w:rFonts w:cs="Arial"/>
          <w:lang w:eastAsia="en-US" w:bidi="th-TH"/>
        </w:rPr>
        <w:t xml:space="preserve">December 2022, an overall </w:t>
      </w:r>
      <w:r w:rsidR="00F07184" w:rsidRPr="6286AE60" w:rsidDel="4C207303">
        <w:rPr>
          <w:rFonts w:cs="Arial"/>
          <w:lang w:eastAsia="en-US" w:bidi="th-TH"/>
        </w:rPr>
        <w:t>six</w:t>
      </w:r>
      <w:r w:rsidR="4C207303" w:rsidRPr="6286AE60">
        <w:rPr>
          <w:rFonts w:cs="Arial"/>
          <w:lang w:eastAsia="en-US" w:bidi="th-TH"/>
        </w:rPr>
        <w:t>-month</w:t>
      </w:r>
      <w:r w:rsidR="355B643C" w:rsidRPr="091CB366">
        <w:rPr>
          <w:rFonts w:cs="Arial"/>
          <w:lang w:eastAsia="en-US" w:bidi="th-TH"/>
        </w:rPr>
        <w:t xml:space="preserve"> average increase of </w:t>
      </w:r>
      <w:r w:rsidR="3D785688" w:rsidRPr="6EF63CE7">
        <w:rPr>
          <w:rFonts w:cs="Arial"/>
          <w:lang w:eastAsia="en-US" w:bidi="th-TH"/>
        </w:rPr>
        <w:t>24</w:t>
      </w:r>
      <w:r w:rsidR="355B643C" w:rsidRPr="091CB366">
        <w:rPr>
          <w:rFonts w:cs="Arial"/>
          <w:lang w:eastAsia="en-US" w:bidi="th-TH"/>
        </w:rPr>
        <w:t xml:space="preserve">%. </w:t>
      </w:r>
      <w:r w:rsidR="08E4EB4A" w:rsidRPr="091CB366">
        <w:rPr>
          <w:rFonts w:cs="Arial"/>
          <w:lang w:eastAsia="en-US" w:bidi="th-TH"/>
        </w:rPr>
        <w:t xml:space="preserve">This </w:t>
      </w:r>
      <w:r w:rsidR="00CC3965">
        <w:rPr>
          <w:rFonts w:cs="Arial"/>
          <w:lang w:eastAsia="en-US" w:bidi="th-TH"/>
        </w:rPr>
        <w:t xml:space="preserve">represents </w:t>
      </w:r>
      <w:r w:rsidR="08E4EB4A" w:rsidRPr="091CB366">
        <w:rPr>
          <w:rFonts w:cs="Arial"/>
          <w:lang w:eastAsia="en-US" w:bidi="th-TH"/>
        </w:rPr>
        <w:t xml:space="preserve">providers who have claimed for </w:t>
      </w:r>
      <w:r w:rsidR="164133BF" w:rsidRPr="091CB366">
        <w:rPr>
          <w:rFonts w:cs="Arial"/>
          <w:lang w:eastAsia="en-US" w:bidi="th-TH"/>
        </w:rPr>
        <w:t>support coordination supports (including capacity building and training support and provider travel items</w:t>
      </w:r>
      <w:r w:rsidR="32763874" w:rsidRPr="34BE3095">
        <w:rPr>
          <w:rFonts w:cs="Arial"/>
          <w:lang w:eastAsia="en-US" w:bidi="th-TH"/>
        </w:rPr>
        <w:t>.</w:t>
      </w:r>
      <w:r w:rsidR="00F07184" w:rsidRPr="091CB366" w:rsidDel="164133BF">
        <w:rPr>
          <w:rFonts w:cs="Arial"/>
          <w:lang w:eastAsia="en-US" w:bidi="th-TH"/>
        </w:rPr>
        <w:t xml:space="preserve"> </w:t>
      </w:r>
      <w:r w:rsidR="73D6E8B8" w:rsidRPr="6FCC974B">
        <w:rPr>
          <w:rFonts w:cs="Arial"/>
          <w:lang w:eastAsia="en-US" w:bidi="th-TH"/>
        </w:rPr>
        <w:t>As</w:t>
      </w:r>
      <w:r w:rsidR="29BC809C" w:rsidRPr="091CB366">
        <w:rPr>
          <w:rFonts w:cs="Arial"/>
          <w:lang w:eastAsia="en-US" w:bidi="th-TH"/>
        </w:rPr>
        <w:t xml:space="preserve"> </w:t>
      </w:r>
      <w:r w:rsidR="3617F21F" w:rsidRPr="091CB366">
        <w:rPr>
          <w:rFonts w:cs="Arial"/>
          <w:lang w:eastAsia="en-US" w:bidi="th-TH"/>
        </w:rPr>
        <w:t>shown in</w:t>
      </w:r>
      <w:r w:rsidR="001124A0">
        <w:rPr>
          <w:rFonts w:cs="Arial"/>
          <w:lang w:eastAsia="en-US" w:bidi="th-TH"/>
        </w:rPr>
        <w:t xml:space="preserve"> </w:t>
      </w:r>
      <w:r w:rsidR="001124A0">
        <w:rPr>
          <w:rFonts w:cs="Arial"/>
          <w:lang w:eastAsia="en-US" w:bidi="th-TH"/>
        </w:rPr>
        <w:fldChar w:fldCharType="begin"/>
      </w:r>
      <w:r w:rsidR="001124A0">
        <w:rPr>
          <w:rFonts w:cs="Arial"/>
          <w:lang w:eastAsia="en-US" w:bidi="th-TH"/>
        </w:rPr>
        <w:instrText xml:space="preserve"> REF _Ref135258706 \h </w:instrText>
      </w:r>
      <w:r w:rsidR="001124A0">
        <w:rPr>
          <w:rFonts w:cs="Arial"/>
          <w:lang w:eastAsia="en-US" w:bidi="th-TH"/>
        </w:rPr>
      </w:r>
      <w:r w:rsidR="001124A0">
        <w:rPr>
          <w:rFonts w:cs="Arial"/>
          <w:lang w:eastAsia="en-US" w:bidi="th-TH"/>
        </w:rPr>
        <w:fldChar w:fldCharType="separate"/>
      </w:r>
      <w:r w:rsidR="00D64E4C">
        <w:t xml:space="preserve">Figure </w:t>
      </w:r>
      <w:r w:rsidR="00D64E4C">
        <w:rPr>
          <w:noProof/>
        </w:rPr>
        <w:t>23</w:t>
      </w:r>
      <w:r w:rsidR="001124A0">
        <w:rPr>
          <w:rFonts w:cs="Arial"/>
          <w:lang w:eastAsia="en-US" w:bidi="th-TH"/>
        </w:rPr>
        <w:fldChar w:fldCharType="end"/>
      </w:r>
      <w:r w:rsidR="2F359CC7" w:rsidRPr="6EF63CE7">
        <w:rPr>
          <w:noProof/>
        </w:rPr>
        <w:t>,</w:t>
      </w:r>
      <w:r w:rsidR="25728783" w:rsidRPr="6EF63CE7">
        <w:rPr>
          <w:rFonts w:cs="Arial"/>
          <w:lang w:eastAsia="en-US" w:bidi="th-TH"/>
        </w:rPr>
        <w:t xml:space="preserve"> </w:t>
      </w:r>
      <w:r w:rsidR="0AA66FF7" w:rsidRPr="6EF63CE7">
        <w:rPr>
          <w:rFonts w:cs="Arial"/>
          <w:lang w:eastAsia="en-US" w:bidi="th-TH"/>
        </w:rPr>
        <w:t>results</w:t>
      </w:r>
      <w:r w:rsidR="1BF13890" w:rsidRPr="091CB366">
        <w:rPr>
          <w:rFonts w:cs="Arial"/>
          <w:lang w:eastAsia="en-US" w:bidi="th-TH"/>
        </w:rPr>
        <w:t xml:space="preserve"> suggest that the number of support coordinators has been increasing over</w:t>
      </w:r>
      <w:r w:rsidR="00AF67E5">
        <w:rPr>
          <w:rFonts w:cs="Arial"/>
          <w:lang w:eastAsia="en-US" w:bidi="th-TH"/>
        </w:rPr>
        <w:t xml:space="preserve"> </w:t>
      </w:r>
      <w:r w:rsidR="1BF13890" w:rsidRPr="091CB366">
        <w:rPr>
          <w:rFonts w:cs="Arial"/>
          <w:lang w:eastAsia="en-US" w:bidi="th-TH"/>
        </w:rPr>
        <w:t>time.</w:t>
      </w:r>
      <w:r w:rsidR="00635674">
        <w:rPr>
          <w:rFonts w:cs="Arial"/>
          <w:lang w:eastAsia="en-US" w:bidi="th-TH"/>
        </w:rPr>
        <w:t xml:space="preserve"> </w:t>
      </w:r>
      <w:r w:rsidR="00635674">
        <w:t>D</w:t>
      </w:r>
      <w:r w:rsidR="00635674" w:rsidRPr="00D76C04">
        <w:t xml:space="preserve">espite the ratio of registered </w:t>
      </w:r>
      <w:r w:rsidR="00635674">
        <w:t xml:space="preserve">providers </w:t>
      </w:r>
      <w:r w:rsidR="00635674" w:rsidRPr="00D76C04">
        <w:t>to total number of providers dropping from 71% to 49%</w:t>
      </w:r>
      <w:r w:rsidR="00635674">
        <w:t>, r</w:t>
      </w:r>
      <w:r w:rsidR="00635674" w:rsidRPr="00D76C04">
        <w:t xml:space="preserve">egistered providers </w:t>
      </w:r>
      <w:r w:rsidR="00635674">
        <w:t xml:space="preserve">delivering </w:t>
      </w:r>
      <w:r w:rsidR="0049595E">
        <w:t>support coordination</w:t>
      </w:r>
      <w:r w:rsidR="00635674">
        <w:t xml:space="preserve"> supports still </w:t>
      </w:r>
      <w:r w:rsidR="00635674" w:rsidRPr="00011524">
        <w:t>make close to 90% of total cost of claims</w:t>
      </w:r>
      <w:r w:rsidR="00635674" w:rsidRPr="00632CDE">
        <w:t xml:space="preserve"> </w:t>
      </w:r>
      <w:r w:rsidR="00635674">
        <w:t xml:space="preserve">for </w:t>
      </w:r>
      <w:r w:rsidR="0049595E">
        <w:t>support coordination</w:t>
      </w:r>
      <w:r w:rsidR="00635674">
        <w:t xml:space="preserve"> supports.</w:t>
      </w:r>
    </w:p>
    <w:p w14:paraId="4499F7D1" w14:textId="45ED8D36" w:rsidR="6E82B2DD" w:rsidRDefault="048DF3C2" w:rsidP="69D6E469">
      <w:pPr>
        <w:pStyle w:val="Caption"/>
      </w:pPr>
      <w:bookmarkStart w:id="111" w:name="_Ref135258706"/>
      <w:r>
        <w:lastRenderedPageBreak/>
        <w:t xml:space="preserve">Figure </w:t>
      </w:r>
      <w:r w:rsidR="6E82B2DD">
        <w:fldChar w:fldCharType="begin"/>
      </w:r>
      <w:r w:rsidR="6E82B2DD">
        <w:instrText>SEQ Figure \* ARABIC</w:instrText>
      </w:r>
      <w:r w:rsidR="6E82B2DD">
        <w:fldChar w:fldCharType="separate"/>
      </w:r>
      <w:r w:rsidR="00D64E4C">
        <w:rPr>
          <w:noProof/>
        </w:rPr>
        <w:t>23</w:t>
      </w:r>
      <w:r w:rsidR="6E82B2DD">
        <w:fldChar w:fldCharType="end"/>
      </w:r>
      <w:bookmarkEnd w:id="111"/>
      <w:r>
        <w:t xml:space="preserve">: </w:t>
      </w:r>
      <w:r w:rsidR="1E835A79">
        <w:t>D</w:t>
      </w:r>
      <w:r w:rsidR="00C3C3AF">
        <w:t>ISTRIBUTION OF PARTICIPANTS AND PROVIDERS CLAIMING SUPPORT COORDINATION SUPPORTS, DECEMBER</w:t>
      </w:r>
      <w:r w:rsidR="4D47650C">
        <w:t xml:space="preserve"> </w:t>
      </w:r>
      <w:r>
        <w:t>2020 – DECEMBER 2022</w:t>
      </w:r>
    </w:p>
    <w:p w14:paraId="7A35C21A" w14:textId="54013D9E" w:rsidR="6E82B2DD" w:rsidRDefault="006B769A" w:rsidP="69D6E469">
      <w:r>
        <w:rPr>
          <w:noProof/>
        </w:rPr>
        <w:drawing>
          <wp:inline distT="0" distB="0" distL="0" distR="0" wp14:anchorId="19CDDBB1" wp14:editId="354F5717">
            <wp:extent cx="5724525" cy="2707005"/>
            <wp:effectExtent l="0" t="0" r="9525" b="0"/>
            <wp:docPr id="23" name="Picture 23" descr="FIGURE 23: DISTRIBUTION OF PARTICIPANTS AND PROVIDERS CLAIMING SUPPORT COORDINATION SUPPORTS, DECEMBER 2020 – DECEMBER 2022&#10;&#10;There has been a steady rise in the number of support coordinator providers providing services to NDIS participants since December 2020. The number of support coordinator providers has risen from roughly 3000 in December 2020 to roughly 7000 in December 2022, more than doubling over the period. The number of participants receiving support coordination services has not risen as fast as the number of support coordinator providers. The number of participants receiving support coordination has risen from roughly 149,000 in December 2020 to 211,000 in December 2022, a growth of 42% over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3: DISTRIBUTION OF PARTICIPANTS AND PROVIDERS CLAIMING SUPPORT COORDINATION SUPPORTS, DECEMBER 2020 – DECEMBER 2022&#10;&#10;There has been a steady rise in the number of support coordinator providers providing services to NDIS participants since December 2020. The number of support coordinator providers has risen from roughly 3000 in December 2020 to roughly 7000 in December 2022, more than doubling over the period. The number of participants receiving support coordination services has not risen as fast as the number of support coordinator providers. The number of participants receiving support coordination has risen from roughly 149,000 in December 2020 to 211,000 in December 2022, a growth of 42% over the period.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525" cy="2707005"/>
                    </a:xfrm>
                    <a:prstGeom prst="rect">
                      <a:avLst/>
                    </a:prstGeom>
                    <a:noFill/>
                  </pic:spPr>
                </pic:pic>
              </a:graphicData>
            </a:graphic>
          </wp:inline>
        </w:drawing>
      </w:r>
    </w:p>
    <w:p w14:paraId="297B85C9" w14:textId="45833450" w:rsidR="00A93129" w:rsidRDefault="00DD01AE" w:rsidP="003F1401">
      <w:pPr>
        <w:rPr>
          <w:rFonts w:cs="Arial"/>
          <w:lang w:eastAsia="en-US" w:bidi="th-TH"/>
        </w:rPr>
      </w:pPr>
      <w:r w:rsidRPr="24862EB2">
        <w:rPr>
          <w:rFonts w:cs="Arial"/>
          <w:lang w:eastAsia="en-US" w:bidi="th-TH"/>
        </w:rPr>
        <w:fldChar w:fldCharType="begin"/>
      </w:r>
      <w:r w:rsidRPr="24862EB2">
        <w:rPr>
          <w:rFonts w:cs="Arial"/>
          <w:lang w:eastAsia="en-US" w:bidi="th-TH"/>
        </w:rPr>
        <w:instrText xml:space="preserve"> REF _Ref134303359 </w:instrText>
      </w:r>
      <w:r w:rsidRPr="24862EB2">
        <w:rPr>
          <w:rFonts w:cs="Arial"/>
          <w:lang w:eastAsia="en-US" w:bidi="th-TH"/>
        </w:rPr>
        <w:fldChar w:fldCharType="separate"/>
      </w:r>
      <w:r w:rsidR="00D64E4C">
        <w:t xml:space="preserve">Figure </w:t>
      </w:r>
      <w:r w:rsidR="00D64E4C">
        <w:rPr>
          <w:noProof/>
        </w:rPr>
        <w:t>24</w:t>
      </w:r>
      <w:r w:rsidRPr="24862EB2">
        <w:rPr>
          <w:rFonts w:cs="Arial"/>
          <w:lang w:eastAsia="en-US" w:bidi="th-TH"/>
        </w:rPr>
        <w:fldChar w:fldCharType="end"/>
      </w:r>
      <w:r w:rsidR="671A1208" w:rsidRPr="24862EB2">
        <w:rPr>
          <w:rFonts w:cs="Arial"/>
          <w:lang w:eastAsia="en-US" w:bidi="th-TH"/>
        </w:rPr>
        <w:t xml:space="preserve"> </w:t>
      </w:r>
      <w:r w:rsidR="392DCDBE" w:rsidRPr="24862EB2">
        <w:rPr>
          <w:rFonts w:cs="Arial"/>
          <w:lang w:eastAsia="en-US" w:bidi="th-TH"/>
        </w:rPr>
        <w:t>shows the split of providers delivering different levels of support coordination supports. Please note there is potential for a provider to appear in multiple categories</w:t>
      </w:r>
      <w:r w:rsidR="5A45931C" w:rsidRPr="24862EB2">
        <w:rPr>
          <w:rFonts w:cs="Arial"/>
          <w:lang w:eastAsia="en-US" w:bidi="th-TH"/>
        </w:rPr>
        <w:t>, that is</w:t>
      </w:r>
      <w:r w:rsidR="392DCDBE" w:rsidRPr="24862EB2">
        <w:rPr>
          <w:rFonts w:cs="Arial"/>
          <w:lang w:eastAsia="en-US" w:bidi="th-TH"/>
        </w:rPr>
        <w:t xml:space="preserve"> providers can deliver different levels of support coordination in the same </w:t>
      </w:r>
      <w:bookmarkStart w:id="112" w:name="_Int_yUKWNvOE"/>
      <w:proofErr w:type="gramStart"/>
      <w:r w:rsidR="392DCDBE" w:rsidRPr="24862EB2">
        <w:rPr>
          <w:rFonts w:cs="Arial"/>
          <w:lang w:eastAsia="en-US" w:bidi="th-TH"/>
        </w:rPr>
        <w:t>period of time</w:t>
      </w:r>
      <w:bookmarkEnd w:id="112"/>
      <w:proofErr w:type="gramEnd"/>
      <w:r w:rsidR="392DCDBE" w:rsidRPr="24862EB2">
        <w:rPr>
          <w:rFonts w:cs="Arial"/>
          <w:lang w:eastAsia="en-US" w:bidi="th-TH"/>
        </w:rPr>
        <w:t>.</w:t>
      </w:r>
      <w:r w:rsidR="3ABE5713" w:rsidRPr="24862EB2">
        <w:rPr>
          <w:rFonts w:cs="Arial"/>
          <w:lang w:eastAsia="en-US" w:bidi="th-TH"/>
        </w:rPr>
        <w:t xml:space="preserve"> </w:t>
      </w:r>
    </w:p>
    <w:p w14:paraId="3D4B1634" w14:textId="51B31D85" w:rsidR="5012D73C" w:rsidRDefault="6418F102" w:rsidP="5DF8CBA4">
      <w:pPr>
        <w:rPr>
          <w:rFonts w:cs="Arial"/>
          <w:lang w:eastAsia="en-US" w:bidi="th-TH"/>
        </w:rPr>
      </w:pPr>
      <w:r w:rsidRPr="24862EB2">
        <w:rPr>
          <w:rFonts w:cs="Arial"/>
          <w:lang w:eastAsia="en-US" w:bidi="th-TH"/>
        </w:rPr>
        <w:t xml:space="preserve">Providers </w:t>
      </w:r>
      <w:r w:rsidR="41C76850" w:rsidRPr="24862EB2">
        <w:rPr>
          <w:rFonts w:cs="Arial"/>
          <w:lang w:eastAsia="en-US" w:bidi="th-TH"/>
        </w:rPr>
        <w:t>delivering</w:t>
      </w:r>
      <w:r w:rsidRPr="24862EB2">
        <w:rPr>
          <w:rFonts w:cs="Arial"/>
          <w:lang w:eastAsia="en-US" w:bidi="th-TH"/>
        </w:rPr>
        <w:t xml:space="preserve"> Level 2: Coordination of Supports continues to grow at a </w:t>
      </w:r>
      <w:r w:rsidR="41C76850" w:rsidRPr="24862EB2">
        <w:rPr>
          <w:rFonts w:cs="Arial"/>
          <w:lang w:eastAsia="en-US" w:bidi="th-TH"/>
        </w:rPr>
        <w:t>rapid</w:t>
      </w:r>
      <w:r w:rsidR="7E83FA95" w:rsidRPr="24862EB2">
        <w:rPr>
          <w:rFonts w:cs="Arial"/>
          <w:lang w:eastAsia="en-US" w:bidi="th-TH"/>
        </w:rPr>
        <w:t xml:space="preserve"> </w:t>
      </w:r>
      <w:r w:rsidRPr="24862EB2">
        <w:rPr>
          <w:rFonts w:cs="Arial"/>
          <w:lang w:eastAsia="en-US" w:bidi="th-TH"/>
        </w:rPr>
        <w:t>pace</w:t>
      </w:r>
      <w:r w:rsidR="7E83FA95" w:rsidRPr="24862EB2">
        <w:rPr>
          <w:rFonts w:cs="Arial"/>
          <w:lang w:eastAsia="en-US" w:bidi="th-TH"/>
        </w:rPr>
        <w:t xml:space="preserve">, </w:t>
      </w:r>
      <w:r w:rsidR="41C76850" w:rsidRPr="24862EB2">
        <w:rPr>
          <w:rFonts w:cs="Arial"/>
          <w:lang w:eastAsia="en-US" w:bidi="th-TH"/>
        </w:rPr>
        <w:t>more than doubling over the two-year period to December 2022</w:t>
      </w:r>
      <w:r w:rsidR="43AE115F" w:rsidRPr="24862EB2">
        <w:rPr>
          <w:rFonts w:cs="Arial"/>
          <w:lang w:eastAsia="en-US" w:bidi="th-TH"/>
        </w:rPr>
        <w:t>.</w:t>
      </w:r>
      <w:r w:rsidR="41C76850" w:rsidRPr="24862EB2">
        <w:rPr>
          <w:rFonts w:cs="Arial"/>
          <w:lang w:eastAsia="en-US" w:bidi="th-TH"/>
        </w:rPr>
        <w:t xml:space="preserve"> P</w:t>
      </w:r>
      <w:r w:rsidR="7E83FA95" w:rsidRPr="24862EB2">
        <w:rPr>
          <w:rFonts w:cs="Arial"/>
          <w:lang w:eastAsia="en-US" w:bidi="th-TH"/>
        </w:rPr>
        <w:t>roviders delivering Level 1 and Level 3 are growing at a slower</w:t>
      </w:r>
      <w:r w:rsidRPr="24862EB2">
        <w:rPr>
          <w:rFonts w:cs="Arial"/>
          <w:lang w:eastAsia="en-US" w:bidi="th-TH"/>
        </w:rPr>
        <w:t xml:space="preserve"> </w:t>
      </w:r>
      <w:r w:rsidR="7E83FA95" w:rsidRPr="24862EB2">
        <w:rPr>
          <w:rFonts w:cs="Arial"/>
          <w:lang w:eastAsia="en-US" w:bidi="th-TH"/>
        </w:rPr>
        <w:t>pac</w:t>
      </w:r>
      <w:r w:rsidR="060D5847" w:rsidRPr="24862EB2">
        <w:rPr>
          <w:rFonts w:cs="Arial"/>
          <w:lang w:eastAsia="en-US" w:bidi="th-TH"/>
        </w:rPr>
        <w:t>e</w:t>
      </w:r>
      <w:r w:rsidR="41C76850" w:rsidRPr="24862EB2">
        <w:rPr>
          <w:rFonts w:cs="Arial"/>
          <w:lang w:eastAsia="en-US" w:bidi="th-TH"/>
        </w:rPr>
        <w:t xml:space="preserve"> over the same </w:t>
      </w:r>
      <w:bookmarkStart w:id="113" w:name="_Int_onO8QHpE"/>
      <w:r w:rsidR="41C76850" w:rsidRPr="24862EB2">
        <w:rPr>
          <w:rFonts w:cs="Arial"/>
          <w:lang w:eastAsia="en-US" w:bidi="th-TH"/>
        </w:rPr>
        <w:t>time frame</w:t>
      </w:r>
      <w:bookmarkEnd w:id="113"/>
      <w:r w:rsidR="060D5847" w:rsidRPr="24862EB2">
        <w:rPr>
          <w:rFonts w:cs="Arial"/>
          <w:lang w:eastAsia="en-US" w:bidi="th-TH"/>
        </w:rPr>
        <w:t>.</w:t>
      </w:r>
    </w:p>
    <w:p w14:paraId="62D1D30C" w14:textId="0759DEF9" w:rsidR="00A93129" w:rsidRDefault="00A93129" w:rsidP="00A93129">
      <w:pPr>
        <w:pStyle w:val="Caption"/>
      </w:pPr>
      <w:bookmarkStart w:id="114" w:name="_Ref134303359"/>
      <w:r>
        <w:t xml:space="preserve">Figure </w:t>
      </w:r>
      <w:r>
        <w:fldChar w:fldCharType="begin"/>
      </w:r>
      <w:r>
        <w:instrText>SEQ Figure \* ARABIC</w:instrText>
      </w:r>
      <w:r>
        <w:fldChar w:fldCharType="separate"/>
      </w:r>
      <w:r w:rsidR="00D64E4C">
        <w:rPr>
          <w:noProof/>
        </w:rPr>
        <w:t>24</w:t>
      </w:r>
      <w:r>
        <w:fldChar w:fldCharType="end"/>
      </w:r>
      <w:bookmarkEnd w:id="114"/>
      <w:r>
        <w:t xml:space="preserve">: </w:t>
      </w:r>
      <w:r w:rsidRPr="003124D5">
        <w:t xml:space="preserve">support coordination by level of support, </w:t>
      </w:r>
      <w:r w:rsidR="396954B1">
        <w:t>DECEMBER</w:t>
      </w:r>
      <w:r w:rsidR="5CC42BBC">
        <w:t xml:space="preserve"> </w:t>
      </w:r>
      <w:r w:rsidRPr="003124D5">
        <w:t>2020 – DECEMBER 2022</w:t>
      </w:r>
    </w:p>
    <w:p w14:paraId="20F210B4" w14:textId="06C53A4A" w:rsidR="00056394" w:rsidRPr="00572EF2" w:rsidRDefault="00BC67BD" w:rsidP="00572EF2">
      <w:pPr>
        <w:jc w:val="center"/>
      </w:pPr>
      <w:r>
        <w:rPr>
          <w:noProof/>
        </w:rPr>
        <w:drawing>
          <wp:inline distT="0" distB="0" distL="0" distR="0" wp14:anchorId="1642547E" wp14:editId="01803E57">
            <wp:extent cx="5724525" cy="2700655"/>
            <wp:effectExtent l="0" t="0" r="9525" b="4445"/>
            <wp:docPr id="13" name="Picture 13" descr="FIGURE 24: SUPPORT COORDINATION BY LEVEL OF SUPPORT, DECEMBER 2020 – DECEMBER 2022&#10;&#10;Of the three types of support coordination, level 2 has risen the fastest since December 2020, in terms of the number of providers. The number of providers providing level 2 support coordination has risen from 2700 in the December quarter 2020 to 6000 in the December 2022 quarter, a rise of over 120% over the period. The number of providers providing level one support has risen from roughly 400 in December 2020 to roughly 560 in December 2022, a rise of 39% over the period. The number of providers providing support coordination Level 3 specialist support coordination has risen from roughly 660 in the December quarter 2020 to roughly 1160 in the December 2022 quarter, a rise of 75% over the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24: SUPPORT COORDINATION BY LEVEL OF SUPPORT, DECEMBER 2020 – DECEMBER 2022&#10;&#10;Of the three types of support coordination, level 2 has risen the fastest since December 2020, in terms of the number of providers. The number of providers providing level 2 support coordination has risen from 2700 in the December quarter 2020 to 6000 in the December 2022 quarter, a rise of over 120% over the period. The number of providers providing level one support has risen from roughly 400 in December 2020 to roughly 560 in December 2022, a rise of 39% over the period. The number of providers providing support coordination Level 3 specialist support coordination has risen from roughly 660 in the December quarter 2020 to roughly 1160 in the December 2022 quarter, a rise of 75% over the period.&#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525" cy="2700655"/>
                    </a:xfrm>
                    <a:prstGeom prst="rect">
                      <a:avLst/>
                    </a:prstGeom>
                    <a:noFill/>
                  </pic:spPr>
                </pic:pic>
              </a:graphicData>
            </a:graphic>
          </wp:inline>
        </w:drawing>
      </w:r>
    </w:p>
    <w:p w14:paraId="5F3A5611" w14:textId="2F4697EE" w:rsidR="00E73F2C" w:rsidRDefault="04EB792E" w:rsidP="000E3316">
      <w:r>
        <w:t xml:space="preserve">As provider numbers have increased relative to participant numbers, the average number of participants being serviced per provider has reduced </w:t>
      </w:r>
      <w:r w:rsidR="0C5439BC">
        <w:t xml:space="preserve">over the </w:t>
      </w:r>
      <w:r w:rsidR="65FDAA5A">
        <w:t>two-year</w:t>
      </w:r>
      <w:r w:rsidR="0C5439BC">
        <w:t xml:space="preserve"> period to December 2022 </w:t>
      </w:r>
      <w:r>
        <w:t xml:space="preserve">from </w:t>
      </w:r>
      <w:r w:rsidR="7382A33A">
        <w:t>50</w:t>
      </w:r>
      <w:r>
        <w:t xml:space="preserve"> participants per</w:t>
      </w:r>
      <w:r w:rsidR="3F5D29DA">
        <w:t xml:space="preserve"> support coordination provider</w:t>
      </w:r>
      <w:r w:rsidR="13693BDF">
        <w:t>,</w:t>
      </w:r>
      <w:r>
        <w:t xml:space="preserve"> </w:t>
      </w:r>
      <w:r w:rsidR="2CE3AF09">
        <w:t>in the same six months period</w:t>
      </w:r>
      <w:r w:rsidR="026493D8">
        <w:t>,</w:t>
      </w:r>
      <w:r w:rsidR="2CE3AF09">
        <w:t xml:space="preserve"> </w:t>
      </w:r>
      <w:r>
        <w:t xml:space="preserve">to </w:t>
      </w:r>
      <w:r w:rsidR="650183C6">
        <w:t>3</w:t>
      </w:r>
      <w:r w:rsidR="26A39DFA">
        <w:t>0</w:t>
      </w:r>
      <w:r>
        <w:t xml:space="preserve"> participants </w:t>
      </w:r>
      <w:r w:rsidR="0C5439BC">
        <w:t>per support coordination provider</w:t>
      </w:r>
      <w:r>
        <w:t xml:space="preserve">. This ratio of servicing per providers has decreased </w:t>
      </w:r>
      <w:bookmarkStart w:id="115" w:name="_Int_ZdNvzoch"/>
      <w:r>
        <w:t>largely due</w:t>
      </w:r>
      <w:bookmarkEnd w:id="115"/>
      <w:r>
        <w:t xml:space="preserve"> to overall growth of provider</w:t>
      </w:r>
      <w:r w:rsidR="09002352">
        <w:t>s (</w:t>
      </w:r>
      <w:bookmarkStart w:id="116" w:name="_Int_SU9SRYXv"/>
      <w:r>
        <w:t>mainly driven</w:t>
      </w:r>
      <w:bookmarkEnd w:id="116"/>
      <w:r>
        <w:t xml:space="preserve"> by unregistered providers</w:t>
      </w:r>
      <w:r w:rsidR="09002352">
        <w:t>)</w:t>
      </w:r>
      <w:r w:rsidR="0C5439BC">
        <w:t>.</w:t>
      </w:r>
    </w:p>
    <w:p w14:paraId="18CA8958" w14:textId="21517BA7" w:rsidR="00B83171" w:rsidRPr="00E17A25" w:rsidRDefault="00B83171" w:rsidP="00D9646F">
      <w:pPr>
        <w:pStyle w:val="Heading3"/>
      </w:pPr>
      <w:r w:rsidRPr="00E17A25">
        <w:lastRenderedPageBreak/>
        <w:t>6.3</w:t>
      </w:r>
      <w:r w:rsidRPr="00E17A25">
        <w:tab/>
        <w:t>Business Dynamism</w:t>
      </w:r>
    </w:p>
    <w:p w14:paraId="1501220E" w14:textId="0644CF1F" w:rsidR="0075259B" w:rsidRDefault="0075259B" w:rsidP="0075259B">
      <w:pPr>
        <w:rPr>
          <w:rFonts w:eastAsia="Arial" w:cs="Arial"/>
        </w:rPr>
      </w:pPr>
      <w:r>
        <w:rPr>
          <w:rFonts w:eastAsia="Arial" w:cs="Arial"/>
        </w:rPr>
        <w:t>T</w:t>
      </w:r>
      <w:r w:rsidRPr="000E68FA">
        <w:rPr>
          <w:rFonts w:eastAsia="Arial" w:cs="Arial"/>
        </w:rPr>
        <w:t xml:space="preserve">o supplement </w:t>
      </w:r>
      <w:r>
        <w:rPr>
          <w:rFonts w:eastAsia="Arial" w:cs="Arial"/>
        </w:rPr>
        <w:t>the Scheme statistics</w:t>
      </w:r>
      <w:r w:rsidRPr="000E68FA">
        <w:rPr>
          <w:rFonts w:eastAsia="Arial" w:cs="Arial"/>
        </w:rPr>
        <w:t xml:space="preserve">, </w:t>
      </w:r>
      <w:r w:rsidRPr="007C18ED">
        <w:rPr>
          <w:rFonts w:eastAsia="Arial" w:cs="Arial"/>
        </w:rPr>
        <w:t>the NDIA has</w:t>
      </w:r>
      <w:r w:rsidRPr="000E68FA">
        <w:rPr>
          <w:rFonts w:eastAsia="Arial" w:cs="Arial"/>
        </w:rPr>
        <w:t xml:space="preserve"> analysed registered provider payment activity</w:t>
      </w:r>
      <w:r w:rsidRPr="007C18ED">
        <w:rPr>
          <w:rFonts w:eastAsia="Arial" w:cs="Arial"/>
        </w:rPr>
        <w:t>. That is,</w:t>
      </w:r>
      <w:r w:rsidRPr="000E68FA">
        <w:rPr>
          <w:rFonts w:eastAsia="Arial" w:cs="Arial"/>
        </w:rPr>
        <w:t xml:space="preserve"> payments made </w:t>
      </w:r>
      <w:r>
        <w:rPr>
          <w:rFonts w:eastAsia="Arial" w:cs="Arial"/>
        </w:rPr>
        <w:t>against</w:t>
      </w:r>
      <w:r w:rsidRPr="000E68FA">
        <w:rPr>
          <w:rFonts w:eastAsia="Arial" w:cs="Arial"/>
        </w:rPr>
        <w:t xml:space="preserve"> Agency and Plan Managed plans </w:t>
      </w:r>
      <w:proofErr w:type="gramStart"/>
      <w:r w:rsidRPr="000E68FA">
        <w:rPr>
          <w:rFonts w:eastAsia="Arial" w:cs="Arial"/>
        </w:rPr>
        <w:t>are considered to be</w:t>
      </w:r>
      <w:proofErr w:type="gramEnd"/>
      <w:r w:rsidRPr="000E68FA">
        <w:rPr>
          <w:rFonts w:eastAsia="Arial" w:cs="Arial"/>
        </w:rPr>
        <w:t xml:space="preserve"> made by registered providers</w:t>
      </w:r>
      <w:r w:rsidRPr="007C18ED">
        <w:rPr>
          <w:rFonts w:eastAsia="Arial" w:cs="Arial"/>
        </w:rPr>
        <w:t>.</w:t>
      </w:r>
    </w:p>
    <w:p w14:paraId="5FBD0107" w14:textId="6FCD2C80" w:rsidR="00635480" w:rsidRPr="00011524" w:rsidRDefault="006B3966" w:rsidP="00635480">
      <w:r w:rsidRPr="00011524">
        <w:fldChar w:fldCharType="begin"/>
      </w:r>
      <w:r w:rsidRPr="00011524">
        <w:instrText xml:space="preserve"> REF _Ref135243732 \h </w:instrText>
      </w:r>
      <w:r w:rsidR="009509BC">
        <w:instrText xml:space="preserve"> \* MERGEFORMAT </w:instrText>
      </w:r>
      <w:r w:rsidRPr="00011524">
        <w:fldChar w:fldCharType="separate"/>
      </w:r>
      <w:r w:rsidR="00D64E4C">
        <w:t>Figure 25</w:t>
      </w:r>
      <w:r w:rsidRPr="00011524">
        <w:fldChar w:fldCharType="end"/>
      </w:r>
      <w:r w:rsidRPr="00011524">
        <w:t xml:space="preserve"> shows the </w:t>
      </w:r>
      <w:r w:rsidR="00FD7D76" w:rsidRPr="00D76C04">
        <w:t>breakdown</w:t>
      </w:r>
      <w:r w:rsidR="00635480" w:rsidRPr="00011524">
        <w:t xml:space="preserve"> </w:t>
      </w:r>
      <w:r w:rsidRPr="00011524">
        <w:t xml:space="preserve">of </w:t>
      </w:r>
      <w:r w:rsidR="00635480" w:rsidRPr="00011524">
        <w:t xml:space="preserve">registered providers by the number of participants they have been servicing and the </w:t>
      </w:r>
      <w:r w:rsidR="00B9336D" w:rsidRPr="00011524">
        <w:t xml:space="preserve">percentage claimed </w:t>
      </w:r>
      <w:r w:rsidR="00635480" w:rsidRPr="00011524">
        <w:t>of their services</w:t>
      </w:r>
      <w:r w:rsidR="00C12EF0">
        <w:t>, where</w:t>
      </w:r>
      <w:r w:rsidR="00B9336D" w:rsidRPr="00011524">
        <w:t xml:space="preserve"> </w:t>
      </w:r>
      <w:r w:rsidR="00635480" w:rsidRPr="00011524">
        <w:t>th</w:t>
      </w:r>
      <w:r w:rsidR="007F0146" w:rsidRPr="00011524">
        <w:t xml:space="preserve">e general </w:t>
      </w:r>
      <w:r w:rsidR="00635480" w:rsidRPr="00011524">
        <w:t xml:space="preserve">profile of the registered </w:t>
      </w:r>
      <w:r w:rsidR="0049595E">
        <w:t>support coordinator</w:t>
      </w:r>
      <w:r w:rsidR="00B9336D" w:rsidRPr="00011524">
        <w:t xml:space="preserve">s </w:t>
      </w:r>
      <w:r w:rsidR="00C12EF0">
        <w:t>appears to have</w:t>
      </w:r>
      <w:r w:rsidR="00B9336D" w:rsidRPr="00011524">
        <w:t xml:space="preserve"> not changed </w:t>
      </w:r>
      <w:r w:rsidR="00D306AC">
        <w:t xml:space="preserve">significantly </w:t>
      </w:r>
      <w:r w:rsidR="00B9336D" w:rsidRPr="00011524">
        <w:t>from the first half of 2020 to second half of 2022</w:t>
      </w:r>
      <w:r w:rsidR="00635480" w:rsidRPr="00011524">
        <w:t>.</w:t>
      </w:r>
      <w:r w:rsidR="00ED4587">
        <w:t xml:space="preserve"> Half-years are defined as the six-month time intervals from January to June and July to December.</w:t>
      </w:r>
    </w:p>
    <w:p w14:paraId="614F39C0" w14:textId="077967F2" w:rsidR="00AE5E8B" w:rsidRPr="00714CFD" w:rsidRDefault="00AE5E8B" w:rsidP="00011524">
      <w:pPr>
        <w:pStyle w:val="Caption"/>
        <w:jc w:val="left"/>
      </w:pPr>
      <w:bookmarkStart w:id="117" w:name="_Ref135243732"/>
      <w:r>
        <w:t xml:space="preserve">Figure </w:t>
      </w:r>
      <w:fldSimple w:instr=" SEQ Figure \* ARABIC ">
        <w:r w:rsidR="00D64E4C">
          <w:rPr>
            <w:noProof/>
          </w:rPr>
          <w:t>25</w:t>
        </w:r>
      </w:fldSimple>
      <w:bookmarkEnd w:id="117"/>
      <w:r>
        <w:t xml:space="preserve">: </w:t>
      </w:r>
      <w:r w:rsidRPr="00712DCA">
        <w:t>Registered Providers of Support Coordination and Number of Participants claimed</w:t>
      </w:r>
      <w:r w:rsidR="00714CFD">
        <w:t>,</w:t>
      </w:r>
      <w:r w:rsidR="00714CFD" w:rsidRPr="00714CFD">
        <w:t xml:space="preserve"> </w:t>
      </w:r>
      <w:r w:rsidR="00714CFD" w:rsidRPr="004E101F">
        <w:t xml:space="preserve">january </w:t>
      </w:r>
      <w:r w:rsidR="00714CFD" w:rsidRPr="00D76C04">
        <w:t>202</w:t>
      </w:r>
      <w:r w:rsidR="007F50D7">
        <w:t>0</w:t>
      </w:r>
      <w:r w:rsidR="00714CFD" w:rsidRPr="004E101F">
        <w:t xml:space="preserve"> – DECEMBER 2022</w:t>
      </w:r>
    </w:p>
    <w:p w14:paraId="09A84FE3" w14:textId="590046C1" w:rsidR="008F1C48" w:rsidRPr="008F1C48" w:rsidRDefault="036629CB" w:rsidP="00ED4587">
      <w:r>
        <w:rPr>
          <w:noProof/>
        </w:rPr>
        <w:drawing>
          <wp:inline distT="0" distB="0" distL="0" distR="0" wp14:anchorId="05F510A1" wp14:editId="57DD325F">
            <wp:extent cx="5724524" cy="2700655"/>
            <wp:effectExtent l="0" t="0" r="9525" b="4445"/>
            <wp:docPr id="14" name="Picture 14" descr="FIGURE 25: REGISTERED PROVIDERS OF SUPPORT COORDINATION AND NUMBER OF PARTICIPANTS CLAIMED, JANUARY 2020 – DECEMBER 2022&#10;&#10;Chart outlining the number of support coordination providers delivering supports to different numbers of participants comparing provider numbers from January to June 2020 (H1/2020) and July to December 2022 (H2/2022).&#10;&#10;Servicing 1 participant - 246 providers in H1/2020, 567 providers in H2/2022 (both 0% of total claims).&#10;&#10;Servicing 2-5 participants - 312 providers in H1/2020, 615 providers in H2/2022 (both 1% of total claims).&#10;&#10;Servicing 6-10 participants - 228 providers in H1/2020, 339 providers in H2/2022 (both 1% of total claims).&#10;&#10;Servicing 11-20 participants - 243 providers in H1/2020, 390 providers in H2/2022 (2% and 3%, respectively, of total claims).&#10;&#10;Servicing more than 20 participants - 1,105 providers in H1/2020, 1,534 providers in H2/2022 (96% and 95%, respectively, of total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25: REGISTERED PROVIDERS OF SUPPORT COORDINATION AND NUMBER OF PARTICIPANTS CLAIMED, JANUARY 2020 – DECEMBER 2022&#10;&#10;Chart outlining the number of support coordination providers delivering supports to different numbers of participants comparing provider numbers from January to June 2020 (H1/2020) and July to December 2022 (H2/2022).&#10;&#10;Servicing 1 participant - 246 providers in H1/2020, 567 providers in H2/2022 (both 0% of total claims).&#10;&#10;Servicing 2-5 participants - 312 providers in H1/2020, 615 providers in H2/2022 (both 1% of total claims).&#10;&#10;Servicing 6-10 participants - 228 providers in H1/2020, 339 providers in H2/2022 (both 1% of total claims).&#10;&#10;Servicing 11-20 participants - 243 providers in H1/2020, 390 providers in H2/2022 (2% and 3%, respectively, of total claims).&#10;&#10;Servicing more than 20 participants - 1,105 providers in H1/2020, 1,534 providers in H2/2022 (96% and 95%, respectively, of total claims)."/>
                    <pic:cNvPicPr/>
                  </pic:nvPicPr>
                  <pic:blipFill>
                    <a:blip r:embed="rId43">
                      <a:extLst>
                        <a:ext uri="{28A0092B-C50C-407E-A947-70E740481C1C}">
                          <a14:useLocalDpi xmlns:a14="http://schemas.microsoft.com/office/drawing/2010/main" val="0"/>
                        </a:ext>
                      </a:extLst>
                    </a:blip>
                    <a:stretch>
                      <a:fillRect/>
                    </a:stretch>
                  </pic:blipFill>
                  <pic:spPr>
                    <a:xfrm>
                      <a:off x="0" y="0"/>
                      <a:ext cx="5724524" cy="2700655"/>
                    </a:xfrm>
                    <a:prstGeom prst="rect">
                      <a:avLst/>
                    </a:prstGeom>
                  </pic:spPr>
                </pic:pic>
              </a:graphicData>
            </a:graphic>
          </wp:inline>
        </w:drawing>
      </w:r>
    </w:p>
    <w:p w14:paraId="342D5F42" w14:textId="4719348D" w:rsidR="00635480" w:rsidRPr="0001257D" w:rsidRDefault="00286ADC" w:rsidP="00635480">
      <w:r>
        <w:fldChar w:fldCharType="begin"/>
      </w:r>
      <w:r>
        <w:instrText xml:space="preserve"> REF _Ref135243887 \h </w:instrText>
      </w:r>
      <w:r w:rsidR="009509BC">
        <w:instrText xml:space="preserve"> \* MERGEFORMAT </w:instrText>
      </w:r>
      <w:r>
        <w:fldChar w:fldCharType="separate"/>
      </w:r>
      <w:r w:rsidR="00D64E4C">
        <w:t>Figure 26</w:t>
      </w:r>
      <w:r>
        <w:fldChar w:fldCharType="end"/>
      </w:r>
      <w:r>
        <w:t xml:space="preserve"> </w:t>
      </w:r>
      <w:r w:rsidR="00635480">
        <w:t xml:space="preserve">below shows the number of registered </w:t>
      </w:r>
      <w:r w:rsidR="0049595E">
        <w:t>support coordination</w:t>
      </w:r>
      <w:r w:rsidR="00635480">
        <w:t xml:space="preserve"> providers with payments between Ju</w:t>
      </w:r>
      <w:r w:rsidR="008C35AE">
        <w:t>ly</w:t>
      </w:r>
      <w:r w:rsidR="00635480">
        <w:t xml:space="preserve"> 2020 and December 2022, split by the number of half-year periods in which each provider received a </w:t>
      </w:r>
      <w:r w:rsidR="0049595E">
        <w:t>support coordination</w:t>
      </w:r>
      <w:r w:rsidR="00635480">
        <w:t xml:space="preserve"> payment. </w:t>
      </w:r>
      <w:r w:rsidR="00635480" w:rsidDel="00ED4587">
        <w:t xml:space="preserve">Half-years are defined as the six-month time intervals from January to June and July to December. </w:t>
      </w:r>
      <w:r w:rsidR="00635480">
        <w:t>As seen in</w:t>
      </w:r>
      <w:r>
        <w:t xml:space="preserve"> </w:t>
      </w:r>
      <w:r>
        <w:fldChar w:fldCharType="begin"/>
      </w:r>
      <w:r>
        <w:instrText xml:space="preserve"> REF _Ref135243887 \h </w:instrText>
      </w:r>
      <w:r w:rsidR="009509BC">
        <w:instrText xml:space="preserve"> \* MERGEFORMAT </w:instrText>
      </w:r>
      <w:r>
        <w:fldChar w:fldCharType="separate"/>
      </w:r>
      <w:r w:rsidR="00D64E4C">
        <w:t>Figure 26</w:t>
      </w:r>
      <w:r>
        <w:fldChar w:fldCharType="end"/>
      </w:r>
      <w:r w:rsidR="00635480">
        <w:t>, 1,620 out of 4,407 (37%) registered providers have payments in all five half-years between Ju</w:t>
      </w:r>
      <w:r w:rsidR="008C35AE">
        <w:t>ly</w:t>
      </w:r>
      <w:r w:rsidR="00635480">
        <w:t xml:space="preserve"> 2020 and December 2022. These providers account for 89% of the total payments across the two-and-a-half-year period.</w:t>
      </w:r>
    </w:p>
    <w:p w14:paraId="5E11B5B6" w14:textId="749E096E" w:rsidR="00714CFD" w:rsidRDefault="00714CFD" w:rsidP="00011524">
      <w:pPr>
        <w:pStyle w:val="Caption"/>
        <w:jc w:val="left"/>
      </w:pPr>
      <w:bookmarkStart w:id="118" w:name="_Ref135243887"/>
      <w:r>
        <w:lastRenderedPageBreak/>
        <w:t xml:space="preserve">Figure </w:t>
      </w:r>
      <w:fldSimple w:instr=" SEQ Figure \* ARABIC ">
        <w:r w:rsidR="00D64E4C">
          <w:rPr>
            <w:noProof/>
          </w:rPr>
          <w:t>26</w:t>
        </w:r>
      </w:fldSimple>
      <w:bookmarkEnd w:id="118"/>
      <w:r>
        <w:t xml:space="preserve">: </w:t>
      </w:r>
      <w:r w:rsidRPr="00867BAB">
        <w:t>registered support coordination provider half-yearly payments histogram, june 2020 – december 2022</w:t>
      </w:r>
    </w:p>
    <w:p w14:paraId="4BAC3DF8" w14:textId="77777777" w:rsidR="00635480" w:rsidRDefault="00635480" w:rsidP="00635480">
      <w:r w:rsidRPr="00D76C04">
        <w:rPr>
          <w:noProof/>
        </w:rPr>
        <w:drawing>
          <wp:inline distT="0" distB="0" distL="0" distR="0" wp14:anchorId="06F6D63E" wp14:editId="0E5E8561">
            <wp:extent cx="5505450" cy="2585085"/>
            <wp:effectExtent l="0" t="0" r="0" b="0"/>
            <wp:docPr id="29" name="Picture 29" descr="FIGURE 26: REGISTERED SUPPORT COORDINATION PROVIDER HALF-YEARLY PAYMENTS HISTOGRAM, JUNE 2020 – DECEMBER 2022&#10;&#10;A chart displaying the number of providers claiming in a number of half year periods between June 2020 to December 2022. There was over 1,600 support coordination providers who claimed within each half year period and comprised of 89% of total payments. Those who claimed in 3 and 4 half year periods respectively claimed the next two highest total amounts, but had the two smallest numbers of providers claiming in 3 and 4 periods of time (less than 600 providers in each). &#10;&#10;Although there was over 1,000 providers only claiming in one half year period, these only made up a very small proportion of total payment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26: REGISTERED SUPPORT COORDINATION PROVIDER HALF-YEARLY PAYMENTS HISTOGRAM, JUNE 2020 – DECEMBER 2022&#10;&#10;A chart displaying the number of providers claiming in a number of half year periods between June 2020 to December 2022. There was over 1,600 support coordination providers who claimed within each half year period and comprised of 89% of total payments. Those who claimed in 3 and 4 half year periods respectively claimed the next two highest total amounts, but had the two smallest numbers of providers claiming in 3 and 4 periods of time (less than 600 providers in each). &#10;&#10;Although there was over 1,000 providers only claiming in one half year period, these only made up a very small proportion of total payments mad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05450" cy="2585085"/>
                    </a:xfrm>
                    <a:prstGeom prst="rect">
                      <a:avLst/>
                    </a:prstGeom>
                    <a:noFill/>
                  </pic:spPr>
                </pic:pic>
              </a:graphicData>
            </a:graphic>
          </wp:inline>
        </w:drawing>
      </w:r>
    </w:p>
    <w:p w14:paraId="56C16BC7" w14:textId="55124A1A" w:rsidR="00FB4548" w:rsidRPr="00D76C04" w:rsidRDefault="00F90A4F" w:rsidP="00FB4548">
      <w:r>
        <w:t>T</w:t>
      </w:r>
      <w:r w:rsidR="00FB4548" w:rsidRPr="00D76C04">
        <w:t xml:space="preserve">o further assess the </w:t>
      </w:r>
      <w:r>
        <w:t xml:space="preserve">current state </w:t>
      </w:r>
      <w:r w:rsidR="00FB4548" w:rsidRPr="00D76C04">
        <w:t xml:space="preserve">of the provider market, payment activities of registered providers across the two-year period from January 2021 to December 2022 were analysed. Providers with New Activity in a half-year are defined as providers with payments who did not have payments in the prior half-year. Similarly, Inactivity in the half-year is defined as providers without a payment who had payments in the prior half-year. Activity for each provider is expressed as a percentage of the total payments for that half-year (for New Activity) or prior half-year (for Inactivity). The NDIA acknowledges that this is not a perfect measure of market exits but the closest approximation given </w:t>
      </w:r>
      <w:r>
        <w:t>available data</w:t>
      </w:r>
      <w:r w:rsidR="00FB4548" w:rsidRPr="00D76C04">
        <w:t>.</w:t>
      </w:r>
    </w:p>
    <w:p w14:paraId="55509F36" w14:textId="6A36AD6A" w:rsidR="00FB4548" w:rsidRPr="00D76C04" w:rsidRDefault="00FB4548" w:rsidP="00FB4548">
      <w:r w:rsidRPr="00D76C04">
        <w:t xml:space="preserve">Results suggest that over the past two years, inactive </w:t>
      </w:r>
      <w:r w:rsidR="00D829AE">
        <w:t xml:space="preserve">registered </w:t>
      </w:r>
      <w:r w:rsidR="0049595E">
        <w:t>support coordination</w:t>
      </w:r>
      <w:r w:rsidR="00D76C04" w:rsidRPr="00D76C04">
        <w:t xml:space="preserve"> providers</w:t>
      </w:r>
      <w:r w:rsidRPr="00D76C04">
        <w:t xml:space="preserve"> in each half-year contributed to </w:t>
      </w:r>
      <w:r w:rsidR="00D76C04" w:rsidRPr="00D76C04">
        <w:t xml:space="preserve">less than </w:t>
      </w:r>
      <w:r w:rsidRPr="00D76C04">
        <w:t xml:space="preserve">1% of total payments. In contrast, </w:t>
      </w:r>
      <w:r w:rsidR="00D829AE">
        <w:t xml:space="preserve">registered </w:t>
      </w:r>
      <w:r w:rsidR="0049595E">
        <w:t>support coordination</w:t>
      </w:r>
      <w:r w:rsidR="00D76C04" w:rsidRPr="00D76C04">
        <w:t xml:space="preserve"> providers</w:t>
      </w:r>
      <w:r w:rsidRPr="00D76C04">
        <w:t xml:space="preserve"> with new activity in a half-year have contributed between </w:t>
      </w:r>
      <w:r w:rsidR="00D76C04" w:rsidRPr="00D76C04">
        <w:t>1.8</w:t>
      </w:r>
      <w:r w:rsidRPr="00D76C04">
        <w:t xml:space="preserve">% and </w:t>
      </w:r>
      <w:r w:rsidR="00D76C04" w:rsidRPr="00D76C04">
        <w:t>2.7</w:t>
      </w:r>
      <w:r w:rsidRPr="00D76C04">
        <w:t>% of total payments for that same period.</w:t>
      </w:r>
    </w:p>
    <w:p w14:paraId="3EA847C9" w14:textId="06BF8991" w:rsidR="00615480" w:rsidRDefault="00086CD5" w:rsidP="009509BC">
      <w:r>
        <w:t>Additionally, o</w:t>
      </w:r>
      <w:r w:rsidR="00635480" w:rsidRPr="00D76C04">
        <w:t>n</w:t>
      </w:r>
      <w:r w:rsidR="00635480" w:rsidRPr="00011524">
        <w:t xml:space="preserve"> average, inactive </w:t>
      </w:r>
      <w:r w:rsidR="00E816A7">
        <w:t xml:space="preserve">registered </w:t>
      </w:r>
      <w:r w:rsidR="00635480" w:rsidRPr="00011524">
        <w:t xml:space="preserve">providers in the half-year period prior to becoming inactive were servicing 7 participants. However, 60% of </w:t>
      </w:r>
      <w:r w:rsidR="00615480">
        <w:t xml:space="preserve">these </w:t>
      </w:r>
      <w:r w:rsidR="00635480" w:rsidRPr="00011524">
        <w:t xml:space="preserve">inactive </w:t>
      </w:r>
      <w:r w:rsidR="00E816A7">
        <w:t xml:space="preserve">registered </w:t>
      </w:r>
      <w:r w:rsidR="00635480" w:rsidRPr="00011524">
        <w:t>providers were only servicing 1 participant prior to becoming inactive</w:t>
      </w:r>
      <w:r w:rsidR="00615480">
        <w:t>, another</w:t>
      </w:r>
      <w:r w:rsidR="00635480" w:rsidRPr="00011524">
        <w:t xml:space="preserve"> 8% of inactive </w:t>
      </w:r>
      <w:r w:rsidR="00E816A7">
        <w:t xml:space="preserve">registered </w:t>
      </w:r>
      <w:r w:rsidR="00635480" w:rsidRPr="00011524">
        <w:t xml:space="preserve">providers </w:t>
      </w:r>
      <w:r w:rsidR="00635480" w:rsidRPr="00D76C04">
        <w:t>servic</w:t>
      </w:r>
      <w:r w:rsidR="00615480">
        <w:t>ed</w:t>
      </w:r>
      <w:r w:rsidR="00635480" w:rsidRPr="00011524">
        <w:t xml:space="preserve"> more than 20 participants prior to becoming inactive. </w:t>
      </w:r>
    </w:p>
    <w:p w14:paraId="7AD6F2E0" w14:textId="0F04FE67" w:rsidR="00635480" w:rsidRPr="009509BC" w:rsidRDefault="00635480" w:rsidP="009509BC">
      <w:r w:rsidRPr="00011524">
        <w:t xml:space="preserve">In contrast, in half-year period up to December 2022, 16% of active </w:t>
      </w:r>
      <w:r w:rsidR="00E816A7">
        <w:t xml:space="preserve">registered </w:t>
      </w:r>
      <w:r w:rsidRPr="00011524">
        <w:t>providers were servicing only 1 participant</w:t>
      </w:r>
      <w:r w:rsidR="00615480">
        <w:t xml:space="preserve">, whereas there were </w:t>
      </w:r>
      <w:r w:rsidRPr="00011524">
        <w:t xml:space="preserve">45% of active </w:t>
      </w:r>
      <w:r w:rsidR="00E816A7">
        <w:t xml:space="preserve">registered </w:t>
      </w:r>
      <w:r w:rsidRPr="00011524">
        <w:t>providers servicing more than 20 participants</w:t>
      </w:r>
      <w:r w:rsidR="00615480">
        <w:t>, who</w:t>
      </w:r>
      <w:r w:rsidRPr="00011524">
        <w:t xml:space="preserve"> account for 97% of the total payments </w:t>
      </w:r>
      <w:r w:rsidR="00615480">
        <w:t xml:space="preserve">made to registered </w:t>
      </w:r>
      <w:r w:rsidR="0049595E">
        <w:t>support coordination</w:t>
      </w:r>
      <w:r w:rsidR="00615480">
        <w:t xml:space="preserve"> providers </w:t>
      </w:r>
      <w:r w:rsidRPr="00011524">
        <w:t>in the half-year period</w:t>
      </w:r>
      <w:r w:rsidR="00615480">
        <w:t xml:space="preserve"> to December 2022</w:t>
      </w:r>
      <w:r w:rsidRPr="00D76C04">
        <w:t>.</w:t>
      </w:r>
      <w:r w:rsidRPr="00011524">
        <w:t xml:space="preserve"> </w:t>
      </w:r>
      <w:r w:rsidRPr="00C655E2">
        <w:t xml:space="preserve">This shows that </w:t>
      </w:r>
      <w:r w:rsidR="00E816A7">
        <w:t xml:space="preserve">registered </w:t>
      </w:r>
      <w:r w:rsidRPr="00C655E2">
        <w:t xml:space="preserve">providers that are becoming inactive have different distribution of participants they are servicing when compared to active </w:t>
      </w:r>
      <w:r w:rsidR="00E816A7">
        <w:t xml:space="preserve">registered </w:t>
      </w:r>
      <w:r w:rsidRPr="00C655E2">
        <w:t>providers that service 60 participants on average.</w:t>
      </w:r>
    </w:p>
    <w:p w14:paraId="5BD8BB08" w14:textId="41093F01" w:rsidR="00714CFD" w:rsidRDefault="00714CFD" w:rsidP="00011524">
      <w:pPr>
        <w:pStyle w:val="Caption"/>
        <w:jc w:val="left"/>
      </w:pPr>
      <w:bookmarkStart w:id="119" w:name="_Ref135243904"/>
      <w:r>
        <w:lastRenderedPageBreak/>
        <w:t xml:space="preserve">Figure </w:t>
      </w:r>
      <w:fldSimple w:instr=" SEQ Figure \* ARABIC ">
        <w:r w:rsidR="00D64E4C">
          <w:rPr>
            <w:noProof/>
          </w:rPr>
          <w:t>27</w:t>
        </w:r>
      </w:fldSimple>
      <w:bookmarkEnd w:id="119"/>
      <w:r>
        <w:t xml:space="preserve">: </w:t>
      </w:r>
      <w:r w:rsidRPr="004E101F">
        <w:t>support coordination REGISTERED PROVIDER activity MOVEMENTS, january 2021 – DECEMBER 2022</w:t>
      </w:r>
    </w:p>
    <w:p w14:paraId="2330724A" w14:textId="77777777" w:rsidR="00635480" w:rsidRDefault="00635480" w:rsidP="00635480">
      <w:r w:rsidRPr="00D76C04">
        <w:rPr>
          <w:noProof/>
        </w:rPr>
        <w:drawing>
          <wp:inline distT="0" distB="0" distL="0" distR="0" wp14:anchorId="13B25BDD" wp14:editId="67A329DE">
            <wp:extent cx="5401310" cy="2517775"/>
            <wp:effectExtent l="0" t="0" r="8890" b="0"/>
            <wp:docPr id="50" name="Picture 50" descr="FIGURE 27: SUPPORT COORDINATION REGISTERED PROVIDER ACTIVITY MOVEMENTS, JANUARY 2021 – DECEMBER 2022&#10;&#10;January to June 2021 - new active providers made 1.9% of payments as a percent of total half year payments. For inactivity, 0.6% of payments as a percentage of prior total half year payments.&#10;&#10;July to December 2021 - new active providers made 2.7% of payments as a percent of total half year payments. For inactivity, 0.5% of payments as a percentage of prior total half year payments.&#10;&#10;January to June 2022 - new active providers made 2.0% of payments as a percent of total half year payments. For inactivity, 0.8% of payments as a percentage of prior total half year payments.&#10;&#10;July to December 2022 - new active providers made 1.8% of payments as a percent of total half year payments. For inactivity, 0.6% of payments as a percentage of prior total half year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FIGURE 27: SUPPORT COORDINATION REGISTERED PROVIDER ACTIVITY MOVEMENTS, JANUARY 2021 – DECEMBER 2022&#10;&#10;January to June 2021 - new active providers made 1.9% of payments as a percent of total half year payments. For inactivity, 0.6% of payments as a percentage of prior total half year payments.&#10;&#10;July to December 2021 - new active providers made 2.7% of payments as a percent of total half year payments. For inactivity, 0.5% of payments as a percentage of prior total half year payments.&#10;&#10;January to June 2022 - new active providers made 2.0% of payments as a percent of total half year payments. For inactivity, 0.8% of payments as a percentage of prior total half year payments.&#10;&#10;July to December 2022 - new active providers made 1.8% of payments as a percent of total half year payments. For inactivity, 0.6% of payments as a percentage of prior total half year payment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1310" cy="2517775"/>
                    </a:xfrm>
                    <a:prstGeom prst="rect">
                      <a:avLst/>
                    </a:prstGeom>
                    <a:noFill/>
                  </pic:spPr>
                </pic:pic>
              </a:graphicData>
            </a:graphic>
          </wp:inline>
        </w:drawing>
      </w:r>
    </w:p>
    <w:p w14:paraId="2161D343" w14:textId="5518362D" w:rsidR="00E73F2C" w:rsidRPr="00290E50" w:rsidRDefault="00D76C04" w:rsidP="000E3316">
      <w:r w:rsidRPr="00D76C04">
        <w:t xml:space="preserve">Further results indicate that on average, inactive </w:t>
      </w:r>
      <w:r w:rsidR="00C679D1">
        <w:t xml:space="preserve">registered </w:t>
      </w:r>
      <w:r w:rsidR="0049595E">
        <w:t>support coordination</w:t>
      </w:r>
      <w:r w:rsidRPr="00D76C04">
        <w:t xml:space="preserve"> providers received </w:t>
      </w:r>
      <w:r w:rsidR="00122025" w:rsidRPr="00D76C04">
        <w:t>$</w:t>
      </w:r>
      <w:r w:rsidR="00122025">
        <w:t>6</w:t>
      </w:r>
      <w:r w:rsidR="00122025" w:rsidRPr="00D76C04">
        <w:t>,</w:t>
      </w:r>
      <w:r w:rsidR="00122025">
        <w:t>790</w:t>
      </w:r>
      <w:r w:rsidR="00122025" w:rsidRPr="00D76C04">
        <w:t xml:space="preserve"> </w:t>
      </w:r>
      <w:r w:rsidRPr="00D76C04">
        <w:t xml:space="preserve">in payments in the half-year prior to becoming inactive, with 79% of </w:t>
      </w:r>
      <w:r w:rsidR="0049595E">
        <w:t>support coordination</w:t>
      </w:r>
      <w:r w:rsidRPr="00D76C04">
        <w:t xml:space="preserve"> providers receiving less than $5,000 in the half-year prior to becoming inactive. In contrast, active </w:t>
      </w:r>
      <w:r w:rsidR="00122025">
        <w:t xml:space="preserve">registered </w:t>
      </w:r>
      <w:r w:rsidRPr="00D76C04">
        <w:t xml:space="preserve">providers received on average </w:t>
      </w:r>
      <w:r w:rsidR="00E858C3" w:rsidRPr="00D76C04">
        <w:t>$</w:t>
      </w:r>
      <w:r w:rsidR="00E858C3">
        <w:t>116,328</w:t>
      </w:r>
      <w:r w:rsidR="00E858C3" w:rsidRPr="00D76C04">
        <w:t xml:space="preserve"> </w:t>
      </w:r>
      <w:r w:rsidRPr="00D76C04">
        <w:t>of payments in each half-year period, highlighting that inactive</w:t>
      </w:r>
      <w:r w:rsidR="00E858C3">
        <w:t xml:space="preserve"> registered</w:t>
      </w:r>
      <w:r w:rsidRPr="00D76C04">
        <w:t xml:space="preserve"> providers</w:t>
      </w:r>
      <w:r>
        <w:t xml:space="preserve"> have been claiming for lesser amounts on average relative to new and existing </w:t>
      </w:r>
      <w:r w:rsidR="00E858C3">
        <w:t xml:space="preserve">registered </w:t>
      </w:r>
      <w:r>
        <w:t>providers.</w:t>
      </w:r>
      <w:r w:rsidRPr="009509BC">
        <w:t xml:space="preserve"> </w:t>
      </w:r>
    </w:p>
    <w:p w14:paraId="510974B8" w14:textId="1B29DC5F" w:rsidR="006F6F69" w:rsidRPr="00D3183F" w:rsidRDefault="006F6F69" w:rsidP="00D9646F">
      <w:pPr>
        <w:pStyle w:val="Heading3"/>
      </w:pPr>
      <w:r w:rsidRPr="00D3183F">
        <w:t>6.4</w:t>
      </w:r>
      <w:r w:rsidRPr="00D3183F">
        <w:tab/>
        <w:t>Consultation feedback</w:t>
      </w:r>
    </w:p>
    <w:p w14:paraId="797ECA42" w14:textId="3C9591DC" w:rsidR="007A3603" w:rsidRDefault="1B978913" w:rsidP="009F25A9">
      <w:r>
        <w:t xml:space="preserve">Of 304 submissions received, </w:t>
      </w:r>
      <w:r w:rsidR="00DF0BB1">
        <w:t>33</w:t>
      </w:r>
      <w:r w:rsidR="75541B40">
        <w:t xml:space="preserve">% </w:t>
      </w:r>
      <w:r w:rsidR="00A91144">
        <w:t>(99</w:t>
      </w:r>
      <w:r w:rsidR="40E43459">
        <w:t xml:space="preserve">) </w:t>
      </w:r>
      <w:r w:rsidR="00FB7D00">
        <w:t>discussed</w:t>
      </w:r>
      <w:r>
        <w:t xml:space="preserve"> support coordination. </w:t>
      </w:r>
      <w:r w:rsidR="00316187">
        <w:t xml:space="preserve">The </w:t>
      </w:r>
      <w:r w:rsidR="007416BC">
        <w:t>most raised</w:t>
      </w:r>
      <w:r w:rsidR="00316187">
        <w:t xml:space="preserve"> concern was </w:t>
      </w:r>
      <w:r w:rsidR="003B4099">
        <w:t xml:space="preserve">suggestions that </w:t>
      </w:r>
      <w:r w:rsidR="00316187">
        <w:t>the</w:t>
      </w:r>
      <w:r w:rsidR="009F25A9">
        <w:rPr>
          <w:szCs w:val="22"/>
        </w:rPr>
        <w:t xml:space="preserve"> NDIS price limits of support coordination </w:t>
      </w:r>
      <w:r w:rsidR="003B4099">
        <w:rPr>
          <w:szCs w:val="22"/>
        </w:rPr>
        <w:t xml:space="preserve">were insufficient. Another common sentiment was </w:t>
      </w:r>
      <w:r w:rsidR="009F25A9" w:rsidRPr="00787B95">
        <w:rPr>
          <w:szCs w:val="22"/>
        </w:rPr>
        <w:t>the</w:t>
      </w:r>
      <w:r w:rsidR="009F25A9">
        <w:rPr>
          <w:szCs w:val="22"/>
        </w:rPr>
        <w:t xml:space="preserve"> </w:t>
      </w:r>
      <w:r w:rsidR="009F25A9" w:rsidRPr="00787B95">
        <w:rPr>
          <w:szCs w:val="22"/>
        </w:rPr>
        <w:t xml:space="preserve">fragmented nature of supports offered and </w:t>
      </w:r>
      <w:r w:rsidR="00316187">
        <w:rPr>
          <w:szCs w:val="22"/>
        </w:rPr>
        <w:t xml:space="preserve">suggested </w:t>
      </w:r>
      <w:r w:rsidR="00C47075">
        <w:rPr>
          <w:szCs w:val="22"/>
        </w:rPr>
        <w:t xml:space="preserve">that there are additional </w:t>
      </w:r>
      <w:r w:rsidR="009F25A9" w:rsidRPr="00787B95">
        <w:rPr>
          <w:szCs w:val="22"/>
        </w:rPr>
        <w:t>unbillable hours</w:t>
      </w:r>
      <w:r w:rsidR="009F25A9">
        <w:rPr>
          <w:szCs w:val="22"/>
        </w:rPr>
        <w:t xml:space="preserve"> </w:t>
      </w:r>
      <w:r w:rsidR="009F25A9" w:rsidRPr="00787B95">
        <w:rPr>
          <w:szCs w:val="22"/>
        </w:rPr>
        <w:t xml:space="preserve">associated with </w:t>
      </w:r>
      <w:r w:rsidR="009F25A9">
        <w:rPr>
          <w:szCs w:val="22"/>
        </w:rPr>
        <w:t xml:space="preserve">their </w:t>
      </w:r>
      <w:r w:rsidR="009F25A9" w:rsidRPr="00787B95">
        <w:rPr>
          <w:szCs w:val="22"/>
        </w:rPr>
        <w:t xml:space="preserve">work. </w:t>
      </w:r>
      <w:r w:rsidR="00005E20" w:rsidRPr="00005E20">
        <w:t xml:space="preserve"> </w:t>
      </w:r>
    </w:p>
    <w:p w14:paraId="38657889" w14:textId="348CE5A1" w:rsidR="76180D75" w:rsidRPr="00572EF2" w:rsidRDefault="00005E20" w:rsidP="76180D75">
      <w:pPr>
        <w:rPr>
          <w:szCs w:val="22"/>
        </w:rPr>
      </w:pPr>
      <w:r>
        <w:t>See Appendix A for more details on common themes raised in submissions to the 2022-23 APR Consultation Paper.</w:t>
      </w:r>
    </w:p>
    <w:p w14:paraId="5A2C6E4A" w14:textId="42F107B7" w:rsidR="00D813CC" w:rsidRPr="00D813CC" w:rsidRDefault="00D813CC" w:rsidP="00572EF2">
      <w:pPr>
        <w:spacing w:before="240"/>
        <w:rPr>
          <w:b/>
          <w:bCs/>
          <w:u w:val="single"/>
        </w:rPr>
      </w:pPr>
      <w:bookmarkStart w:id="120" w:name="_Toc106272613"/>
      <w:r w:rsidRPr="00D813CC">
        <w:rPr>
          <w:b/>
          <w:bCs/>
          <w:u w:val="single"/>
        </w:rPr>
        <w:t xml:space="preserve">Disability Intermediaries Australia </w:t>
      </w:r>
      <w:r>
        <w:rPr>
          <w:b/>
          <w:bCs/>
          <w:u w:val="single"/>
        </w:rPr>
        <w:t xml:space="preserve">(DIA) </w:t>
      </w:r>
      <w:r w:rsidR="00886BF4">
        <w:rPr>
          <w:b/>
          <w:bCs/>
          <w:u w:val="single"/>
        </w:rPr>
        <w:t>submission</w:t>
      </w:r>
      <w:bookmarkEnd w:id="120"/>
    </w:p>
    <w:p w14:paraId="758FF987" w14:textId="6EB472A3" w:rsidR="00D813CC" w:rsidRDefault="3DC3DAC5" w:rsidP="00D813CC">
      <w:r>
        <w:t xml:space="preserve">In its submission to the 2022-23 APR, DIA reported on a survey of </w:t>
      </w:r>
      <w:r w:rsidR="00276927">
        <w:t>p</w:t>
      </w:r>
      <w:r w:rsidR="002B1CDA">
        <w:t>lan manager</w:t>
      </w:r>
      <w:r>
        <w:t xml:space="preserve">s and </w:t>
      </w:r>
      <w:r w:rsidR="0049595E">
        <w:t>support coordinator</w:t>
      </w:r>
      <w:r>
        <w:t>s</w:t>
      </w:r>
      <w:r w:rsidR="58876323">
        <w:t xml:space="preserve"> raising concerns of financial viability of </w:t>
      </w:r>
      <w:r w:rsidR="5CBA1CE3">
        <w:t>these providers</w:t>
      </w:r>
      <w:r w:rsidRPr="24862EB2">
        <w:rPr>
          <w:i/>
          <w:iCs/>
        </w:rPr>
        <w:t xml:space="preserve">. </w:t>
      </w:r>
      <w:r>
        <w:t>Some</w:t>
      </w:r>
      <w:r w:rsidRPr="24862EB2">
        <w:rPr>
          <w:i/>
          <w:iCs/>
        </w:rPr>
        <w:t xml:space="preserve"> </w:t>
      </w:r>
      <w:r w:rsidR="26392851">
        <w:t>454</w:t>
      </w:r>
      <w:r>
        <w:t xml:space="preserve"> </w:t>
      </w:r>
      <w:r w:rsidR="0049595E">
        <w:t>support coordinator</w:t>
      </w:r>
      <w:r>
        <w:t>s responded to the survey.</w:t>
      </w:r>
      <w:r w:rsidR="7931A0BF">
        <w:t xml:space="preserve"> The NDIA also received </w:t>
      </w:r>
      <w:bookmarkStart w:id="121" w:name="_Int_9pbdRZJl"/>
      <w:proofErr w:type="gramStart"/>
      <w:r w:rsidR="2A2CFA60">
        <w:t>a number of</w:t>
      </w:r>
      <w:bookmarkEnd w:id="121"/>
      <w:proofErr w:type="gramEnd"/>
      <w:r w:rsidR="2A2CFA60">
        <w:t xml:space="preserve"> </w:t>
      </w:r>
      <w:r w:rsidR="2DB42BF1">
        <w:t>letters</w:t>
      </w:r>
      <w:r w:rsidR="276B7AFD">
        <w:t xml:space="preserve"> of support by </w:t>
      </w:r>
      <w:r w:rsidR="2A2CFA60">
        <w:t xml:space="preserve">stakeholders </w:t>
      </w:r>
      <w:r w:rsidR="276B7AFD">
        <w:t>in support of DIA’s submission.</w:t>
      </w:r>
    </w:p>
    <w:p w14:paraId="62A2C5F1" w14:textId="4231B22C" w:rsidR="007566F7" w:rsidRDefault="00C15A4B" w:rsidP="00D813CC">
      <w:r>
        <w:t>From the Survey responses,</w:t>
      </w:r>
      <w:r w:rsidR="00F83A44">
        <w:t xml:space="preserve"> </w:t>
      </w:r>
      <w:r>
        <w:t>91% of respondents were For-Profit providers, with at least 30 respondents from each state and territory</w:t>
      </w:r>
      <w:r w:rsidR="007566F7">
        <w:t>.</w:t>
      </w:r>
      <w:r w:rsidR="00594640">
        <w:t xml:space="preserve"> Almost half of the respondents were “Medium” sized providers</w:t>
      </w:r>
      <w:r w:rsidR="00AE0369">
        <w:t>.</w:t>
      </w:r>
    </w:p>
    <w:p w14:paraId="2F64986B" w14:textId="4986900B" w:rsidR="00D813CC" w:rsidRDefault="00D813CC" w:rsidP="00D813CC">
      <w:r w:rsidRPr="00DF0C3D">
        <w:t xml:space="preserve">The DIA submission reported that </w:t>
      </w:r>
      <w:r w:rsidR="0044762E">
        <w:t>20</w:t>
      </w:r>
      <w:r w:rsidRPr="00DF0C3D">
        <w:t xml:space="preserve">% of </w:t>
      </w:r>
      <w:r w:rsidR="0049595E">
        <w:t>support coordinator</w:t>
      </w:r>
      <w:r w:rsidRPr="00DF0C3D">
        <w:t>s who responded to the survey indicated that they had made a profit in 202</w:t>
      </w:r>
      <w:r>
        <w:t>1</w:t>
      </w:r>
      <w:r w:rsidRPr="00DF0C3D">
        <w:t>-2</w:t>
      </w:r>
      <w:r>
        <w:t>2</w:t>
      </w:r>
      <w:r w:rsidRPr="00DF0C3D">
        <w:t xml:space="preserve"> with a further </w:t>
      </w:r>
      <w:r w:rsidR="0044762E">
        <w:t>18</w:t>
      </w:r>
      <w:r w:rsidRPr="00DF0C3D">
        <w:t>% indicating that they had broken even in 202</w:t>
      </w:r>
      <w:r>
        <w:t>1</w:t>
      </w:r>
      <w:r w:rsidRPr="00DF0C3D">
        <w:t>-2</w:t>
      </w:r>
      <w:r>
        <w:t>2</w:t>
      </w:r>
      <w:r w:rsidRPr="00DF0C3D">
        <w:t xml:space="preserve">. At the same time, </w:t>
      </w:r>
      <w:r w:rsidR="0044762E">
        <w:t>62</w:t>
      </w:r>
      <w:r w:rsidRPr="00DF0C3D">
        <w:t xml:space="preserve">% of </w:t>
      </w:r>
      <w:r w:rsidR="0049595E">
        <w:t>support coordinator</w:t>
      </w:r>
      <w:r w:rsidRPr="00DF0C3D">
        <w:t>s reported a loss in 202</w:t>
      </w:r>
      <w:r>
        <w:t>1</w:t>
      </w:r>
      <w:r w:rsidRPr="00DF0C3D">
        <w:t>-2</w:t>
      </w:r>
      <w:r>
        <w:t>2</w:t>
      </w:r>
      <w:r w:rsidRPr="00DF0C3D">
        <w:t>.</w:t>
      </w:r>
      <w:r w:rsidR="00171E66">
        <w:t xml:space="preserve"> This was reported at</w:t>
      </w:r>
      <w:r w:rsidR="00691F1E">
        <w:t xml:space="preserve"> a higher proportion</w:t>
      </w:r>
      <w:r w:rsidR="00171E66">
        <w:t xml:space="preserve"> for larger organisations </w:t>
      </w:r>
      <w:r w:rsidR="00691F1E">
        <w:t xml:space="preserve">(65%) </w:t>
      </w:r>
      <w:r w:rsidR="00171E66">
        <w:t xml:space="preserve">compared to medium and small organisations </w:t>
      </w:r>
      <w:r w:rsidR="00691F1E">
        <w:t>(61% and 55%, respectively).</w:t>
      </w:r>
    </w:p>
    <w:p w14:paraId="626BBB80" w14:textId="0A4DABBC" w:rsidR="003A36CA" w:rsidRDefault="003A36CA" w:rsidP="00D813CC">
      <w:r>
        <w:t xml:space="preserve">There was also an increase in the number of support coordinators reporting </w:t>
      </w:r>
      <w:r w:rsidR="00084A96">
        <w:t>to be paying workers under the SCHADS Award</w:t>
      </w:r>
      <w:r w:rsidR="00C019A7">
        <w:t xml:space="preserve"> </w:t>
      </w:r>
      <w:r w:rsidR="00C47075">
        <w:t xml:space="preserve">from 89% </w:t>
      </w:r>
      <w:r w:rsidR="00C019A7">
        <w:t>to</w:t>
      </w:r>
      <w:r w:rsidR="006E1BE1">
        <w:t xml:space="preserve"> 92%</w:t>
      </w:r>
      <w:r w:rsidR="00C019A7">
        <w:t xml:space="preserve"> (up by 3%)</w:t>
      </w:r>
      <w:r w:rsidR="00BA6E66">
        <w:t>.</w:t>
      </w:r>
    </w:p>
    <w:p w14:paraId="297506A3" w14:textId="3E2152BD" w:rsidR="00AE0369" w:rsidRDefault="5CBA1CE3" w:rsidP="00AE0369">
      <w:r>
        <w:lastRenderedPageBreak/>
        <w:t>DIA</w:t>
      </w:r>
      <w:r w:rsidR="00B15D40">
        <w:t>’s submission</w:t>
      </w:r>
      <w:r>
        <w:t xml:space="preserve"> suggested that providers delivering support coordination </w:t>
      </w:r>
      <w:r w:rsidR="00B15D40">
        <w:t xml:space="preserve">appear to be </w:t>
      </w:r>
      <w:r>
        <w:t>considerably less than NDIA</w:t>
      </w:r>
      <w:r w:rsidR="67A3092E">
        <w:t xml:space="preserve"> report</w:t>
      </w:r>
      <w:r w:rsidR="005B2860">
        <w:t>ed numbers</w:t>
      </w:r>
      <w:r>
        <w:t xml:space="preserve">, suggesting two different registration groups </w:t>
      </w:r>
      <w:r w:rsidR="00D36973">
        <w:t xml:space="preserve">may </w:t>
      </w:r>
      <w:r>
        <w:t xml:space="preserve">conflate these figures. </w:t>
      </w:r>
      <w:r w:rsidR="67A3092E">
        <w:t xml:space="preserve">They also </w:t>
      </w:r>
      <w:r w:rsidR="00914137">
        <w:t xml:space="preserve">commented that </w:t>
      </w:r>
      <w:r w:rsidR="67A3092E">
        <w:t xml:space="preserve">the relative </w:t>
      </w:r>
      <w:r>
        <w:t xml:space="preserve">growth of </w:t>
      </w:r>
      <w:r w:rsidR="67A3092E">
        <w:t xml:space="preserve">support coordination providers </w:t>
      </w:r>
      <w:r w:rsidR="00914137">
        <w:t>is overall</w:t>
      </w:r>
      <w:r>
        <w:t xml:space="preserve"> less than that of other types of supports delivered in the NDIS.</w:t>
      </w:r>
    </w:p>
    <w:p w14:paraId="493DD8AC" w14:textId="29D7EC88" w:rsidR="00AE0369" w:rsidRPr="00AE0369" w:rsidRDefault="00AE0369" w:rsidP="00D813CC">
      <w:pPr>
        <w:rPr>
          <w:i/>
        </w:rPr>
      </w:pPr>
      <w:r>
        <w:t>An</w:t>
      </w:r>
      <w:r w:rsidR="00DB0E3C">
        <w:t>other</w:t>
      </w:r>
      <w:r>
        <w:t xml:space="preserve"> point raised was that perceived growth </w:t>
      </w:r>
      <w:r w:rsidR="009546CD">
        <w:t xml:space="preserve">of providers </w:t>
      </w:r>
      <w:r>
        <w:t xml:space="preserve">may capture the potential situation where, for example, one provider of support coordination exits </w:t>
      </w:r>
      <w:r w:rsidR="00E15BCF">
        <w:t>NDIS services,</w:t>
      </w:r>
      <w:r>
        <w:t xml:space="preserve"> but there </w:t>
      </w:r>
      <w:r w:rsidR="007C4745">
        <w:t>are</w:t>
      </w:r>
      <w:r>
        <w:t xml:space="preserve"> entrants of new, smaller providers claiming for support coordination </w:t>
      </w:r>
      <w:r w:rsidR="009546CD">
        <w:t>f</w:t>
      </w:r>
      <w:r>
        <w:t xml:space="preserve">rom the staff of the exited provider. </w:t>
      </w:r>
      <w:r>
        <w:t xml:space="preserve">DIA </w:t>
      </w:r>
      <w:r w:rsidR="00B43763">
        <w:t xml:space="preserve">suggested an </w:t>
      </w:r>
      <w:r>
        <w:t xml:space="preserve">estimate </w:t>
      </w:r>
      <w:r w:rsidR="00B43763">
        <w:t xml:space="preserve">of </w:t>
      </w:r>
      <w:r>
        <w:t>80% of ‘new providers’ entering the market are employees of exited providers.</w:t>
      </w:r>
    </w:p>
    <w:p w14:paraId="67E83546" w14:textId="789085A1" w:rsidR="00F61FFE" w:rsidRDefault="0041710D" w:rsidP="76180D75">
      <w:r>
        <w:t>DIA also raised concerns on unfunded work undertaken by support coordinators, as well as the bereavement cost of support coordinators delivering supports after the death of a participant.</w:t>
      </w:r>
    </w:p>
    <w:p w14:paraId="6CC5DBC4" w14:textId="07DE3C75" w:rsidR="00AD40CC" w:rsidRPr="003D6FB0" w:rsidRDefault="00AD40CC" w:rsidP="00D9646F">
      <w:pPr>
        <w:pStyle w:val="Heading3"/>
      </w:pPr>
      <w:bookmarkStart w:id="122" w:name="_Ref23256544"/>
      <w:bookmarkStart w:id="123" w:name="_Ref24369092"/>
      <w:bookmarkStart w:id="124" w:name="_Toc25182180"/>
      <w:bookmarkStart w:id="125" w:name="_Toc129166076"/>
      <w:r w:rsidRPr="003D6FB0">
        <w:t>6.5</w:t>
      </w:r>
      <w:r w:rsidRPr="003D6FB0">
        <w:tab/>
        <w:t>Recommendations</w:t>
      </w:r>
    </w:p>
    <w:p w14:paraId="28310A6B" w14:textId="3ACD3061" w:rsidR="00A36FCC" w:rsidRDefault="00902BB9" w:rsidP="005901F8">
      <w:pPr>
        <w:rPr>
          <w:szCs w:val="22"/>
        </w:rPr>
      </w:pPr>
      <w:r>
        <w:rPr>
          <w:szCs w:val="22"/>
        </w:rPr>
        <w:t xml:space="preserve">The NDIA considers that there is still growth occurring in the supply of </w:t>
      </w:r>
      <w:r w:rsidR="002659E1">
        <w:rPr>
          <w:szCs w:val="22"/>
        </w:rPr>
        <w:t>providers deliver</w:t>
      </w:r>
      <w:r>
        <w:rPr>
          <w:szCs w:val="22"/>
        </w:rPr>
        <w:t>ing</w:t>
      </w:r>
      <w:r w:rsidR="002659E1">
        <w:rPr>
          <w:szCs w:val="22"/>
        </w:rPr>
        <w:t xml:space="preserve"> support coordination</w:t>
      </w:r>
      <w:r w:rsidR="006B0007">
        <w:rPr>
          <w:szCs w:val="22"/>
        </w:rPr>
        <w:t xml:space="preserve">, with the main </w:t>
      </w:r>
      <w:r w:rsidR="00C00B27">
        <w:rPr>
          <w:szCs w:val="22"/>
        </w:rPr>
        <w:t>grow</w:t>
      </w:r>
      <w:r w:rsidR="006B0007">
        <w:rPr>
          <w:szCs w:val="22"/>
        </w:rPr>
        <w:t xml:space="preserve">th being driven by </w:t>
      </w:r>
      <w:r w:rsidR="00C00B27">
        <w:rPr>
          <w:szCs w:val="22"/>
        </w:rPr>
        <w:t>unregistered providers</w:t>
      </w:r>
      <w:r w:rsidR="006B0007">
        <w:rPr>
          <w:szCs w:val="22"/>
        </w:rPr>
        <w:t xml:space="preserve"> delivering these services</w:t>
      </w:r>
      <w:r w:rsidR="00F25B08">
        <w:rPr>
          <w:szCs w:val="22"/>
        </w:rPr>
        <w:t xml:space="preserve"> (</w:t>
      </w:r>
      <w:r w:rsidR="001A48A5">
        <w:rPr>
          <w:szCs w:val="22"/>
        </w:rPr>
        <w:t xml:space="preserve">this is </w:t>
      </w:r>
      <w:r w:rsidR="00F25B08">
        <w:rPr>
          <w:szCs w:val="22"/>
        </w:rPr>
        <w:t xml:space="preserve">approximately </w:t>
      </w:r>
      <w:r w:rsidR="001A48A5">
        <w:rPr>
          <w:szCs w:val="22"/>
        </w:rPr>
        <w:t xml:space="preserve">a </w:t>
      </w:r>
      <w:r w:rsidR="00F25B08">
        <w:rPr>
          <w:szCs w:val="22"/>
        </w:rPr>
        <w:t>50/50 split between number of registered providers and unregistered providers)</w:t>
      </w:r>
      <w:r w:rsidR="006B0007">
        <w:rPr>
          <w:szCs w:val="22"/>
        </w:rPr>
        <w:t>.</w:t>
      </w:r>
      <w:r w:rsidR="003C2EA0">
        <w:rPr>
          <w:szCs w:val="22"/>
        </w:rPr>
        <w:t xml:space="preserve"> </w:t>
      </w:r>
    </w:p>
    <w:p w14:paraId="46640BF9" w14:textId="3D43DDAD" w:rsidR="00A75B64" w:rsidRDefault="5EA223D9" w:rsidP="24862EB2">
      <w:r>
        <w:t xml:space="preserve">The ratio of participants serviced per providers of support coordination has decreased </w:t>
      </w:r>
      <w:r w:rsidR="09EF0A93">
        <w:t xml:space="preserve">over the </w:t>
      </w:r>
      <w:r w:rsidR="65FDAA5A">
        <w:t>two-year</w:t>
      </w:r>
      <w:r w:rsidR="09EF0A93">
        <w:t xml:space="preserve"> period to December 2022</w:t>
      </w:r>
      <w:r w:rsidR="38734D48">
        <w:t>,</w:t>
      </w:r>
      <w:r w:rsidR="09EF0A93">
        <w:t xml:space="preserve"> </w:t>
      </w:r>
      <w:bookmarkStart w:id="126" w:name="_Int_Dm5ByZQh"/>
      <w:r>
        <w:t>largely due</w:t>
      </w:r>
      <w:bookmarkEnd w:id="126"/>
      <w:r>
        <w:t xml:space="preserve"> to </w:t>
      </w:r>
      <w:r w:rsidR="63D73839">
        <w:t xml:space="preserve">29% </w:t>
      </w:r>
      <w:r>
        <w:t xml:space="preserve">overall growth </w:t>
      </w:r>
      <w:r w:rsidR="19FEF3BA">
        <w:t>in</w:t>
      </w:r>
      <w:r>
        <w:t xml:space="preserve"> provider numbers</w:t>
      </w:r>
      <w:r w:rsidR="0E124E12">
        <w:t>,</w:t>
      </w:r>
      <w:r>
        <w:t xml:space="preserve"> which has outpaced the growth rate of participants </w:t>
      </w:r>
      <w:r w:rsidR="287644BB">
        <w:t xml:space="preserve">receiving these supports </w:t>
      </w:r>
      <w:r>
        <w:t>in the same period.</w:t>
      </w:r>
      <w:r w:rsidR="287644BB">
        <w:t xml:space="preserve"> This signals a </w:t>
      </w:r>
      <w:r w:rsidR="6ACF37D3">
        <w:t>healthy</w:t>
      </w:r>
      <w:r w:rsidR="287644BB">
        <w:t xml:space="preserve"> market metric</w:t>
      </w:r>
      <w:r w:rsidR="329DC3EC">
        <w:t xml:space="preserve">. </w:t>
      </w:r>
      <w:r w:rsidR="00032FA2">
        <w:t>T</w:t>
      </w:r>
      <w:r w:rsidR="329DC3EC">
        <w:t xml:space="preserve">he NDIA </w:t>
      </w:r>
      <w:r w:rsidR="00032FA2">
        <w:t>notes</w:t>
      </w:r>
      <w:r w:rsidR="329DC3EC">
        <w:t xml:space="preserve"> the claim by DIA that the growth of providers may be due to the staff of exited providers now delivering the supports</w:t>
      </w:r>
      <w:r w:rsidR="005D1C59">
        <w:t xml:space="preserve"> and will continue to monitor any further development in this space</w:t>
      </w:r>
      <w:r w:rsidR="329DC3EC">
        <w:t xml:space="preserve">. </w:t>
      </w:r>
    </w:p>
    <w:p w14:paraId="000D2D28" w14:textId="37FFF284" w:rsidR="00035B5F" w:rsidRDefault="009C6151" w:rsidP="005901F8">
      <w:r>
        <w:t>Further, a</w:t>
      </w:r>
      <w:r w:rsidR="005901F8">
        <w:t xml:space="preserve"> theme that continued to be echoed by both participants and representatives and providers is </w:t>
      </w:r>
      <w:r w:rsidR="1A84DFF8">
        <w:t xml:space="preserve">that </w:t>
      </w:r>
      <w:r w:rsidR="005901F8">
        <w:t xml:space="preserve">greater clarity </w:t>
      </w:r>
      <w:r w:rsidR="4BE11CFD">
        <w:t>is</w:t>
      </w:r>
      <w:r w:rsidR="42CE99A8">
        <w:t xml:space="preserve"> </w:t>
      </w:r>
      <w:r w:rsidR="005901F8">
        <w:t xml:space="preserve">needed for the roles of </w:t>
      </w:r>
      <w:r w:rsidR="0049595E">
        <w:t>support coordinator</w:t>
      </w:r>
      <w:r w:rsidR="005901F8">
        <w:t xml:space="preserve"> to </w:t>
      </w:r>
      <w:r w:rsidR="00276927">
        <w:t>p</w:t>
      </w:r>
      <w:r w:rsidR="002B1CDA">
        <w:t>lan manager</w:t>
      </w:r>
      <w:r w:rsidR="005901F8">
        <w:t xml:space="preserve">s in the NDIS. </w:t>
      </w:r>
      <w:r w:rsidR="00564D6D">
        <w:t xml:space="preserve">In addition, there is the fragmented nature of the supports offered by </w:t>
      </w:r>
      <w:r w:rsidR="0049595E">
        <w:t>support coordinator</w:t>
      </w:r>
      <w:r w:rsidR="00362200">
        <w:t xml:space="preserve">s, some of which are unfunded to </w:t>
      </w:r>
      <w:r w:rsidR="00035B5F">
        <w:t xml:space="preserve">best support participants. </w:t>
      </w:r>
    </w:p>
    <w:p w14:paraId="3FBD7DD3" w14:textId="4BCD2B51" w:rsidR="001A34E3" w:rsidRDefault="005B2969" w:rsidP="001A34E3">
      <w:pPr>
        <w:rPr>
          <w:szCs w:val="22"/>
        </w:rPr>
      </w:pPr>
      <w:r>
        <w:rPr>
          <w:szCs w:val="22"/>
        </w:rPr>
        <w:t xml:space="preserve">The NDIS Review is </w:t>
      </w:r>
      <w:r w:rsidR="00592F68">
        <w:rPr>
          <w:szCs w:val="22"/>
        </w:rPr>
        <w:t xml:space="preserve">currently </w:t>
      </w:r>
      <w:r>
        <w:rPr>
          <w:szCs w:val="22"/>
        </w:rPr>
        <w:t xml:space="preserve">considering </w:t>
      </w:r>
      <w:r w:rsidR="00592F68">
        <w:rPr>
          <w:szCs w:val="22"/>
        </w:rPr>
        <w:t>the role of intermediaries</w:t>
      </w:r>
      <w:r w:rsidR="005A08BF">
        <w:rPr>
          <w:szCs w:val="22"/>
        </w:rPr>
        <w:t>,</w:t>
      </w:r>
      <w:r w:rsidR="00592F68">
        <w:rPr>
          <w:szCs w:val="22"/>
        </w:rPr>
        <w:t xml:space="preserve"> which is i</w:t>
      </w:r>
      <w:r w:rsidR="005901F8">
        <w:rPr>
          <w:szCs w:val="22"/>
        </w:rPr>
        <w:t xml:space="preserve">n line with recommendations 30 and 33 from the 2021-22 APR. </w:t>
      </w:r>
      <w:r w:rsidR="001A34E3">
        <w:rPr>
          <w:szCs w:val="22"/>
        </w:rPr>
        <w:t xml:space="preserve">As such, the NDIA should consider any appropriate structural changes to support coordination support pricing arrangements </w:t>
      </w:r>
      <w:r w:rsidR="008E096E">
        <w:rPr>
          <w:szCs w:val="22"/>
        </w:rPr>
        <w:t>after</w:t>
      </w:r>
      <w:r w:rsidR="001A34E3">
        <w:rPr>
          <w:szCs w:val="22"/>
        </w:rPr>
        <w:t xml:space="preserve"> outcomes from the NDIS Review</w:t>
      </w:r>
      <w:r w:rsidR="001A48A5">
        <w:rPr>
          <w:szCs w:val="22"/>
        </w:rPr>
        <w:t xml:space="preserve"> are delivered</w:t>
      </w:r>
      <w:r w:rsidR="001A34E3" w:rsidRPr="00787B95">
        <w:rPr>
          <w:szCs w:val="22"/>
        </w:rPr>
        <w:t>.</w:t>
      </w:r>
    </w:p>
    <w:p w14:paraId="5F9B7DB3" w14:textId="5BF5CBEA" w:rsidR="001A34E3" w:rsidRDefault="009C0B88" w:rsidP="005901F8">
      <w:pPr>
        <w:rPr>
          <w:szCs w:val="22"/>
        </w:rPr>
      </w:pPr>
      <w:r>
        <w:rPr>
          <w:lang w:eastAsia="en-AU"/>
        </w:rPr>
        <w:t>On balance, t</w:t>
      </w:r>
      <w:r w:rsidR="001A34E3">
        <w:rPr>
          <w:lang w:eastAsia="en-AU"/>
        </w:rPr>
        <w:t xml:space="preserve">he NDIA does </w:t>
      </w:r>
      <w:r w:rsidR="001A34E3" w:rsidRPr="00DF0C3D">
        <w:rPr>
          <w:lang w:eastAsia="en-AU"/>
        </w:rPr>
        <w:t>not consider</w:t>
      </w:r>
      <w:r w:rsidR="001A34E3">
        <w:rPr>
          <w:lang w:eastAsia="en-AU"/>
        </w:rPr>
        <w:t xml:space="preserve"> </w:t>
      </w:r>
      <w:r w:rsidR="001A34E3" w:rsidRPr="00DF0C3D">
        <w:rPr>
          <w:lang w:eastAsia="en-AU"/>
        </w:rPr>
        <w:t xml:space="preserve">that an increase in the price limits for Level 2: Coordination of Supports services and Level 3: Specialist Support Coordination services price limit is </w:t>
      </w:r>
      <w:r w:rsidR="001A48A5">
        <w:rPr>
          <w:lang w:eastAsia="en-AU"/>
        </w:rPr>
        <w:t>required</w:t>
      </w:r>
      <w:r w:rsidR="001A34E3" w:rsidRPr="00DF0C3D">
        <w:rPr>
          <w:lang w:eastAsia="en-AU"/>
        </w:rPr>
        <w:t>.</w:t>
      </w:r>
      <w:r w:rsidR="001A34E3">
        <w:rPr>
          <w:lang w:eastAsia="en-AU"/>
        </w:rPr>
        <w:t xml:space="preserve"> </w:t>
      </w:r>
      <w:r w:rsidR="001A34E3">
        <w:rPr>
          <w:szCs w:val="22"/>
        </w:rPr>
        <w:t>Paired with the NDIS Review</w:t>
      </w:r>
      <w:r w:rsidR="00E3099D">
        <w:rPr>
          <w:szCs w:val="22"/>
        </w:rPr>
        <w:t xml:space="preserve"> still underway</w:t>
      </w:r>
      <w:r w:rsidR="002C5EF9">
        <w:rPr>
          <w:szCs w:val="22"/>
        </w:rPr>
        <w:t>;</w:t>
      </w:r>
      <w:r w:rsidR="00D1093A">
        <w:rPr>
          <w:szCs w:val="22"/>
        </w:rPr>
        <w:t xml:space="preserve"> the NDIA has considered </w:t>
      </w:r>
      <w:r w:rsidR="001A34E3">
        <w:rPr>
          <w:szCs w:val="22"/>
        </w:rPr>
        <w:t xml:space="preserve">the increase in provider </w:t>
      </w:r>
      <w:r w:rsidR="006912E6">
        <w:rPr>
          <w:szCs w:val="22"/>
        </w:rPr>
        <w:t xml:space="preserve">numbers </w:t>
      </w:r>
      <w:r w:rsidR="001A34E3">
        <w:rPr>
          <w:szCs w:val="22"/>
        </w:rPr>
        <w:t>in delivering support coordination supports to NDIS participants</w:t>
      </w:r>
      <w:r w:rsidR="00BE4DB2">
        <w:rPr>
          <w:szCs w:val="22"/>
        </w:rPr>
        <w:t>.</w:t>
      </w:r>
      <w:r w:rsidR="00C7459C">
        <w:rPr>
          <w:szCs w:val="22"/>
        </w:rPr>
        <w:t xml:space="preserve"> </w:t>
      </w:r>
      <w:r w:rsidR="00C7459C" w:rsidRPr="00DF0C3D">
        <w:rPr>
          <w:lang w:eastAsia="en-AU"/>
        </w:rPr>
        <w:t>It is therefore recommended that the price limits for support coordination should not be changed on 1 July 202</w:t>
      </w:r>
      <w:r w:rsidR="00C7459C">
        <w:rPr>
          <w:lang w:eastAsia="en-AU"/>
        </w:rPr>
        <w:t>3</w:t>
      </w:r>
      <w:r w:rsidR="00C7459C" w:rsidRPr="00DF0C3D">
        <w:rPr>
          <w:lang w:eastAsia="en-AU"/>
        </w:rPr>
        <w:t>, except for the Level 1: Support Connection support item</w:t>
      </w:r>
      <w:r w:rsidR="002237A2">
        <w:rPr>
          <w:lang w:eastAsia="en-AU"/>
        </w:rPr>
        <w:t xml:space="preserve">. This is because Level 1: Support Connection is </w:t>
      </w:r>
      <w:r w:rsidR="00C7459C" w:rsidRPr="00DF0C3D">
        <w:rPr>
          <w:lang w:eastAsia="en-AU"/>
        </w:rPr>
        <w:t>set by the NDIS DSW Cost Model</w:t>
      </w:r>
      <w:r w:rsidR="002237A2">
        <w:rPr>
          <w:lang w:eastAsia="en-AU"/>
        </w:rPr>
        <w:t xml:space="preserve"> and should continue to align to this </w:t>
      </w:r>
      <w:r w:rsidR="00203F51">
        <w:rPr>
          <w:lang w:eastAsia="en-AU"/>
        </w:rPr>
        <w:t>Cost Model</w:t>
      </w:r>
      <w:r w:rsidR="00C7459C" w:rsidRPr="00DF0C3D">
        <w:rPr>
          <w:lang w:eastAsia="en-AU"/>
        </w:rPr>
        <w:t>.</w:t>
      </w:r>
    </w:p>
    <w:p w14:paraId="19FA35E2" w14:textId="79C5B580" w:rsidR="005901F8" w:rsidRPr="00DF0C3D" w:rsidRDefault="005901F8" w:rsidP="005901F8">
      <w:pPr>
        <w:pStyle w:val="RecHeading"/>
      </w:pPr>
      <w:r w:rsidRPr="00DF0C3D">
        <w:t xml:space="preserve">Recommendation </w:t>
      </w:r>
      <w:r w:rsidR="00D20564">
        <w:t>8</w:t>
      </w:r>
    </w:p>
    <w:p w14:paraId="2EF1E2B0" w14:textId="77777777" w:rsidR="005901F8" w:rsidRPr="00DF0C3D" w:rsidRDefault="005901F8" w:rsidP="005901F8">
      <w:pPr>
        <w:pStyle w:val="RecText"/>
      </w:pPr>
      <w:r>
        <w:t>The NDIA</w:t>
      </w:r>
      <w:r w:rsidRPr="00DF0C3D">
        <w:t xml:space="preserve"> should not make any structural adjustment to the NDIS pricing arrangements for support coordination at this time and should: </w:t>
      </w:r>
    </w:p>
    <w:p w14:paraId="10924DA3" w14:textId="77777777" w:rsidR="005901F8" w:rsidRPr="00DF0C3D" w:rsidRDefault="005901F8" w:rsidP="00F317CA">
      <w:pPr>
        <w:pStyle w:val="RecDotPoint"/>
        <w:numPr>
          <w:ilvl w:val="0"/>
          <w:numId w:val="5"/>
        </w:numPr>
        <w:ind w:left="851"/>
      </w:pPr>
      <w:r w:rsidRPr="00DF0C3D">
        <w:lastRenderedPageBreak/>
        <w:t>Index the price limits for the Level 1: Support Connection services on 1 July 202</w:t>
      </w:r>
      <w:r>
        <w:t>3</w:t>
      </w:r>
      <w:r w:rsidRPr="00DF0C3D">
        <w:t xml:space="preserve">, in line with the indexation of </w:t>
      </w:r>
      <w:r>
        <w:t xml:space="preserve">supports </w:t>
      </w:r>
      <w:r w:rsidRPr="00DF0C3D">
        <w:t xml:space="preserve">determined by the NDIS Disability Support Worker Cost Model in recommendation </w:t>
      </w:r>
      <w:r>
        <w:t>1</w:t>
      </w:r>
      <w:r w:rsidRPr="00DF0C3D">
        <w:t>, and</w:t>
      </w:r>
    </w:p>
    <w:p w14:paraId="727D5415" w14:textId="2DEC69ED" w:rsidR="005901F8" w:rsidRPr="00572EF2" w:rsidRDefault="005901F8" w:rsidP="005901F8">
      <w:pPr>
        <w:pStyle w:val="RecDotPoint"/>
        <w:numPr>
          <w:ilvl w:val="0"/>
          <w:numId w:val="5"/>
        </w:numPr>
        <w:ind w:left="851"/>
      </w:pPr>
      <w:r w:rsidRPr="00DF0C3D">
        <w:t>Not index the price limits for the Level 2: Coordination of Supports services and Level 3: Specialist Support Coordination services on 1 July 202</w:t>
      </w:r>
      <w:r>
        <w:t>3</w:t>
      </w:r>
      <w:r w:rsidRPr="00DF0C3D">
        <w:t>.</w:t>
      </w:r>
    </w:p>
    <w:p w14:paraId="4A1E9910" w14:textId="58E5F530" w:rsidR="00734600" w:rsidRDefault="004F3AA1" w:rsidP="00572EF2">
      <w:pPr>
        <w:spacing w:before="240"/>
        <w:rPr>
          <w:szCs w:val="22"/>
        </w:rPr>
      </w:pPr>
      <w:r>
        <w:t>T</w:t>
      </w:r>
      <w:r w:rsidR="005901F8">
        <w:t>he</w:t>
      </w:r>
      <w:r w:rsidR="005901F8" w:rsidRPr="00787B95">
        <w:rPr>
          <w:szCs w:val="22"/>
        </w:rPr>
        <w:t xml:space="preserve"> NDIA </w:t>
      </w:r>
      <w:r w:rsidR="005901F8">
        <w:rPr>
          <w:szCs w:val="22"/>
        </w:rPr>
        <w:t xml:space="preserve">sees merit in the benchmarking survey conducted by DIA </w:t>
      </w:r>
      <w:r w:rsidR="00734600">
        <w:rPr>
          <w:szCs w:val="22"/>
        </w:rPr>
        <w:t xml:space="preserve">to be able to better </w:t>
      </w:r>
      <w:r w:rsidR="00734600" w:rsidRPr="00787B95">
        <w:rPr>
          <w:szCs w:val="22"/>
        </w:rPr>
        <w:t xml:space="preserve">capture the specific cost drivers </w:t>
      </w:r>
      <w:r w:rsidR="00734600">
        <w:rPr>
          <w:szCs w:val="22"/>
        </w:rPr>
        <w:t xml:space="preserve">faced by support coordination providers. This </w:t>
      </w:r>
      <w:r w:rsidR="002C19C2">
        <w:rPr>
          <w:szCs w:val="22"/>
        </w:rPr>
        <w:t xml:space="preserve">also </w:t>
      </w:r>
      <w:r w:rsidR="00734600">
        <w:rPr>
          <w:szCs w:val="22"/>
        </w:rPr>
        <w:t>consider</w:t>
      </w:r>
      <w:r w:rsidR="0017376D">
        <w:rPr>
          <w:szCs w:val="22"/>
        </w:rPr>
        <w:t>s that</w:t>
      </w:r>
      <w:r w:rsidR="00734600">
        <w:rPr>
          <w:szCs w:val="22"/>
        </w:rPr>
        <w:t xml:space="preserve"> 92% of respondents</w:t>
      </w:r>
      <w:r>
        <w:rPr>
          <w:szCs w:val="22"/>
        </w:rPr>
        <w:t xml:space="preserve"> for support coordination</w:t>
      </w:r>
      <w:r w:rsidR="00734600">
        <w:rPr>
          <w:szCs w:val="22"/>
        </w:rPr>
        <w:t xml:space="preserve"> reported to have employees under the SCHADS Award</w:t>
      </w:r>
      <w:r>
        <w:rPr>
          <w:szCs w:val="22"/>
        </w:rPr>
        <w:t xml:space="preserve">. This </w:t>
      </w:r>
      <w:r w:rsidR="00E858F0">
        <w:rPr>
          <w:szCs w:val="22"/>
        </w:rPr>
        <w:t>make</w:t>
      </w:r>
      <w:r w:rsidR="008F4844">
        <w:rPr>
          <w:szCs w:val="22"/>
        </w:rPr>
        <w:t>s</w:t>
      </w:r>
      <w:r w:rsidR="00E858F0">
        <w:rPr>
          <w:szCs w:val="22"/>
        </w:rPr>
        <w:t xml:space="preserve"> it reasonable to justify </w:t>
      </w:r>
      <w:r>
        <w:rPr>
          <w:szCs w:val="22"/>
        </w:rPr>
        <w:t xml:space="preserve">having a Cost Model </w:t>
      </w:r>
      <w:r w:rsidR="008F4844">
        <w:rPr>
          <w:szCs w:val="22"/>
        </w:rPr>
        <w:t xml:space="preserve">for </w:t>
      </w:r>
      <w:r w:rsidR="008F4844" w:rsidRPr="008F4844">
        <w:rPr>
          <w:szCs w:val="22"/>
        </w:rPr>
        <w:t>Level 2: Coordination of Supports and Level 3: Specialist Support Coordination</w:t>
      </w:r>
      <w:r w:rsidR="008F4844">
        <w:rPr>
          <w:szCs w:val="22"/>
        </w:rPr>
        <w:t xml:space="preserve">, </w:t>
      </w:r>
      <w:r w:rsidR="000C281F">
        <w:rPr>
          <w:szCs w:val="22"/>
        </w:rPr>
        <w:t xml:space="preserve">after </w:t>
      </w:r>
      <w:r>
        <w:t>the outcomes of the NDIS Review</w:t>
      </w:r>
      <w:r w:rsidR="00097EF8">
        <w:t>,</w:t>
      </w:r>
      <w:r>
        <w:t xml:space="preserve"> which is looking at the roles of intermediaries in the NDIS</w:t>
      </w:r>
      <w:r w:rsidR="00097EF8">
        <w:t>, are received</w:t>
      </w:r>
      <w:r>
        <w:t>.</w:t>
      </w:r>
    </w:p>
    <w:p w14:paraId="6C5AC90D" w14:textId="4050DBE7" w:rsidR="005901F8" w:rsidRPr="00DF0C3D" w:rsidRDefault="005901F8" w:rsidP="005901F8">
      <w:pPr>
        <w:pStyle w:val="RecHeading"/>
      </w:pPr>
      <w:r w:rsidRPr="00DF0C3D">
        <w:t xml:space="preserve">Recommendation </w:t>
      </w:r>
      <w:r w:rsidR="00D20564">
        <w:t>9</w:t>
      </w:r>
    </w:p>
    <w:p w14:paraId="38792DF2" w14:textId="4514994C" w:rsidR="005901F8" w:rsidRDefault="00C26BE7" w:rsidP="00572EF2">
      <w:pPr>
        <w:pStyle w:val="RecText"/>
      </w:pPr>
      <w:r>
        <w:t>After</w:t>
      </w:r>
      <w:r w:rsidR="005901F8">
        <w:t xml:space="preserve"> the outcomes of the NDIS Review</w:t>
      </w:r>
      <w:r w:rsidR="00097EF8">
        <w:t xml:space="preserve"> are </w:t>
      </w:r>
      <w:r w:rsidR="009B3C31">
        <w:t>announced</w:t>
      </w:r>
      <w:r w:rsidR="005901F8">
        <w:t>, the NDIA</w:t>
      </w:r>
      <w:r w:rsidR="005901F8" w:rsidRPr="00DF0C3D">
        <w:t xml:space="preserve"> should </w:t>
      </w:r>
      <w:r w:rsidR="005901F8">
        <w:t xml:space="preserve">work with </w:t>
      </w:r>
      <w:r w:rsidR="00D85991">
        <w:t>the sector</w:t>
      </w:r>
      <w:r w:rsidR="005901F8">
        <w:t xml:space="preserve"> and other appropriate stakeholders to develop Cost Models for </w:t>
      </w:r>
      <w:bookmarkStart w:id="127" w:name="_Hlk134125745"/>
      <w:r w:rsidR="005901F8">
        <w:t>Level 2: Coordination of Supports and Level 3: Specialist Support Coordination</w:t>
      </w:r>
      <w:bookmarkEnd w:id="127"/>
      <w:r w:rsidR="005901F8">
        <w:t>.</w:t>
      </w:r>
    </w:p>
    <w:p w14:paraId="52689F5B" w14:textId="247B8AA2" w:rsidR="00A95B25" w:rsidRPr="00F11209" w:rsidRDefault="00A95B25" w:rsidP="00572EF2">
      <w:pPr>
        <w:spacing w:before="240"/>
        <w:rPr>
          <w:szCs w:val="22"/>
        </w:rPr>
      </w:pPr>
      <w:r w:rsidRPr="00F11209">
        <w:rPr>
          <w:szCs w:val="22"/>
        </w:rPr>
        <w:t xml:space="preserve">The NDIA also considers that there may be instances where </w:t>
      </w:r>
      <w:r w:rsidR="0049595E">
        <w:rPr>
          <w:szCs w:val="22"/>
        </w:rPr>
        <w:t>support coordinator</w:t>
      </w:r>
      <w:r w:rsidRPr="00F11209">
        <w:rPr>
          <w:szCs w:val="22"/>
        </w:rPr>
        <w:t xml:space="preserve">s could be required to undertake work following the death of a participant or including the administrative work associated with gathering information, returning equipment, and completing forms. In addition, other significant </w:t>
      </w:r>
      <w:proofErr w:type="gramStart"/>
      <w:r w:rsidRPr="00F11209">
        <w:rPr>
          <w:szCs w:val="22"/>
        </w:rPr>
        <w:t>changes</w:t>
      </w:r>
      <w:proofErr w:type="gramEnd"/>
      <w:r w:rsidRPr="00F11209">
        <w:rPr>
          <w:szCs w:val="22"/>
        </w:rPr>
        <w:t xml:space="preserve"> or situations (such as interactions with justice or health services) may require additional administrative work including responding to subpoenas or providing critical details where required. As such, the NDIA should examine options to allow </w:t>
      </w:r>
      <w:r w:rsidR="0049595E">
        <w:rPr>
          <w:szCs w:val="22"/>
        </w:rPr>
        <w:t>support coordinator</w:t>
      </w:r>
      <w:r w:rsidRPr="00F11209">
        <w:rPr>
          <w:szCs w:val="22"/>
        </w:rPr>
        <w:t>s to claim for reasonable payments.</w:t>
      </w:r>
    </w:p>
    <w:p w14:paraId="12B6497E" w14:textId="77777777" w:rsidR="00A95B25" w:rsidRPr="00DF0C3D" w:rsidRDefault="00A95B25" w:rsidP="00A95B25">
      <w:pPr>
        <w:pStyle w:val="RecHeading"/>
      </w:pPr>
      <w:r w:rsidRPr="00DF0C3D">
        <w:t xml:space="preserve">Recommendation </w:t>
      </w:r>
      <w:r>
        <w:t>10</w:t>
      </w:r>
    </w:p>
    <w:p w14:paraId="762E1BAB" w14:textId="4A005513" w:rsidR="00A95B25" w:rsidRPr="002B7CAF" w:rsidRDefault="00A95B25" w:rsidP="00A95B25">
      <w:pPr>
        <w:pStyle w:val="RecText"/>
      </w:pPr>
      <w:r>
        <w:t>The NDIA should examine options</w:t>
      </w:r>
      <w:r w:rsidRPr="003A7A73">
        <w:t xml:space="preserve"> </w:t>
      </w:r>
      <w:r>
        <w:t xml:space="preserve">on billable work required by </w:t>
      </w:r>
      <w:r w:rsidR="0049595E">
        <w:t>support coordinator</w:t>
      </w:r>
      <w:r>
        <w:t xml:space="preserve">s that is required </w:t>
      </w:r>
      <w:r w:rsidRPr="002B7CAF">
        <w:t>after a participant’s death</w:t>
      </w:r>
      <w:r>
        <w:t xml:space="preserve"> or other key events</w:t>
      </w:r>
      <w:r w:rsidRPr="002B7CAF">
        <w:t>.</w:t>
      </w:r>
    </w:p>
    <w:p w14:paraId="430F0FEB" w14:textId="58C803F1" w:rsidR="00040FBD" w:rsidRDefault="00040FBD" w:rsidP="6D9B8DF4">
      <w:pPr>
        <w:rPr>
          <w:b/>
          <w:bCs/>
        </w:rPr>
        <w:sectPr w:rsidR="00040FBD" w:rsidSect="00E208B3">
          <w:pgSz w:w="11907" w:h="16839" w:code="9"/>
          <w:pgMar w:top="1080" w:right="1440" w:bottom="1276" w:left="1440" w:header="709" w:footer="709" w:gutter="0"/>
          <w:cols w:space="708"/>
          <w:docGrid w:linePitch="360"/>
        </w:sectPr>
      </w:pPr>
    </w:p>
    <w:p w14:paraId="78965290" w14:textId="081E0B78" w:rsidR="00E94826" w:rsidRPr="006274F1" w:rsidRDefault="00E94826" w:rsidP="00430B55">
      <w:pPr>
        <w:pStyle w:val="Heading2"/>
      </w:pPr>
      <w:bookmarkStart w:id="128" w:name="_Toc135405225"/>
      <w:bookmarkEnd w:id="122"/>
      <w:bookmarkEnd w:id="123"/>
      <w:bookmarkEnd w:id="124"/>
      <w:bookmarkEnd w:id="125"/>
      <w:r w:rsidRPr="006274F1">
        <w:lastRenderedPageBreak/>
        <w:t xml:space="preserve">Plan </w:t>
      </w:r>
      <w:r w:rsidR="003D3269" w:rsidRPr="006274F1">
        <w:t>m</w:t>
      </w:r>
      <w:r w:rsidRPr="006274F1">
        <w:t>anagement</w:t>
      </w:r>
      <w:r w:rsidR="003D3269" w:rsidRPr="006274F1">
        <w:t xml:space="preserve"> supports</w:t>
      </w:r>
      <w:bookmarkEnd w:id="128"/>
    </w:p>
    <w:p w14:paraId="5D52F993" w14:textId="34A216B7" w:rsidR="00537BF0" w:rsidRPr="0044769B" w:rsidRDefault="00537BF0" w:rsidP="00D9646F">
      <w:pPr>
        <w:pStyle w:val="Heading3"/>
      </w:pPr>
      <w:r w:rsidRPr="0044769B">
        <w:t>7.1</w:t>
      </w:r>
      <w:r w:rsidRPr="0044769B">
        <w:tab/>
        <w:t>Context</w:t>
      </w:r>
    </w:p>
    <w:p w14:paraId="17B62FB8" w14:textId="77777777" w:rsidR="008E2C32" w:rsidRPr="00A83CBA" w:rsidRDefault="008E2C32" w:rsidP="008E2C32">
      <w:pPr>
        <w:rPr>
          <w:b/>
          <w:bCs/>
        </w:rPr>
      </w:pPr>
      <w:r>
        <w:t>P</w:t>
      </w:r>
      <w:r w:rsidRPr="00A83CBA">
        <w:t xml:space="preserve">lan </w:t>
      </w:r>
      <w:r>
        <w:t>m</w:t>
      </w:r>
      <w:r w:rsidRPr="00A83CBA">
        <w:t xml:space="preserve">anagers play a crucial role in </w:t>
      </w:r>
      <w:r>
        <w:t xml:space="preserve">the NDIS </w:t>
      </w:r>
      <w:r w:rsidRPr="00A83CBA">
        <w:t>ensuring a sustainable and efficient system</w:t>
      </w:r>
      <w:r>
        <w:t>, whilst assisting participants manage their NDIS plan funding.</w:t>
      </w:r>
      <w:r w:rsidRPr="00A83CBA">
        <w:t xml:space="preserve"> This chapter closely examines the extent to which these arrangements promote innovation, enhance service quality, and ensure value for money for participants.</w:t>
      </w:r>
    </w:p>
    <w:p w14:paraId="68F79B91" w14:textId="4731F772" w:rsidR="00426A00" w:rsidRPr="002A0F38" w:rsidRDefault="00426A00" w:rsidP="00426A00">
      <w:pPr>
        <w:rPr>
          <w:rFonts w:eastAsiaTheme="minorHAnsi" w:cs="Arial"/>
          <w:color w:val="000000"/>
          <w:szCs w:val="22"/>
          <w:lang w:eastAsia="en-US" w:bidi="th-TH"/>
        </w:rPr>
      </w:pPr>
      <w:r w:rsidRPr="002A0F38">
        <w:rPr>
          <w:rFonts w:eastAsiaTheme="minorHAnsi" w:cs="Arial"/>
          <w:color w:val="000000"/>
          <w:szCs w:val="22"/>
          <w:lang w:eastAsia="en-US" w:bidi="th-TH"/>
        </w:rPr>
        <w:t>The funding for supports that is provided by the NDIS under a participant’s plan can be managed wholly or in part by the participant; or by a registered plan management provider (“</w:t>
      </w:r>
      <w:r w:rsidR="00276927">
        <w:rPr>
          <w:rFonts w:eastAsiaTheme="minorHAnsi" w:cs="Arial"/>
          <w:color w:val="000000"/>
          <w:szCs w:val="22"/>
          <w:lang w:eastAsia="en-US" w:bidi="th-TH"/>
        </w:rPr>
        <w:t>p</w:t>
      </w:r>
      <w:r w:rsidR="002B1CDA">
        <w:rPr>
          <w:rFonts w:eastAsiaTheme="minorHAnsi" w:cs="Arial"/>
          <w:color w:val="000000"/>
          <w:szCs w:val="22"/>
          <w:lang w:eastAsia="en-US" w:bidi="th-TH"/>
        </w:rPr>
        <w:t>lan manager</w:t>
      </w:r>
      <w:r w:rsidRPr="002A0F38">
        <w:rPr>
          <w:rFonts w:eastAsiaTheme="minorHAnsi" w:cs="Arial"/>
          <w:color w:val="000000"/>
          <w:szCs w:val="22"/>
          <w:lang w:eastAsia="en-US" w:bidi="th-TH"/>
        </w:rPr>
        <w:t>”); or by the NDIA; or by a plan nominee (if one has been appointed).</w:t>
      </w:r>
    </w:p>
    <w:p w14:paraId="7E180B86" w14:textId="2877E8C8" w:rsidR="00426A00" w:rsidRPr="002A0F38" w:rsidRDefault="00426A00" w:rsidP="00426A00">
      <w:pPr>
        <w:rPr>
          <w:rFonts w:eastAsiaTheme="minorHAnsi" w:cs="Arial"/>
          <w:color w:val="000000"/>
          <w:szCs w:val="22"/>
          <w:lang w:eastAsia="en-US" w:bidi="th-TH"/>
        </w:rPr>
      </w:pPr>
      <w:r w:rsidRPr="002A0F38">
        <w:rPr>
          <w:rFonts w:eastAsiaTheme="minorHAnsi" w:cs="Arial"/>
          <w:color w:val="000000"/>
          <w:szCs w:val="22"/>
          <w:lang w:eastAsia="en-US" w:bidi="th-TH"/>
        </w:rPr>
        <w:t xml:space="preserve">Currently, participants can choose (subject to the terms of any plan nominee appointment) to engage a registered </w:t>
      </w:r>
      <w:r w:rsidR="002B1CDA">
        <w:rPr>
          <w:rFonts w:eastAsiaTheme="minorHAnsi" w:cs="Arial"/>
          <w:color w:val="000000"/>
          <w:szCs w:val="22"/>
          <w:lang w:eastAsia="en-US" w:bidi="th-TH"/>
        </w:rPr>
        <w:t>plan manager</w:t>
      </w:r>
      <w:r w:rsidRPr="002A0F38">
        <w:rPr>
          <w:rFonts w:eastAsiaTheme="minorHAnsi" w:cs="Arial"/>
          <w:color w:val="000000"/>
          <w:szCs w:val="22"/>
          <w:lang w:eastAsia="en-US" w:bidi="th-TH"/>
        </w:rPr>
        <w:t xml:space="preserve"> to manage some or </w:t>
      </w:r>
      <w:r w:rsidR="0087438C" w:rsidRPr="002A0F38">
        <w:rPr>
          <w:rFonts w:eastAsiaTheme="minorHAnsi" w:cs="Arial"/>
          <w:color w:val="000000"/>
          <w:szCs w:val="22"/>
          <w:lang w:eastAsia="en-US" w:bidi="th-TH"/>
        </w:rPr>
        <w:t>all</w:t>
      </w:r>
      <w:r w:rsidRPr="002A0F38">
        <w:rPr>
          <w:rFonts w:eastAsiaTheme="minorHAnsi" w:cs="Arial"/>
          <w:color w:val="000000"/>
          <w:szCs w:val="22"/>
          <w:lang w:eastAsia="en-US" w:bidi="th-TH"/>
        </w:rPr>
        <w:t xml:space="preserve"> the funding for supports in their plan. If a participant makes this choice, then the NDIA is currently required to give effect to the participant’s choice. The NDIA also then includes funding in the participant’s plan so that they can engage their preferred registered </w:t>
      </w:r>
      <w:r w:rsidR="002B1CDA">
        <w:rPr>
          <w:rFonts w:eastAsiaTheme="minorHAnsi" w:cs="Arial"/>
          <w:color w:val="000000"/>
          <w:szCs w:val="22"/>
          <w:lang w:eastAsia="en-US" w:bidi="th-TH"/>
        </w:rPr>
        <w:t>plan manager</w:t>
      </w:r>
      <w:r w:rsidRPr="002A0F38">
        <w:rPr>
          <w:rFonts w:eastAsiaTheme="minorHAnsi" w:cs="Arial"/>
          <w:color w:val="000000"/>
          <w:szCs w:val="22"/>
          <w:lang w:eastAsia="en-US" w:bidi="th-TH"/>
        </w:rPr>
        <w:t>.</w:t>
      </w:r>
    </w:p>
    <w:p w14:paraId="7B7F0B90" w14:textId="2BF1AD51" w:rsidR="00426A00" w:rsidRPr="002A0F38" w:rsidRDefault="6162270E" w:rsidP="24862EB2">
      <w:pPr>
        <w:rPr>
          <w:rFonts w:cs="Arial"/>
          <w:color w:val="000000"/>
          <w:lang w:eastAsia="en-US" w:bidi="th-TH"/>
        </w:rPr>
      </w:pPr>
      <w:r w:rsidRPr="24862EB2">
        <w:rPr>
          <w:rFonts w:cs="Arial"/>
          <w:color w:val="000000"/>
          <w:lang w:eastAsia="en-US" w:bidi="th-TH"/>
        </w:rPr>
        <w:t xml:space="preserve">The NDIS Act requires </w:t>
      </w:r>
      <w:r w:rsidR="002B1CDA">
        <w:rPr>
          <w:rFonts w:cs="Arial"/>
          <w:color w:val="000000"/>
          <w:lang w:eastAsia="en-US" w:bidi="th-TH"/>
        </w:rPr>
        <w:t>plan manager</w:t>
      </w:r>
      <w:r w:rsidRPr="24862EB2">
        <w:rPr>
          <w:rFonts w:cs="Arial"/>
          <w:color w:val="000000"/>
          <w:lang w:eastAsia="en-US" w:bidi="th-TH"/>
        </w:rPr>
        <w:t xml:space="preserve">s to be registered with the </w:t>
      </w:r>
      <w:r w:rsidR="00097EF8" w:rsidRPr="24862EB2">
        <w:rPr>
          <w:rFonts w:cs="Arial"/>
          <w:color w:val="000000"/>
          <w:lang w:eastAsia="en-US" w:bidi="th-TH"/>
        </w:rPr>
        <w:t xml:space="preserve">NDIS Quality and Safeguards Commission (NDIS </w:t>
      </w:r>
      <w:r w:rsidR="0016595E" w:rsidRPr="24862EB2">
        <w:rPr>
          <w:rFonts w:cs="Arial"/>
          <w:color w:val="000000"/>
          <w:lang w:eastAsia="en-US" w:bidi="th-TH"/>
        </w:rPr>
        <w:t xml:space="preserve">Commission) </w:t>
      </w:r>
      <w:proofErr w:type="gramStart"/>
      <w:r w:rsidR="0016595E" w:rsidRPr="24862EB2">
        <w:rPr>
          <w:rFonts w:cs="Arial"/>
          <w:color w:val="000000"/>
          <w:lang w:eastAsia="en-US" w:bidi="th-TH"/>
        </w:rPr>
        <w:t>in</w:t>
      </w:r>
      <w:r w:rsidRPr="24862EB2">
        <w:rPr>
          <w:rFonts w:cs="Arial"/>
          <w:color w:val="000000"/>
          <w:lang w:eastAsia="en-US" w:bidi="th-TH"/>
        </w:rPr>
        <w:t xml:space="preserve"> order to</w:t>
      </w:r>
      <w:proofErr w:type="gramEnd"/>
      <w:r w:rsidRPr="24862EB2">
        <w:rPr>
          <w:rFonts w:cs="Arial"/>
          <w:color w:val="000000"/>
          <w:lang w:eastAsia="en-US" w:bidi="th-TH"/>
        </w:rPr>
        <w:t xml:space="preserve"> manage the funding of supports under a participant’s plan. As a result, they are required to: demonstrate compliance with the Core Module of the NDIS Practice Standards; comply with the NDIS Code of Conduct; have an in-house complaints management and resolution system to record and manage complaints, and support NDIS participants or other relevant parties to make a complaint; have an in-house incident management system, and notify the</w:t>
      </w:r>
      <w:r w:rsidR="00097EF8">
        <w:rPr>
          <w:rFonts w:cs="Arial"/>
          <w:color w:val="000000"/>
          <w:lang w:eastAsia="en-US" w:bidi="th-TH"/>
        </w:rPr>
        <w:t xml:space="preserve"> NDIS Commission</w:t>
      </w:r>
      <w:r w:rsidRPr="24862EB2">
        <w:rPr>
          <w:rFonts w:cs="Arial"/>
          <w:color w:val="000000"/>
          <w:lang w:eastAsia="en-US" w:bidi="th-TH"/>
        </w:rPr>
        <w:t xml:space="preserve"> should a reportable incident occur (including alleged reportable incidents); and fulfil the worker screening requirements where relevant.</w:t>
      </w:r>
    </w:p>
    <w:p w14:paraId="53EB8521" w14:textId="3D0F9F67" w:rsidR="00426A00" w:rsidRPr="002A0F38" w:rsidRDefault="002B1CDA" w:rsidP="24862EB2">
      <w:pPr>
        <w:rPr>
          <w:rFonts w:cs="Arial"/>
          <w:color w:val="000000"/>
          <w:lang w:eastAsia="en-US" w:bidi="th-TH"/>
        </w:rPr>
      </w:pPr>
      <w:r>
        <w:rPr>
          <w:rFonts w:cs="Arial"/>
          <w:color w:val="000000"/>
          <w:lang w:eastAsia="en-US" w:bidi="th-TH"/>
        </w:rPr>
        <w:t>Plan manager</w:t>
      </w:r>
      <w:r w:rsidR="6162270E" w:rsidRPr="24862EB2">
        <w:rPr>
          <w:rFonts w:cs="Arial"/>
          <w:color w:val="000000"/>
          <w:lang w:eastAsia="en-US" w:bidi="th-TH"/>
        </w:rPr>
        <w:t xml:space="preserve">s are also bound by the NDIS Pricing Arrangements and Price Limits. Plan-managed participants can only purchase supports that are listed in the NDIS Support Catalogue and are subject to the same billing rules and price limits as agency-managed participants. However, plan-managed participants can purchase supports from registered and/or unregistered providers (except where the NDIS Commission has determined that providers must be registered </w:t>
      </w:r>
      <w:proofErr w:type="gramStart"/>
      <w:r w:rsidR="6162270E" w:rsidRPr="24862EB2" w:rsidDel="0016595E">
        <w:rPr>
          <w:rFonts w:cs="Arial"/>
          <w:color w:val="000000"/>
          <w:lang w:eastAsia="en-US" w:bidi="th-TH"/>
        </w:rPr>
        <w:t>in order to</w:t>
      </w:r>
      <w:proofErr w:type="gramEnd"/>
      <w:r w:rsidR="6162270E" w:rsidRPr="24862EB2">
        <w:rPr>
          <w:rFonts w:cs="Arial"/>
          <w:color w:val="000000"/>
          <w:lang w:eastAsia="en-US" w:bidi="th-TH"/>
        </w:rPr>
        <w:t xml:space="preserve"> deliver a particular type of support).</w:t>
      </w:r>
    </w:p>
    <w:p w14:paraId="0D5F1989" w14:textId="40A14F1D" w:rsidR="00426A00" w:rsidRPr="002A0F38" w:rsidRDefault="002B1CDA" w:rsidP="24862EB2">
      <w:pPr>
        <w:rPr>
          <w:rFonts w:cs="Arial"/>
          <w:color w:val="000000"/>
          <w:lang w:eastAsia="en-US" w:bidi="th-TH"/>
        </w:rPr>
      </w:pPr>
      <w:r>
        <w:rPr>
          <w:rFonts w:cs="Arial"/>
          <w:color w:val="000000"/>
          <w:lang w:eastAsia="en-US" w:bidi="th-TH"/>
        </w:rPr>
        <w:t>Plan manager</w:t>
      </w:r>
      <w:r w:rsidR="6162270E" w:rsidRPr="24862EB2">
        <w:rPr>
          <w:rFonts w:cs="Arial"/>
          <w:color w:val="000000"/>
          <w:lang w:eastAsia="en-US" w:bidi="th-TH"/>
        </w:rPr>
        <w:t xml:space="preserve">s receive funds from the NDIS and disburse funds on behalf of a participant to providers of other services received by the participant. They can assist a participant </w:t>
      </w:r>
      <w:bookmarkStart w:id="129" w:name="_Int_KY7CDxFy"/>
      <w:proofErr w:type="gramStart"/>
      <w:r w:rsidR="6162270E" w:rsidRPr="24862EB2">
        <w:rPr>
          <w:rFonts w:cs="Arial"/>
          <w:color w:val="000000"/>
          <w:lang w:eastAsia="en-US" w:bidi="th-TH"/>
        </w:rPr>
        <w:t>by</w:t>
      </w:r>
      <w:r w:rsidR="65FDAA5A" w:rsidRPr="24862EB2">
        <w:rPr>
          <w:rFonts w:cs="Arial"/>
          <w:color w:val="000000"/>
          <w:lang w:eastAsia="en-US" w:bidi="th-TH"/>
        </w:rPr>
        <w:t>:</w:t>
      </w:r>
      <w:bookmarkEnd w:id="129"/>
      <w:proofErr w:type="gramEnd"/>
      <w:r w:rsidR="6162270E" w:rsidRPr="24862EB2">
        <w:rPr>
          <w:rFonts w:cs="Arial"/>
          <w:color w:val="000000"/>
          <w:lang w:eastAsia="en-US" w:bidi="th-TH"/>
        </w:rPr>
        <w:t xml:space="preserve"> </w:t>
      </w:r>
      <w:r w:rsidR="6162270E" w:rsidRPr="24862EB2">
        <w:rPr>
          <w:rFonts w:cs="Angsana New"/>
          <w:lang w:eastAsia="en-US" w:bidi="th-TH"/>
        </w:rPr>
        <w:t xml:space="preserve">claiming directly from the funds in the participant’s plan to pay providers on behalf of the </w:t>
      </w:r>
      <w:r w:rsidR="6162270E" w:rsidRPr="24862EB2">
        <w:rPr>
          <w:rFonts w:cs="Arial"/>
          <w:color w:val="000000"/>
          <w:lang w:eastAsia="en-US" w:bidi="th-TH"/>
        </w:rPr>
        <w:t xml:space="preserve">participant; paying providers for the supports that the participant purchases; helping the participant keep track of their funds; and taking care of financial reporting for the participants. In some cases, </w:t>
      </w:r>
      <w:r>
        <w:rPr>
          <w:rFonts w:cs="Arial"/>
          <w:color w:val="000000"/>
          <w:lang w:eastAsia="en-US" w:bidi="th-TH"/>
        </w:rPr>
        <w:t>plan manager</w:t>
      </w:r>
      <w:r w:rsidR="6162270E" w:rsidRPr="24862EB2">
        <w:rPr>
          <w:rFonts w:cs="Arial"/>
          <w:color w:val="000000"/>
          <w:lang w:eastAsia="en-US" w:bidi="th-TH"/>
        </w:rPr>
        <w:t>s also help participants choose their providers.</w:t>
      </w:r>
    </w:p>
    <w:p w14:paraId="14634861" w14:textId="25FB925F" w:rsidR="00426A00" w:rsidRPr="002A0F38" w:rsidRDefault="002B1CDA" w:rsidP="00426A00">
      <w:pPr>
        <w:rPr>
          <w:rFonts w:eastAsiaTheme="minorHAnsi" w:cs="Arial"/>
          <w:color w:val="000000"/>
          <w:szCs w:val="22"/>
          <w:lang w:eastAsia="en-US" w:bidi="th-TH"/>
        </w:rPr>
      </w:pPr>
      <w:r>
        <w:rPr>
          <w:rFonts w:cs="Arial"/>
          <w:color w:val="000000"/>
          <w:lang w:eastAsia="en-US" w:bidi="th-TH"/>
        </w:rPr>
        <w:t>Plan manager</w:t>
      </w:r>
      <w:r w:rsidR="00426A00" w:rsidRPr="290DD6B1">
        <w:rPr>
          <w:rFonts w:cs="Arial"/>
          <w:color w:val="000000"/>
          <w:lang w:eastAsia="en-US" w:bidi="th-TH"/>
        </w:rPr>
        <w:t xml:space="preserve">s must provide the Australian Business Number (ABN) of the service provider who delivers the support for all payment requests, except where the service provider is exempt from quoting an ABN under Australian Taxation Office (ATO) rules. Exempt providers must complete the ATO’s Statement by a Supplier form. </w:t>
      </w:r>
      <w:r>
        <w:rPr>
          <w:rFonts w:cs="Arial"/>
          <w:color w:val="000000"/>
          <w:lang w:eastAsia="en-US" w:bidi="th-TH"/>
        </w:rPr>
        <w:t>Plan manager</w:t>
      </w:r>
      <w:r w:rsidR="00426A00" w:rsidRPr="290DD6B1">
        <w:rPr>
          <w:rFonts w:cs="Arial"/>
          <w:color w:val="000000"/>
          <w:lang w:eastAsia="en-US" w:bidi="th-TH"/>
        </w:rPr>
        <w:t xml:space="preserve">s are expected to keep a copy of the completed form. </w:t>
      </w:r>
      <w:r>
        <w:rPr>
          <w:rFonts w:cs="Arial"/>
          <w:color w:val="000000"/>
          <w:lang w:eastAsia="en-US" w:bidi="th-TH"/>
        </w:rPr>
        <w:t>Plan manager</w:t>
      </w:r>
      <w:r w:rsidR="00426A00" w:rsidRPr="290DD6B1">
        <w:rPr>
          <w:rFonts w:cs="Arial"/>
          <w:color w:val="000000"/>
          <w:lang w:eastAsia="en-US" w:bidi="th-TH"/>
        </w:rPr>
        <w:t xml:space="preserve">s must always ensure that a valid tax invoice is included with each payment request and that the tax invoice includes </w:t>
      </w:r>
      <w:r w:rsidR="00426A00" w:rsidRPr="290DD6B1">
        <w:rPr>
          <w:rFonts w:cs="Arial"/>
          <w:color w:val="000000"/>
          <w:lang w:eastAsia="en-US" w:bidi="th-TH"/>
        </w:rPr>
        <w:lastRenderedPageBreak/>
        <w:t xml:space="preserve">relevant information about the goods and/or services purchased. A </w:t>
      </w:r>
      <w:r>
        <w:rPr>
          <w:rFonts w:cs="Arial"/>
          <w:color w:val="000000"/>
          <w:lang w:eastAsia="en-US" w:bidi="th-TH"/>
        </w:rPr>
        <w:t>plan manager</w:t>
      </w:r>
      <w:r w:rsidR="00426A00" w:rsidRPr="290DD6B1">
        <w:rPr>
          <w:rFonts w:cs="Arial"/>
          <w:color w:val="000000"/>
          <w:lang w:eastAsia="en-US" w:bidi="th-TH"/>
        </w:rPr>
        <w:t xml:space="preserve"> may be liable to pay back any amount not spent in accordance with a participant’s plan.</w:t>
      </w:r>
    </w:p>
    <w:p w14:paraId="092CA2D3" w14:textId="71998FFD" w:rsidR="00426A00" w:rsidRPr="002A0F38" w:rsidRDefault="002B1CDA" w:rsidP="00426A00">
      <w:pPr>
        <w:rPr>
          <w:rFonts w:cs="Arial"/>
          <w:color w:val="000000"/>
          <w:lang w:eastAsia="en-US" w:bidi="th-TH"/>
        </w:rPr>
      </w:pPr>
      <w:r>
        <w:rPr>
          <w:rFonts w:cs="Arial"/>
          <w:color w:val="000000"/>
          <w:lang w:eastAsia="en-US" w:bidi="th-TH"/>
        </w:rPr>
        <w:t>Plan manager</w:t>
      </w:r>
      <w:r w:rsidR="00426A00" w:rsidRPr="5484FEBE">
        <w:rPr>
          <w:rFonts w:cs="Arial"/>
          <w:color w:val="000000"/>
          <w:lang w:eastAsia="en-US" w:bidi="th-TH"/>
        </w:rPr>
        <w:t xml:space="preserve">s </w:t>
      </w:r>
      <w:r w:rsidR="4DEF3DAB" w:rsidRPr="5484FEBE">
        <w:rPr>
          <w:rFonts w:cs="Arial"/>
          <w:color w:val="000000"/>
          <w:lang w:eastAsia="en-US" w:bidi="th-TH"/>
        </w:rPr>
        <w:t>can</w:t>
      </w:r>
      <w:r w:rsidR="00426A00" w:rsidRPr="5484FEBE">
        <w:rPr>
          <w:rFonts w:cs="Arial"/>
          <w:color w:val="000000"/>
          <w:lang w:eastAsia="en-US" w:bidi="th-TH"/>
        </w:rPr>
        <w:t xml:space="preserve"> claim for three types of services:</w:t>
      </w:r>
    </w:p>
    <w:p w14:paraId="106F1F8B" w14:textId="33187E45" w:rsidR="00426A00" w:rsidRPr="002A0F38" w:rsidRDefault="00426A00" w:rsidP="00F317CA">
      <w:pPr>
        <w:pStyle w:val="CEOBrief-Paragraph2"/>
        <w:numPr>
          <w:ilvl w:val="0"/>
          <w:numId w:val="10"/>
        </w:numPr>
        <w:ind w:left="785"/>
        <w:rPr>
          <w:rFonts w:eastAsiaTheme="minorHAnsi"/>
          <w:color w:val="000000"/>
          <w:sz w:val="22"/>
          <w:szCs w:val="22"/>
          <w:lang w:bidi="th-TH"/>
        </w:rPr>
      </w:pPr>
      <w:r w:rsidRPr="439C928B">
        <w:rPr>
          <w:color w:val="000000"/>
          <w:sz w:val="22"/>
          <w:szCs w:val="22"/>
          <w:lang w:bidi="th-TH"/>
        </w:rPr>
        <w:t>A one-off (per plan) establishment fee for setting up the financial management arrangements for a participant</w:t>
      </w:r>
    </w:p>
    <w:p w14:paraId="1219D564" w14:textId="4DB0F901" w:rsidR="00426A00" w:rsidRPr="002A0F38" w:rsidRDefault="00426A00" w:rsidP="00F317CA">
      <w:pPr>
        <w:pStyle w:val="CEOBrief-Paragraph2"/>
        <w:numPr>
          <w:ilvl w:val="0"/>
          <w:numId w:val="10"/>
        </w:numPr>
        <w:ind w:left="785"/>
        <w:rPr>
          <w:rFonts w:eastAsiaTheme="minorHAnsi"/>
          <w:color w:val="000000"/>
          <w:sz w:val="22"/>
          <w:szCs w:val="22"/>
          <w:lang w:bidi="th-TH"/>
        </w:rPr>
      </w:pPr>
      <w:r w:rsidRPr="439C928B">
        <w:rPr>
          <w:color w:val="000000"/>
          <w:sz w:val="22"/>
          <w:szCs w:val="22"/>
          <w:lang w:bidi="th-TH"/>
        </w:rPr>
        <w:t>A monthly fee for the ongoing maintenance of the financial management arrangements for a participant and</w:t>
      </w:r>
    </w:p>
    <w:p w14:paraId="041C1228" w14:textId="77777777" w:rsidR="00426A00" w:rsidRPr="002A0F38" w:rsidRDefault="00426A00" w:rsidP="00F317CA">
      <w:pPr>
        <w:pStyle w:val="CEOBrief-Paragraph2"/>
        <w:numPr>
          <w:ilvl w:val="0"/>
          <w:numId w:val="10"/>
        </w:numPr>
        <w:ind w:left="785"/>
        <w:rPr>
          <w:rFonts w:eastAsiaTheme="minorHAnsi"/>
          <w:color w:val="000000"/>
          <w:sz w:val="22"/>
          <w:szCs w:val="22"/>
          <w:lang w:bidi="th-TH"/>
        </w:rPr>
      </w:pPr>
      <w:r w:rsidRPr="439C928B">
        <w:rPr>
          <w:color w:val="000000"/>
          <w:sz w:val="22"/>
          <w:szCs w:val="22"/>
          <w:lang w:bidi="th-TH"/>
        </w:rPr>
        <w:t>Ad hoc capacity building and training in plan administration and management support to strengthen a participant’s ability to undertake tasks associated with the management of their supports.</w:t>
      </w:r>
    </w:p>
    <w:p w14:paraId="18EB46A7" w14:textId="79B11B75" w:rsidR="00426A00" w:rsidRPr="002A0F38" w:rsidRDefault="00426A00" w:rsidP="00A93129">
      <w:pPr>
        <w:rPr>
          <w:rFonts w:eastAsiaTheme="minorHAnsi" w:cs="Arial"/>
          <w:color w:val="000000"/>
          <w:szCs w:val="22"/>
          <w:lang w:eastAsia="en-US" w:bidi="th-TH"/>
        </w:rPr>
      </w:pPr>
      <w:r w:rsidRPr="002A0F38">
        <w:rPr>
          <w:rFonts w:eastAsiaTheme="minorHAnsi" w:cs="Arial"/>
          <w:color w:val="000000"/>
          <w:szCs w:val="22"/>
          <w:lang w:eastAsia="en-US" w:bidi="th-TH"/>
        </w:rPr>
        <w:t>The price limits for these supports are set out in</w:t>
      </w:r>
      <w:r w:rsidR="00DD01AE">
        <w:rPr>
          <w:rFonts w:eastAsiaTheme="minorHAnsi" w:cs="Arial"/>
          <w:color w:val="000000"/>
          <w:szCs w:val="22"/>
          <w:lang w:eastAsia="en-US" w:bidi="th-TH"/>
        </w:rPr>
        <w:t xml:space="preserve"> </w:t>
      </w:r>
      <w:r w:rsidR="00DD01AE">
        <w:rPr>
          <w:rFonts w:eastAsiaTheme="minorHAnsi" w:cs="Arial"/>
          <w:color w:val="000000"/>
          <w:szCs w:val="22"/>
          <w:lang w:eastAsia="en-US" w:bidi="th-TH"/>
        </w:rPr>
        <w:fldChar w:fldCharType="begin"/>
      </w:r>
      <w:r w:rsidR="00DD01AE">
        <w:rPr>
          <w:rFonts w:eastAsiaTheme="minorHAnsi" w:cs="Arial"/>
          <w:color w:val="000000"/>
          <w:szCs w:val="22"/>
          <w:lang w:eastAsia="en-US" w:bidi="th-TH"/>
        </w:rPr>
        <w:instrText xml:space="preserve"> REF _Ref134303599 </w:instrText>
      </w:r>
      <w:r w:rsidR="00DD01AE">
        <w:rPr>
          <w:rFonts w:eastAsiaTheme="minorHAnsi" w:cs="Arial"/>
          <w:color w:val="000000"/>
          <w:szCs w:val="22"/>
          <w:lang w:eastAsia="en-US" w:bidi="th-TH"/>
        </w:rPr>
        <w:fldChar w:fldCharType="separate"/>
      </w:r>
      <w:r w:rsidR="00D64E4C">
        <w:t xml:space="preserve">Table </w:t>
      </w:r>
      <w:r w:rsidR="00D64E4C">
        <w:rPr>
          <w:noProof/>
        </w:rPr>
        <w:t>13</w:t>
      </w:r>
      <w:r w:rsidR="00DD01AE">
        <w:rPr>
          <w:rFonts w:eastAsiaTheme="minorHAnsi" w:cs="Arial"/>
          <w:color w:val="000000"/>
          <w:szCs w:val="22"/>
          <w:lang w:eastAsia="en-US" w:bidi="th-TH"/>
        </w:rPr>
        <w:fldChar w:fldCharType="end"/>
      </w:r>
      <w:r w:rsidRPr="002A0F38">
        <w:rPr>
          <w:rFonts w:eastAsiaTheme="minorHAnsi" w:cs="Arial"/>
          <w:color w:val="000000"/>
          <w:szCs w:val="22"/>
          <w:lang w:eastAsia="en-US" w:bidi="th-TH"/>
        </w:rPr>
        <w:t xml:space="preserve"> below.</w:t>
      </w:r>
    </w:p>
    <w:p w14:paraId="4DE0C0EE" w14:textId="737119CB" w:rsidR="00A93129" w:rsidRDefault="00A93129" w:rsidP="00A93129">
      <w:pPr>
        <w:pStyle w:val="Caption"/>
      </w:pPr>
      <w:bookmarkStart w:id="130" w:name="_Ref134303599"/>
      <w:r>
        <w:t xml:space="preserve">Table </w:t>
      </w:r>
      <w:r>
        <w:fldChar w:fldCharType="begin"/>
      </w:r>
      <w:r>
        <w:instrText>SEQ Table \* ARABIC</w:instrText>
      </w:r>
      <w:r>
        <w:fldChar w:fldCharType="separate"/>
      </w:r>
      <w:r w:rsidR="00D64E4C">
        <w:rPr>
          <w:noProof/>
        </w:rPr>
        <w:t>13</w:t>
      </w:r>
      <w:r>
        <w:fldChar w:fldCharType="end"/>
      </w:r>
      <w:bookmarkEnd w:id="130"/>
      <w:r>
        <w:t xml:space="preserve">: </w:t>
      </w:r>
      <w:r w:rsidRPr="00E04B30">
        <w:t>PRICE LIMITS FOR PLAN MANAGEMENT SUPPORTS</w:t>
      </w:r>
    </w:p>
    <w:tbl>
      <w:tblPr>
        <w:tblW w:w="9071" w:type="dxa"/>
        <w:tblInd w:w="-15" w:type="dxa"/>
        <w:tblBorders>
          <w:top w:val="single" w:sz="4" w:space="0" w:color="6B2976" w:themeColor="accent1"/>
          <w:left w:val="single" w:sz="4" w:space="0" w:color="6B2976" w:themeColor="accent1"/>
          <w:bottom w:val="single" w:sz="4" w:space="0" w:color="6B2976" w:themeColor="accent1"/>
          <w:right w:val="single" w:sz="4" w:space="0" w:color="6B2976" w:themeColor="accent1"/>
          <w:insideH w:val="single" w:sz="6" w:space="0" w:color="6B2976" w:themeColor="accent1"/>
          <w:insideV w:val="single" w:sz="6" w:space="0" w:color="6B2976" w:themeColor="accent1"/>
        </w:tblBorders>
        <w:tblLayout w:type="fixed"/>
        <w:tblLook w:val="04A0" w:firstRow="1" w:lastRow="0" w:firstColumn="1" w:lastColumn="0" w:noHBand="0" w:noVBand="1"/>
        <w:tblCaption w:val="TABLE 13: PRICE LIMITS FOR PLAN MANAGEMENT SUPPORTS"/>
        <w:tblDescription w:val="The table provides information on price limits for plan management supports. It provides price limits in terms of setup costs for non-remote, remote and very remote locations as well as monthly fees and capacity building and training services."/>
      </w:tblPr>
      <w:tblGrid>
        <w:gridCol w:w="1814"/>
        <w:gridCol w:w="3572"/>
        <w:gridCol w:w="964"/>
        <w:gridCol w:w="907"/>
        <w:gridCol w:w="907"/>
        <w:gridCol w:w="907"/>
      </w:tblGrid>
      <w:tr w:rsidR="000925A9" w:rsidRPr="00CC1C55" w14:paraId="109B39D3" w14:textId="77777777" w:rsidTr="000E2461">
        <w:trPr>
          <w:trHeight w:val="397"/>
        </w:trPr>
        <w:tc>
          <w:tcPr>
            <w:tcW w:w="1814"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15022347" w14:textId="587E1E8A" w:rsidR="00426A00" w:rsidRPr="005A4415" w:rsidRDefault="00426A00" w:rsidP="00CC1C55">
            <w:pPr>
              <w:autoSpaceDE w:val="0"/>
              <w:autoSpaceDN w:val="0"/>
              <w:adjustRightInd w:val="0"/>
              <w:spacing w:before="60" w:after="60" w:line="240" w:lineRule="auto"/>
              <w:jc w:val="center"/>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Item Number</w:t>
            </w:r>
          </w:p>
        </w:tc>
        <w:tc>
          <w:tcPr>
            <w:tcW w:w="3572"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0E100D86" w14:textId="0C53AF29" w:rsidR="00426A00" w:rsidRPr="005A4415" w:rsidRDefault="00426A00" w:rsidP="00CC1C55">
            <w:pPr>
              <w:autoSpaceDE w:val="0"/>
              <w:autoSpaceDN w:val="0"/>
              <w:adjustRightInd w:val="0"/>
              <w:spacing w:before="60" w:after="60" w:line="240" w:lineRule="auto"/>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Item Name and Notes</w:t>
            </w:r>
          </w:p>
        </w:tc>
        <w:tc>
          <w:tcPr>
            <w:tcW w:w="964"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18E38009" w14:textId="7D9768F5" w:rsidR="00426A00" w:rsidRPr="005A4415" w:rsidRDefault="00426A00" w:rsidP="00CC1C55">
            <w:pPr>
              <w:autoSpaceDE w:val="0"/>
              <w:autoSpaceDN w:val="0"/>
              <w:adjustRightInd w:val="0"/>
              <w:spacing w:before="60" w:after="60" w:line="240" w:lineRule="auto"/>
              <w:jc w:val="center"/>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Unit</w:t>
            </w:r>
          </w:p>
        </w:tc>
        <w:tc>
          <w:tcPr>
            <w:tcW w:w="907"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6AB38F24" w14:textId="34A26F53" w:rsidR="00426A00" w:rsidRPr="005A4415" w:rsidRDefault="00426A00" w:rsidP="00A01E44">
            <w:pPr>
              <w:autoSpaceDE w:val="0"/>
              <w:autoSpaceDN w:val="0"/>
              <w:adjustRightInd w:val="0"/>
              <w:spacing w:before="60" w:after="60" w:line="240" w:lineRule="auto"/>
              <w:jc w:val="center"/>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Non-Remote</w:t>
            </w:r>
          </w:p>
        </w:tc>
        <w:tc>
          <w:tcPr>
            <w:tcW w:w="907"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058748ED" w14:textId="5695816B" w:rsidR="00426A00" w:rsidRPr="005A4415" w:rsidRDefault="00426A00" w:rsidP="00CC1C55">
            <w:pPr>
              <w:autoSpaceDE w:val="0"/>
              <w:autoSpaceDN w:val="0"/>
              <w:adjustRightInd w:val="0"/>
              <w:spacing w:before="60" w:after="60" w:line="240" w:lineRule="auto"/>
              <w:jc w:val="center"/>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Remote</w:t>
            </w:r>
          </w:p>
        </w:tc>
        <w:tc>
          <w:tcPr>
            <w:tcW w:w="907" w:type="dxa"/>
            <w:tcBorders>
              <w:top w:val="single" w:sz="4" w:space="0" w:color="4F1E58" w:themeColor="accent1" w:themeShade="BF"/>
              <w:left w:val="single" w:sz="4" w:space="0" w:color="4F1E58" w:themeColor="accent1" w:themeShade="BF"/>
              <w:bottom w:val="single" w:sz="4" w:space="0" w:color="4F1E58" w:themeColor="accent1" w:themeShade="BF"/>
              <w:right w:val="single" w:sz="4" w:space="0" w:color="4F1E58" w:themeColor="accent1" w:themeShade="BF"/>
            </w:tcBorders>
            <w:shd w:val="clear" w:color="auto" w:fill="6B2976"/>
          </w:tcPr>
          <w:p w14:paraId="32054E57" w14:textId="4092BD8A" w:rsidR="00426A00" w:rsidRPr="005A4415" w:rsidRDefault="00426A00" w:rsidP="00CC1C55">
            <w:pPr>
              <w:autoSpaceDE w:val="0"/>
              <w:autoSpaceDN w:val="0"/>
              <w:adjustRightInd w:val="0"/>
              <w:spacing w:before="60" w:after="60" w:line="240" w:lineRule="auto"/>
              <w:jc w:val="center"/>
              <w:rPr>
                <w:rFonts w:eastAsiaTheme="minorHAnsi" w:cs="Arial"/>
                <w:color w:val="FEFFFF" w:themeColor="background1"/>
                <w:sz w:val="18"/>
                <w:szCs w:val="18"/>
                <w:lang w:eastAsia="en-US" w:bidi="th-TH"/>
              </w:rPr>
            </w:pPr>
            <w:r w:rsidRPr="005A4415">
              <w:rPr>
                <w:rFonts w:eastAsiaTheme="minorHAnsi" w:cs="Arial"/>
                <w:b/>
                <w:color w:val="FEFFFF" w:themeColor="background1"/>
                <w:sz w:val="18"/>
                <w:szCs w:val="18"/>
                <w:lang w:eastAsia="en-US" w:bidi="th-TH"/>
              </w:rPr>
              <w:t>Very Remote</w:t>
            </w:r>
          </w:p>
        </w:tc>
      </w:tr>
      <w:tr w:rsidR="000925A9" w:rsidRPr="00CC1C55" w14:paraId="16B61B39" w14:textId="77777777" w:rsidTr="000E2461">
        <w:trPr>
          <w:trHeight w:val="307"/>
        </w:trPr>
        <w:tc>
          <w:tcPr>
            <w:tcW w:w="1814"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2E05FB71" w14:textId="71CD7AD8"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14_033_0127_8_3</w:t>
            </w:r>
          </w:p>
        </w:tc>
        <w:tc>
          <w:tcPr>
            <w:tcW w:w="3572"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368BE2D6" w14:textId="194D7056" w:rsidR="00426A00" w:rsidRPr="005A4415" w:rsidRDefault="00426A00" w:rsidP="00C64D44">
            <w:pPr>
              <w:autoSpaceDE w:val="0"/>
              <w:autoSpaceDN w:val="0"/>
              <w:adjustRightInd w:val="0"/>
              <w:spacing w:before="120" w:after="0" w:line="240" w:lineRule="auto"/>
              <w:rPr>
                <w:rFonts w:eastAsiaTheme="minorHAnsi" w:cs="Arial"/>
                <w:color w:val="000000"/>
                <w:sz w:val="18"/>
                <w:szCs w:val="18"/>
                <w:lang w:eastAsia="en-US" w:bidi="th-TH"/>
              </w:rPr>
            </w:pPr>
            <w:r w:rsidRPr="005A4415">
              <w:rPr>
                <w:rFonts w:eastAsiaTheme="minorHAnsi" w:cs="Arial"/>
                <w:color w:val="000000"/>
                <w:sz w:val="18"/>
                <w:szCs w:val="18"/>
                <w:lang w:eastAsia="en-US" w:bidi="th-TH"/>
              </w:rPr>
              <w:t xml:space="preserve">Plan Management </w:t>
            </w:r>
            <w:r w:rsidR="002B0448">
              <w:rPr>
                <w:rFonts w:eastAsiaTheme="minorHAnsi" w:cs="Arial"/>
                <w:color w:val="000000"/>
                <w:sz w:val="18"/>
                <w:szCs w:val="18"/>
                <w:lang w:eastAsia="en-US" w:bidi="th-TH"/>
              </w:rPr>
              <w:t>–</w:t>
            </w:r>
            <w:r w:rsidRPr="005A4415">
              <w:rPr>
                <w:rFonts w:eastAsiaTheme="minorHAnsi" w:cs="Arial"/>
                <w:color w:val="000000"/>
                <w:sz w:val="18"/>
                <w:szCs w:val="18"/>
                <w:lang w:eastAsia="en-US" w:bidi="th-TH"/>
              </w:rPr>
              <w:t xml:space="preserve"> Set Up Costs </w:t>
            </w:r>
          </w:p>
          <w:p w14:paraId="5B8F479D" w14:textId="289F5050" w:rsidR="00426A00" w:rsidRPr="005A4415" w:rsidRDefault="00426A00" w:rsidP="00F317CA">
            <w:pPr>
              <w:pStyle w:val="ListParagraph"/>
              <w:numPr>
                <w:ilvl w:val="0"/>
                <w:numId w:val="11"/>
              </w:numPr>
              <w:autoSpaceDE w:val="0"/>
              <w:autoSpaceDN w:val="0"/>
              <w:adjustRightInd w:val="0"/>
              <w:spacing w:before="0" w:after="120" w:line="240" w:lineRule="auto"/>
              <w:ind w:left="170" w:hanging="170"/>
              <w:rPr>
                <w:rFonts w:eastAsiaTheme="minorHAnsi" w:cs="Arial"/>
                <w:color w:val="000000"/>
                <w:sz w:val="18"/>
                <w:szCs w:val="18"/>
                <w:lang w:eastAsia="en-US" w:bidi="th-TH"/>
              </w:rPr>
            </w:pPr>
            <w:r w:rsidRPr="005A4415">
              <w:rPr>
                <w:rFonts w:eastAsiaTheme="minorHAnsi" w:cs="Arial"/>
                <w:color w:val="000000"/>
                <w:sz w:val="18"/>
                <w:szCs w:val="18"/>
                <w:lang w:eastAsia="en-US" w:bidi="th-TH"/>
              </w:rPr>
              <w:t>A one-off (per plan) fee for setting up the financial management arrangements</w:t>
            </w:r>
          </w:p>
        </w:tc>
        <w:tc>
          <w:tcPr>
            <w:tcW w:w="964"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22BB2A14" w14:textId="33A21CE6"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Each</w:t>
            </w:r>
          </w:p>
        </w:tc>
        <w:tc>
          <w:tcPr>
            <w:tcW w:w="907"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014A0528" w14:textId="6E6C6989"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$232.35</w:t>
            </w:r>
          </w:p>
        </w:tc>
        <w:tc>
          <w:tcPr>
            <w:tcW w:w="907"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0FB47260" w14:textId="5019966B"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$325.29</w:t>
            </w:r>
          </w:p>
        </w:tc>
        <w:tc>
          <w:tcPr>
            <w:tcW w:w="907" w:type="dxa"/>
            <w:tcBorders>
              <w:top w:val="single" w:sz="4" w:space="0" w:color="4F1E58" w:themeColor="accent1" w:themeShade="BF"/>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1894921D" w14:textId="00AC6536"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$348.54</w:t>
            </w:r>
          </w:p>
        </w:tc>
      </w:tr>
      <w:tr w:rsidR="00BD2893" w:rsidRPr="00CC1C55" w14:paraId="41D116A1" w14:textId="77777777" w:rsidTr="000E2461">
        <w:trPr>
          <w:trHeight w:val="284"/>
        </w:trPr>
        <w:tc>
          <w:tcPr>
            <w:tcW w:w="1814"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633F09C6" w14:textId="72EE9B50"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14_034_0127_8_3</w:t>
            </w:r>
          </w:p>
        </w:tc>
        <w:tc>
          <w:tcPr>
            <w:tcW w:w="3572"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0466CBA2" w14:textId="4ADB45F8" w:rsidR="00426A00" w:rsidRPr="005A4415" w:rsidRDefault="00426A00" w:rsidP="00C64D44">
            <w:pPr>
              <w:autoSpaceDE w:val="0"/>
              <w:autoSpaceDN w:val="0"/>
              <w:adjustRightInd w:val="0"/>
              <w:spacing w:before="120" w:after="0" w:line="240" w:lineRule="auto"/>
              <w:rPr>
                <w:rFonts w:eastAsiaTheme="minorHAnsi" w:cs="Arial"/>
                <w:color w:val="000000"/>
                <w:sz w:val="18"/>
                <w:szCs w:val="18"/>
                <w:lang w:eastAsia="en-US" w:bidi="th-TH"/>
              </w:rPr>
            </w:pPr>
            <w:r w:rsidRPr="005A4415">
              <w:rPr>
                <w:rFonts w:eastAsiaTheme="minorHAnsi" w:cs="Arial"/>
                <w:color w:val="000000"/>
                <w:sz w:val="18"/>
                <w:szCs w:val="18"/>
                <w:lang w:eastAsia="en-US" w:bidi="th-TH"/>
              </w:rPr>
              <w:t xml:space="preserve">Plan Management </w:t>
            </w:r>
            <w:r w:rsidR="002B0448">
              <w:rPr>
                <w:rFonts w:eastAsiaTheme="minorHAnsi" w:cs="Arial"/>
                <w:color w:val="000000"/>
                <w:sz w:val="18"/>
                <w:szCs w:val="18"/>
                <w:lang w:eastAsia="en-US" w:bidi="th-TH"/>
              </w:rPr>
              <w:t>–</w:t>
            </w:r>
            <w:r w:rsidRPr="005A4415">
              <w:rPr>
                <w:rFonts w:eastAsiaTheme="minorHAnsi" w:cs="Arial"/>
                <w:color w:val="000000"/>
                <w:sz w:val="18"/>
                <w:szCs w:val="18"/>
                <w:lang w:eastAsia="en-US" w:bidi="th-TH"/>
              </w:rPr>
              <w:t xml:space="preserve"> Monthly Fee </w:t>
            </w:r>
          </w:p>
          <w:p w14:paraId="4463643A" w14:textId="7C2FDB57" w:rsidR="00426A00" w:rsidRPr="005A4415" w:rsidRDefault="00426A00" w:rsidP="00F317CA">
            <w:pPr>
              <w:pStyle w:val="ListParagraph"/>
              <w:numPr>
                <w:ilvl w:val="0"/>
                <w:numId w:val="11"/>
              </w:numPr>
              <w:autoSpaceDE w:val="0"/>
              <w:autoSpaceDN w:val="0"/>
              <w:adjustRightInd w:val="0"/>
              <w:spacing w:before="0" w:after="120" w:line="240" w:lineRule="auto"/>
              <w:ind w:left="170" w:hanging="170"/>
              <w:rPr>
                <w:rFonts w:eastAsiaTheme="minorHAnsi" w:cs="Arial"/>
                <w:color w:val="000000"/>
                <w:sz w:val="18"/>
                <w:szCs w:val="18"/>
                <w:lang w:eastAsia="en-US" w:bidi="th-TH"/>
              </w:rPr>
            </w:pPr>
            <w:r w:rsidRPr="005A4415">
              <w:rPr>
                <w:rFonts w:eastAsiaTheme="minorHAnsi" w:cs="Arial"/>
                <w:color w:val="000000"/>
                <w:sz w:val="18"/>
                <w:szCs w:val="18"/>
                <w:lang w:eastAsia="en-US" w:bidi="th-TH"/>
              </w:rPr>
              <w:t>A monthly fee for the ongoing maintenance of the financial management arrangements</w:t>
            </w:r>
          </w:p>
        </w:tc>
        <w:tc>
          <w:tcPr>
            <w:tcW w:w="964"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3408E8CD" w14:textId="6D3B78D2"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Month</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54D7D13F" w14:textId="3F605A13"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$104.45</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76833061" w14:textId="2EDDAB37"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$146.23</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vAlign w:val="center"/>
          </w:tcPr>
          <w:p w14:paraId="21E3F8EB" w14:textId="70B37007"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$156.67</w:t>
            </w:r>
          </w:p>
        </w:tc>
      </w:tr>
      <w:tr w:rsidR="000925A9" w:rsidRPr="00CC1C55" w14:paraId="55A0B3FB" w14:textId="77777777" w:rsidTr="000E2461">
        <w:trPr>
          <w:trHeight w:val="190"/>
        </w:trPr>
        <w:tc>
          <w:tcPr>
            <w:tcW w:w="1814"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0D5DEE5E" w14:textId="63D9C750" w:rsidR="00426A00" w:rsidRPr="005A4415" w:rsidRDefault="000E7822" w:rsidP="00C64D44">
            <w:pPr>
              <w:autoSpaceDE w:val="0"/>
              <w:autoSpaceDN w:val="0"/>
              <w:adjustRightInd w:val="0"/>
              <w:spacing w:before="0" w:after="0" w:line="240" w:lineRule="auto"/>
              <w:jc w:val="center"/>
              <w:rPr>
                <w:rFonts w:eastAsiaTheme="minorHAnsi" w:cs="Arial"/>
                <w:color w:val="000000"/>
                <w:sz w:val="18"/>
                <w:szCs w:val="18"/>
                <w:lang w:eastAsia="en-US" w:bidi="th-TH"/>
              </w:rPr>
            </w:pPr>
            <w:bookmarkStart w:id="131" w:name="_Hlk134191552"/>
            <w:r w:rsidRPr="000E7822">
              <w:rPr>
                <w:rFonts w:eastAsiaTheme="minorHAnsi" w:cs="Arial"/>
                <w:color w:val="000000"/>
                <w:sz w:val="18"/>
                <w:szCs w:val="18"/>
                <w:lang w:eastAsia="en-US" w:bidi="th-TH"/>
              </w:rPr>
              <w:t>01_134_0117_8_1</w:t>
            </w:r>
            <w:bookmarkEnd w:id="131"/>
          </w:p>
        </w:tc>
        <w:tc>
          <w:tcPr>
            <w:tcW w:w="3572"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678E3163" w14:textId="687E8137" w:rsidR="00426A00" w:rsidRPr="005A4415" w:rsidRDefault="00426A00" w:rsidP="00C64D44">
            <w:pPr>
              <w:autoSpaceDE w:val="0"/>
              <w:autoSpaceDN w:val="0"/>
              <w:adjustRightInd w:val="0"/>
              <w:spacing w:before="120" w:after="120" w:line="240" w:lineRule="auto"/>
              <w:rPr>
                <w:rFonts w:eastAsiaTheme="minorHAnsi" w:cs="Arial"/>
                <w:color w:val="000000"/>
                <w:sz w:val="18"/>
                <w:szCs w:val="18"/>
                <w:lang w:eastAsia="en-US" w:bidi="th-TH"/>
              </w:rPr>
            </w:pPr>
            <w:r w:rsidRPr="009E5800">
              <w:rPr>
                <w:rFonts w:eastAsia="Times New Roman"/>
                <w:sz w:val="18"/>
                <w:szCs w:val="18"/>
                <w:lang w:eastAsia="en-AU"/>
              </w:rPr>
              <w:t xml:space="preserve">Capacity Building and Training in </w:t>
            </w:r>
            <w:r w:rsidR="000E7822" w:rsidRPr="00406F69">
              <w:rPr>
                <w:rFonts w:eastAsia="Times New Roman"/>
                <w:sz w:val="18"/>
                <w:szCs w:val="18"/>
                <w:lang w:eastAsia="en-AU"/>
              </w:rPr>
              <w:t>Self-</w:t>
            </w:r>
            <w:r w:rsidRPr="009E5800">
              <w:rPr>
                <w:rFonts w:eastAsia="Times New Roman"/>
                <w:sz w:val="18"/>
                <w:szCs w:val="18"/>
                <w:lang w:eastAsia="en-AU"/>
              </w:rPr>
              <w:t xml:space="preserve">Management </w:t>
            </w:r>
            <w:r w:rsidR="000E7822" w:rsidRPr="00406F69">
              <w:rPr>
                <w:rFonts w:eastAsia="Times New Roman"/>
                <w:sz w:val="18"/>
                <w:szCs w:val="18"/>
                <w:lang w:eastAsia="en-AU"/>
              </w:rPr>
              <w:t>and Plan Management</w:t>
            </w:r>
          </w:p>
        </w:tc>
        <w:tc>
          <w:tcPr>
            <w:tcW w:w="964"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5509875E" w14:textId="1D970541"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Hour</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699B0A45" w14:textId="45B156EB"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w:t>
            </w:r>
            <w:r w:rsidR="002A0F38" w:rsidRPr="005A4415">
              <w:rPr>
                <w:rFonts w:eastAsiaTheme="minorHAnsi" w:cs="Arial"/>
                <w:color w:val="000000"/>
                <w:sz w:val="18"/>
                <w:szCs w:val="18"/>
                <w:lang w:eastAsia="en-US" w:bidi="th-TH"/>
              </w:rPr>
              <w:t>70</w:t>
            </w:r>
            <w:r w:rsidRPr="005A4415">
              <w:rPr>
                <w:rFonts w:eastAsiaTheme="minorHAnsi" w:cs="Arial"/>
                <w:color w:val="000000"/>
                <w:sz w:val="18"/>
                <w:szCs w:val="18"/>
                <w:lang w:eastAsia="en-US" w:bidi="th-TH"/>
              </w:rPr>
              <w:t>.</w:t>
            </w:r>
            <w:r w:rsidR="002A0F38" w:rsidRPr="005A4415">
              <w:rPr>
                <w:rFonts w:eastAsiaTheme="minorHAnsi" w:cs="Arial"/>
                <w:color w:val="000000"/>
                <w:sz w:val="18"/>
                <w:szCs w:val="18"/>
                <w:lang w:eastAsia="en-US" w:bidi="th-TH"/>
              </w:rPr>
              <w:t>87</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7BE5F332" w14:textId="08FE26F0"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w:t>
            </w:r>
            <w:r w:rsidR="002A0F38" w:rsidRPr="005A4415">
              <w:rPr>
                <w:rFonts w:eastAsiaTheme="minorHAnsi" w:cs="Arial"/>
                <w:color w:val="000000"/>
                <w:sz w:val="18"/>
                <w:szCs w:val="18"/>
                <w:lang w:eastAsia="en-US" w:bidi="th-TH"/>
              </w:rPr>
              <w:t>99.22</w:t>
            </w:r>
          </w:p>
        </w:tc>
        <w:tc>
          <w:tcPr>
            <w:tcW w:w="907" w:type="dxa"/>
            <w:tc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tcBorders>
            <w:shd w:val="clear" w:color="auto" w:fill="E8CAED" w:themeFill="text1" w:themeFillTint="33"/>
            <w:vAlign w:val="center"/>
          </w:tcPr>
          <w:p w14:paraId="3FAFC837" w14:textId="19288361" w:rsidR="00426A00" w:rsidRPr="005A4415" w:rsidRDefault="00426A00" w:rsidP="00C64D44">
            <w:pPr>
              <w:autoSpaceDE w:val="0"/>
              <w:autoSpaceDN w:val="0"/>
              <w:adjustRightInd w:val="0"/>
              <w:spacing w:before="0" w:after="0" w:line="240" w:lineRule="auto"/>
              <w:jc w:val="center"/>
              <w:rPr>
                <w:rFonts w:eastAsiaTheme="minorHAnsi" w:cs="Arial"/>
                <w:color w:val="000000"/>
                <w:sz w:val="18"/>
                <w:szCs w:val="18"/>
                <w:lang w:eastAsia="en-US" w:bidi="th-TH"/>
              </w:rPr>
            </w:pPr>
            <w:r w:rsidRPr="005A4415">
              <w:rPr>
                <w:rFonts w:eastAsiaTheme="minorHAnsi" w:cs="Arial"/>
                <w:color w:val="000000"/>
                <w:sz w:val="18"/>
                <w:szCs w:val="18"/>
                <w:lang w:eastAsia="en-US" w:bidi="th-TH"/>
              </w:rPr>
              <w:t>$</w:t>
            </w:r>
            <w:r w:rsidR="002A0F38" w:rsidRPr="005A4415">
              <w:rPr>
                <w:rFonts w:eastAsiaTheme="minorHAnsi" w:cs="Arial"/>
                <w:color w:val="000000"/>
                <w:sz w:val="18"/>
                <w:szCs w:val="18"/>
                <w:lang w:eastAsia="en-US" w:bidi="th-TH"/>
              </w:rPr>
              <w:t>106.31</w:t>
            </w:r>
          </w:p>
        </w:tc>
      </w:tr>
    </w:tbl>
    <w:p w14:paraId="11258166" w14:textId="3A8BD7A1" w:rsidR="00426A00" w:rsidRPr="004338FD" w:rsidRDefault="00426A00" w:rsidP="00426A00">
      <w:pPr>
        <w:rPr>
          <w:rFonts w:eastAsiaTheme="minorHAnsi" w:cs="Arial"/>
          <w:color w:val="000000"/>
          <w:szCs w:val="22"/>
          <w:lang w:eastAsia="en-US" w:bidi="th-TH"/>
        </w:rPr>
      </w:pPr>
      <w:r w:rsidRPr="002A0F38">
        <w:rPr>
          <w:rFonts w:eastAsiaTheme="minorHAnsi" w:cs="Arial"/>
          <w:color w:val="000000"/>
          <w:szCs w:val="22"/>
          <w:lang w:eastAsia="en-US" w:bidi="th-TH"/>
        </w:rPr>
        <w:t xml:space="preserve">If a </w:t>
      </w:r>
      <w:r w:rsidR="002B1CDA">
        <w:rPr>
          <w:rFonts w:eastAsiaTheme="minorHAnsi" w:cs="Arial"/>
          <w:color w:val="000000"/>
          <w:szCs w:val="22"/>
          <w:lang w:eastAsia="en-US" w:bidi="th-TH"/>
        </w:rPr>
        <w:t>plan manager</w:t>
      </w:r>
      <w:r w:rsidRPr="002A0F38">
        <w:rPr>
          <w:rFonts w:eastAsiaTheme="minorHAnsi" w:cs="Arial"/>
          <w:color w:val="000000"/>
          <w:szCs w:val="22"/>
          <w:lang w:eastAsia="en-US" w:bidi="th-TH"/>
        </w:rPr>
        <w:t xml:space="preserve"> is engaged to deliver the Capacity Building and Training in </w:t>
      </w:r>
      <w:r w:rsidR="0060023B">
        <w:rPr>
          <w:rFonts w:eastAsiaTheme="minorHAnsi" w:cs="Arial"/>
          <w:color w:val="000000"/>
          <w:szCs w:val="22"/>
          <w:lang w:eastAsia="en-US" w:bidi="th-TH"/>
        </w:rPr>
        <w:t>Self-Management and Plan Management</w:t>
      </w:r>
      <w:r w:rsidRPr="002A0F38">
        <w:rPr>
          <w:rFonts w:eastAsiaTheme="minorHAnsi" w:cs="Arial"/>
          <w:color w:val="000000"/>
          <w:szCs w:val="22"/>
          <w:lang w:eastAsia="en-US" w:bidi="th-TH"/>
        </w:rPr>
        <w:t xml:space="preserve"> support (</w:t>
      </w:r>
      <w:r w:rsidR="0060023B" w:rsidRPr="0060023B">
        <w:rPr>
          <w:rFonts w:eastAsiaTheme="minorHAnsi" w:cs="Arial"/>
          <w:color w:val="000000"/>
          <w:szCs w:val="22"/>
          <w:lang w:eastAsia="en-US" w:bidi="th-TH"/>
        </w:rPr>
        <w:t>01_134_0117_8_1</w:t>
      </w:r>
      <w:r w:rsidRPr="002A0F38">
        <w:rPr>
          <w:rFonts w:eastAsiaTheme="minorHAnsi" w:cs="Arial"/>
          <w:color w:val="000000"/>
          <w:szCs w:val="22"/>
          <w:lang w:eastAsia="en-US" w:bidi="th-TH"/>
        </w:rPr>
        <w:t>) to a participant then they are also permitted, subject to the rules set out in the NDIS Pricing Arrangements and Price Limits, to claim for provider travel (labour and non-labour costs); non-face-to-face activities and short notice cancellations.</w:t>
      </w:r>
      <w:r w:rsidRPr="004338FD">
        <w:rPr>
          <w:rFonts w:eastAsiaTheme="minorHAnsi" w:cs="Arial"/>
          <w:color w:val="000000"/>
          <w:szCs w:val="22"/>
          <w:lang w:eastAsia="en-US" w:bidi="th-TH"/>
        </w:rPr>
        <w:t xml:space="preserve"> </w:t>
      </w:r>
    </w:p>
    <w:p w14:paraId="6BF09D8C" w14:textId="756796DE" w:rsidR="00EE2E48" w:rsidRPr="00572EF2" w:rsidRDefault="00EE2E48" w:rsidP="00426A00">
      <w:r w:rsidRPr="00E0300A">
        <w:t>This chapter analyses the pricing arrangements for</w:t>
      </w:r>
      <w:r>
        <w:t xml:space="preserve"> plan managers</w:t>
      </w:r>
      <w:r w:rsidRPr="00E0300A">
        <w:t xml:space="preserve">, with a focus on </w:t>
      </w:r>
      <w:r w:rsidRPr="00A83CBA">
        <w:t>their impact on service quality and cost-effectiveness</w:t>
      </w:r>
      <w:r w:rsidRPr="00E0300A">
        <w:t>. It examines current pricing arrangements, usage statistics, providers and markets, stakeholder concerns, and draws conclusions on potential changes to the pricing framework. The objective is to provide a comprehensive understanding of the pricing framework and its impact on NDIS participants.</w:t>
      </w:r>
    </w:p>
    <w:p w14:paraId="0B7AA227" w14:textId="2F67E48C" w:rsidR="006F6FC0" w:rsidRPr="00CB1EF8" w:rsidRDefault="006F6FC0" w:rsidP="00D9646F">
      <w:pPr>
        <w:pStyle w:val="Heading3"/>
      </w:pPr>
      <w:r w:rsidRPr="00CB1EF8">
        <w:t>7.2</w:t>
      </w:r>
      <w:r w:rsidRPr="00CB1EF8">
        <w:tab/>
        <w:t>Scheme Statistics</w:t>
      </w:r>
    </w:p>
    <w:p w14:paraId="5400A4A5" w14:textId="0C4AA328" w:rsidR="000B2BD1" w:rsidRPr="00A93129" w:rsidRDefault="00426A00" w:rsidP="00A93129">
      <w:pPr>
        <w:rPr>
          <w:rFonts w:cs="Arial"/>
          <w:color w:val="000000"/>
          <w:lang w:eastAsia="en-US" w:bidi="th-TH"/>
        </w:rPr>
      </w:pPr>
      <w:r>
        <w:t xml:space="preserve">In the six months to December 2022, </w:t>
      </w:r>
      <w:r w:rsidRPr="1FE3AFCB">
        <w:rPr>
          <w:rFonts w:cs="Arial"/>
          <w:color w:val="000000"/>
          <w:lang w:eastAsia="en-US" w:bidi="th-TH"/>
        </w:rPr>
        <w:t xml:space="preserve">payments </w:t>
      </w:r>
      <w:r w:rsidR="00493FEE" w:rsidRPr="1FE3AFCB">
        <w:rPr>
          <w:rFonts w:cs="Arial"/>
          <w:color w:val="000000"/>
          <w:lang w:eastAsia="en-US" w:bidi="th-TH"/>
        </w:rPr>
        <w:t xml:space="preserve">were made </w:t>
      </w:r>
      <w:r w:rsidRPr="1FE3AFCB">
        <w:rPr>
          <w:rFonts w:cs="Arial"/>
          <w:color w:val="000000"/>
          <w:lang w:eastAsia="en-US" w:bidi="th-TH"/>
        </w:rPr>
        <w:t xml:space="preserve">to some 1,797 plan managers that were registered at the time of providing the service according to the requirement of </w:t>
      </w:r>
      <w:r w:rsidR="2923072D" w:rsidRPr="665050C9">
        <w:rPr>
          <w:rFonts w:cs="Arial"/>
          <w:color w:val="000000"/>
          <w:lang w:eastAsia="en-US" w:bidi="th-TH"/>
        </w:rPr>
        <w:t>NDIS Commission</w:t>
      </w:r>
      <w:r w:rsidR="5D5FA3C0" w:rsidRPr="665050C9">
        <w:rPr>
          <w:rFonts w:cs="Arial"/>
          <w:color w:val="000000"/>
          <w:lang w:eastAsia="en-US" w:bidi="th-TH"/>
        </w:rPr>
        <w:t>.</w:t>
      </w:r>
      <w:r w:rsidRPr="1FE3AFCB">
        <w:rPr>
          <w:rFonts w:cs="Arial"/>
          <w:color w:val="000000"/>
          <w:lang w:eastAsia="en-US" w:bidi="th-TH"/>
        </w:rPr>
        <w:t xml:space="preserve"> This amounted to $8.1 billion, 48% of Scheme spend, and consisted of $227.7 million for plan management services, and the remainder of the $7.8 billion was for plan managers to pay service providers on behalf of the 333,077 participants (</w:t>
      </w:r>
      <w:r w:rsidR="00DB2C0A" w:rsidRPr="1FE3AFCB">
        <w:rPr>
          <w:rFonts w:cs="Arial"/>
          <w:color w:val="000000"/>
          <w:lang w:eastAsia="en-US" w:bidi="th-TH"/>
        </w:rPr>
        <w:t>58</w:t>
      </w:r>
      <w:r w:rsidRPr="1FE3AFCB">
        <w:rPr>
          <w:rFonts w:cs="Arial"/>
          <w:color w:val="000000"/>
          <w:lang w:eastAsia="en-US" w:bidi="th-TH"/>
        </w:rPr>
        <w:t xml:space="preserve">% </w:t>
      </w:r>
      <w:r w:rsidRPr="143A29CF">
        <w:rPr>
          <w:rFonts w:cs="Arial"/>
          <w:lang w:eastAsia="en-US" w:bidi="th-TH"/>
        </w:rPr>
        <w:t xml:space="preserve">of </w:t>
      </w:r>
      <w:r w:rsidR="00493FEE">
        <w:rPr>
          <w:rFonts w:cs="Arial"/>
          <w:lang w:eastAsia="en-US" w:bidi="th-TH"/>
        </w:rPr>
        <w:t xml:space="preserve">the </w:t>
      </w:r>
      <w:r w:rsidR="00493FEE" w:rsidRPr="143A29CF">
        <w:rPr>
          <w:rFonts w:cs="Arial"/>
          <w:lang w:eastAsia="en-US" w:bidi="th-TH"/>
        </w:rPr>
        <w:t>573,342</w:t>
      </w:r>
      <w:r w:rsidRPr="143A29CF">
        <w:rPr>
          <w:rFonts w:cs="Arial"/>
          <w:lang w:eastAsia="en-US" w:bidi="th-TH"/>
        </w:rPr>
        <w:t xml:space="preserve"> active participants</w:t>
      </w:r>
      <w:r w:rsidR="00493FEE" w:rsidRPr="143A29CF">
        <w:rPr>
          <w:rFonts w:cs="Arial"/>
          <w:lang w:eastAsia="en-US" w:bidi="th-TH"/>
        </w:rPr>
        <w:t xml:space="preserve"> as of </w:t>
      </w:r>
      <w:r w:rsidR="00493FEE">
        <w:rPr>
          <w:rFonts w:cs="Arial"/>
          <w:lang w:eastAsia="en-US" w:bidi="th-TH"/>
        </w:rPr>
        <w:t xml:space="preserve">31 </w:t>
      </w:r>
      <w:r w:rsidR="00493FEE" w:rsidRPr="143A29CF">
        <w:rPr>
          <w:rFonts w:cs="Arial"/>
          <w:lang w:eastAsia="en-US" w:bidi="th-TH"/>
        </w:rPr>
        <w:t>December 2022</w:t>
      </w:r>
      <w:r w:rsidRPr="1FE3AFCB">
        <w:rPr>
          <w:rFonts w:cs="Arial"/>
          <w:color w:val="000000"/>
          <w:lang w:eastAsia="en-US" w:bidi="th-TH"/>
        </w:rPr>
        <w:t>).</w:t>
      </w:r>
      <w:r w:rsidR="00AC69F1" w:rsidRPr="1FE3AFCB">
        <w:rPr>
          <w:rFonts w:cs="Arial"/>
          <w:color w:val="000000"/>
          <w:lang w:eastAsia="en-US" w:bidi="th-TH"/>
        </w:rPr>
        <w:t xml:space="preserve"> </w:t>
      </w:r>
      <w:r w:rsidR="00DD01AE" w:rsidRPr="1FE3AFCB">
        <w:rPr>
          <w:rFonts w:cs="Arial"/>
          <w:color w:val="000000"/>
          <w:lang w:eastAsia="en-US" w:bidi="th-TH"/>
        </w:rPr>
        <w:fldChar w:fldCharType="begin"/>
      </w:r>
      <w:r w:rsidR="00DD01AE" w:rsidRPr="1FE3AFCB">
        <w:rPr>
          <w:rFonts w:cs="Arial"/>
          <w:color w:val="000000"/>
          <w:lang w:eastAsia="en-US" w:bidi="th-TH"/>
        </w:rPr>
        <w:instrText xml:space="preserve"> REF _Ref134303612 </w:instrText>
      </w:r>
      <w:r w:rsidR="00DD01AE" w:rsidRPr="1FE3AFCB">
        <w:rPr>
          <w:rFonts w:cs="Arial"/>
          <w:color w:val="000000"/>
          <w:lang w:eastAsia="en-US" w:bidi="th-TH"/>
        </w:rPr>
        <w:fldChar w:fldCharType="separate"/>
      </w:r>
      <w:r w:rsidR="00D64E4C">
        <w:t xml:space="preserve">Table </w:t>
      </w:r>
      <w:r w:rsidR="00D64E4C">
        <w:rPr>
          <w:noProof/>
        </w:rPr>
        <w:t>14</w:t>
      </w:r>
      <w:r w:rsidR="00DD01AE" w:rsidRPr="1FE3AFCB">
        <w:rPr>
          <w:rFonts w:cs="Arial"/>
          <w:color w:val="000000"/>
          <w:lang w:eastAsia="en-US" w:bidi="th-TH"/>
        </w:rPr>
        <w:fldChar w:fldCharType="end"/>
      </w:r>
      <w:r w:rsidR="00DD01AE" w:rsidRPr="1FE3AFCB">
        <w:rPr>
          <w:rFonts w:cs="Arial"/>
          <w:color w:val="000000"/>
          <w:lang w:eastAsia="en-US" w:bidi="th-TH"/>
        </w:rPr>
        <w:t xml:space="preserve"> </w:t>
      </w:r>
      <w:r w:rsidR="00FD521B">
        <w:rPr>
          <w:rFonts w:cs="Arial"/>
          <w:color w:val="000000"/>
          <w:lang w:eastAsia="en-US" w:bidi="th-TH"/>
        </w:rPr>
        <w:t xml:space="preserve">below shows </w:t>
      </w:r>
      <w:r w:rsidR="00AC69F1" w:rsidRPr="1FE3AFCB">
        <w:rPr>
          <w:rFonts w:cs="Arial"/>
          <w:color w:val="000000"/>
          <w:lang w:eastAsia="en-US" w:bidi="th-TH"/>
        </w:rPr>
        <w:t xml:space="preserve">the change in </w:t>
      </w:r>
      <w:r w:rsidR="00360C6D" w:rsidRPr="1FE3AFCB">
        <w:rPr>
          <w:rFonts w:cs="Arial"/>
          <w:color w:val="000000"/>
          <w:lang w:eastAsia="en-US" w:bidi="th-TH"/>
        </w:rPr>
        <w:t xml:space="preserve">some of these statistics </w:t>
      </w:r>
      <w:r w:rsidR="182F4AF2" w:rsidRPr="5188BD8F">
        <w:rPr>
          <w:rFonts w:cs="Arial"/>
          <w:color w:val="000000"/>
          <w:lang w:eastAsia="en-US" w:bidi="th-TH"/>
        </w:rPr>
        <w:t xml:space="preserve">in </w:t>
      </w:r>
      <w:r w:rsidR="00AC69F1" w:rsidRPr="1FE3AFCB">
        <w:rPr>
          <w:rFonts w:cs="Arial"/>
          <w:color w:val="000000"/>
          <w:lang w:eastAsia="en-US" w:bidi="th-TH"/>
        </w:rPr>
        <w:t xml:space="preserve">the six months to </w:t>
      </w:r>
      <w:r w:rsidR="00AC69F1" w:rsidRPr="1FE3AFCB">
        <w:rPr>
          <w:rFonts w:cs="Arial"/>
          <w:color w:val="000000"/>
          <w:lang w:eastAsia="en-US" w:bidi="th-TH"/>
        </w:rPr>
        <w:t xml:space="preserve">December 2021 and </w:t>
      </w:r>
      <w:r w:rsidR="7D7DB52C" w:rsidRPr="5188BD8F">
        <w:rPr>
          <w:rFonts w:cs="Arial"/>
          <w:color w:val="000000"/>
          <w:lang w:eastAsia="en-US" w:bidi="th-TH"/>
        </w:rPr>
        <w:t xml:space="preserve">in </w:t>
      </w:r>
      <w:r w:rsidR="00AC69F1" w:rsidRPr="1FE3AFCB">
        <w:rPr>
          <w:rFonts w:cs="Arial"/>
          <w:color w:val="000000"/>
          <w:lang w:eastAsia="en-US" w:bidi="th-TH"/>
        </w:rPr>
        <w:t xml:space="preserve">the </w:t>
      </w:r>
      <w:r w:rsidR="00CC5F78">
        <w:rPr>
          <w:rFonts w:cs="Arial"/>
          <w:color w:val="000000"/>
          <w:lang w:eastAsia="en-US" w:bidi="th-TH"/>
        </w:rPr>
        <w:t>six months</w:t>
      </w:r>
      <w:r w:rsidR="00AC69F1" w:rsidRPr="1FE3AFCB">
        <w:rPr>
          <w:rFonts w:cs="Arial"/>
          <w:color w:val="000000"/>
          <w:lang w:eastAsia="en-US" w:bidi="th-TH"/>
        </w:rPr>
        <w:t xml:space="preserve"> to December 2022</w:t>
      </w:r>
      <w:r w:rsidR="000A6E6A" w:rsidRPr="1FE3AFCB">
        <w:rPr>
          <w:rFonts w:cs="Arial"/>
          <w:color w:val="000000"/>
          <w:lang w:eastAsia="en-US" w:bidi="th-TH"/>
        </w:rPr>
        <w:t>.</w:t>
      </w:r>
      <w:r w:rsidR="00E61FAA" w:rsidRPr="00E61FAA">
        <w:t xml:space="preserve"> </w:t>
      </w:r>
    </w:p>
    <w:p w14:paraId="20FF56CB" w14:textId="757E124C" w:rsidR="00A93129" w:rsidRDefault="00A93129" w:rsidP="00A93129">
      <w:pPr>
        <w:pStyle w:val="Caption"/>
      </w:pPr>
      <w:bookmarkStart w:id="132" w:name="_Ref134303612"/>
      <w:r>
        <w:lastRenderedPageBreak/>
        <w:t xml:space="preserve">Table </w:t>
      </w:r>
      <w:r>
        <w:fldChar w:fldCharType="begin"/>
      </w:r>
      <w:r>
        <w:instrText>SEQ Table \* ARABIC</w:instrText>
      </w:r>
      <w:r>
        <w:fldChar w:fldCharType="separate"/>
      </w:r>
      <w:r w:rsidR="00D64E4C">
        <w:rPr>
          <w:noProof/>
        </w:rPr>
        <w:t>14</w:t>
      </w:r>
      <w:r>
        <w:fldChar w:fldCharType="end"/>
      </w:r>
      <w:bookmarkEnd w:id="132"/>
      <w:r>
        <w:t xml:space="preserve">: </w:t>
      </w:r>
      <w:r w:rsidRPr="00FA2FB8">
        <w:t>PLAN MANAGEMENT SCHEME STATISTICS</w:t>
      </w:r>
    </w:p>
    <w:tbl>
      <w:tblPr>
        <w:tblStyle w:val="GridTable4-Accent12"/>
        <w:tblW w:w="0" w:type="auto"/>
        <w:tblInd w:w="279" w:type="dxa"/>
        <w:tblLayout w:type="fixed"/>
        <w:tblLook w:val="04A0" w:firstRow="1" w:lastRow="0" w:firstColumn="1" w:lastColumn="0" w:noHBand="0" w:noVBand="1"/>
        <w:tblCaption w:val="TABLE 14: PLAN MANAGEMENT SCHEME STATISTICS"/>
        <w:tblDescription w:val="The table provides plan management scheme statistics including the total number of participants receiving plan management services, the number of active plan management providers, the total plan management fees claimed, total number of actors active providers claiming, and the average amount claimed care provider."/>
      </w:tblPr>
      <w:tblGrid>
        <w:gridCol w:w="3402"/>
        <w:gridCol w:w="1701"/>
        <w:gridCol w:w="1701"/>
        <w:gridCol w:w="1701"/>
      </w:tblGrid>
      <w:tr w:rsidR="00597536" w:rsidRPr="00CE6573" w14:paraId="256E4DB0" w14:textId="77777777" w:rsidTr="002919AC">
        <w:trPr>
          <w:cnfStyle w:val="100000000000" w:firstRow="1" w:lastRow="0" w:firstColumn="0" w:lastColumn="0" w:oddVBand="0" w:evenVBand="0" w:oddHBand="0" w:evenHBand="0" w:firstRowFirstColumn="0" w:firstRowLastColumn="0" w:lastRowFirstColumn="0" w:lastRowLastColumn="0"/>
          <w:trHeight w:hRule="exact" w:val="567"/>
          <w:tblHeader/>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hideMark/>
          </w:tcPr>
          <w:p w14:paraId="37B931AC" w14:textId="77777777" w:rsidR="000B2BD1" w:rsidRPr="00CE6573" w:rsidRDefault="000B2BD1" w:rsidP="00D608D6">
            <w:pPr>
              <w:spacing w:before="60" w:after="60"/>
              <w:rPr>
                <w:rFonts w:eastAsia="Times New Roman" w:cs="Arial"/>
                <w:sz w:val="18"/>
                <w:szCs w:val="18"/>
                <w:lang w:eastAsia="zh-CN" w:bidi="th-TH"/>
              </w:rPr>
            </w:pPr>
            <w:r w:rsidRPr="00CE6573">
              <w:rPr>
                <w:rFonts w:eastAsia="Times New Roman" w:cs="Arial"/>
                <w:sz w:val="18"/>
                <w:szCs w:val="18"/>
                <w:lang w:eastAsia="zh-CN" w:bidi="th-TH"/>
              </w:rPr>
              <w:t>Statistics</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56B36442" w14:textId="0BBCC871" w:rsidR="000B2BD1" w:rsidRPr="009B0914" w:rsidRDefault="000B2BD1"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9B0914">
              <w:rPr>
                <w:rFonts w:eastAsia="Times New Roman" w:cs="Arial"/>
                <w:sz w:val="18"/>
                <w:szCs w:val="18"/>
                <w:lang w:eastAsia="zh-CN" w:bidi="th-TH"/>
              </w:rPr>
              <w:t xml:space="preserve">July </w:t>
            </w:r>
            <w:r w:rsidR="002B0448">
              <w:rPr>
                <w:rFonts w:eastAsia="Times New Roman" w:cs="Arial"/>
                <w:sz w:val="18"/>
                <w:szCs w:val="18"/>
                <w:lang w:eastAsia="zh-CN" w:bidi="th-TH"/>
              </w:rPr>
              <w:t>–</w:t>
            </w:r>
            <w:r w:rsidRPr="009B0914">
              <w:rPr>
                <w:rFonts w:eastAsia="Times New Roman" w:cs="Arial"/>
                <w:sz w:val="18"/>
                <w:szCs w:val="18"/>
                <w:lang w:eastAsia="zh-CN" w:bidi="th-TH"/>
              </w:rPr>
              <w:t xml:space="preserve"> December 2021</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hideMark/>
          </w:tcPr>
          <w:p w14:paraId="3B1A0A79" w14:textId="64623B2A" w:rsidR="000B2BD1" w:rsidRPr="009B0914" w:rsidRDefault="000B2BD1"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9B0914">
              <w:rPr>
                <w:rFonts w:eastAsia="Times New Roman" w:cs="Arial"/>
                <w:sz w:val="18"/>
                <w:szCs w:val="18"/>
                <w:lang w:eastAsia="zh-CN" w:bidi="th-TH"/>
              </w:rPr>
              <w:t xml:space="preserve">July </w:t>
            </w:r>
            <w:r w:rsidR="002B0448">
              <w:rPr>
                <w:rFonts w:eastAsia="Times New Roman" w:cs="Arial"/>
                <w:sz w:val="18"/>
                <w:szCs w:val="18"/>
                <w:lang w:eastAsia="zh-CN" w:bidi="th-TH"/>
              </w:rPr>
              <w:t>–</w:t>
            </w:r>
            <w:r w:rsidRPr="009B0914">
              <w:rPr>
                <w:rFonts w:eastAsia="Times New Roman" w:cs="Arial"/>
                <w:sz w:val="18"/>
                <w:szCs w:val="18"/>
                <w:lang w:eastAsia="zh-CN" w:bidi="th-TH"/>
              </w:rPr>
              <w:t xml:space="preserve"> December 2022</w:t>
            </w:r>
          </w:p>
        </w:tc>
        <w:tc>
          <w:tcPr>
            <w:tcW w:w="1701"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tcPr>
          <w:p w14:paraId="71109D45" w14:textId="77777777" w:rsidR="000B2BD1" w:rsidRPr="009B0914" w:rsidRDefault="000B2BD1" w:rsidP="00D608D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Arial"/>
                <w:sz w:val="18"/>
                <w:szCs w:val="18"/>
                <w:lang w:eastAsia="zh-CN" w:bidi="th-TH"/>
              </w:rPr>
            </w:pPr>
            <w:r w:rsidRPr="009B0914">
              <w:rPr>
                <w:rFonts w:eastAsia="Times New Roman" w:cs="Arial"/>
                <w:sz w:val="18"/>
                <w:szCs w:val="18"/>
                <w:lang w:eastAsia="zh-CN" w:bidi="th-TH"/>
              </w:rPr>
              <w:t>Percentage Change</w:t>
            </w:r>
          </w:p>
        </w:tc>
      </w:tr>
      <w:tr w:rsidR="00350010" w:rsidRPr="00CE6573" w14:paraId="6AB3C774" w14:textId="77777777" w:rsidTr="002919A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4F1E58" w:themeColor="accent1" w:themeShade="BF"/>
            </w:tcBorders>
            <w:noWrap/>
            <w:vAlign w:val="center"/>
          </w:tcPr>
          <w:p w14:paraId="13A728E4" w14:textId="77777777" w:rsidR="000B2BD1" w:rsidRPr="00CE6573" w:rsidRDefault="000B2BD1">
            <w:pPr>
              <w:spacing w:before="60" w:after="60"/>
              <w:rPr>
                <w:rFonts w:eastAsia="Times New Roman" w:cs="Arial"/>
                <w:b w:val="0"/>
                <w:color w:val="000000"/>
                <w:sz w:val="18"/>
                <w:szCs w:val="18"/>
                <w:lang w:eastAsia="zh-CN" w:bidi="th-TH"/>
              </w:rPr>
            </w:pPr>
            <w:r w:rsidRPr="4BFC137B">
              <w:rPr>
                <w:rFonts w:cs="Arial"/>
                <w:b w:val="0"/>
                <w:sz w:val="18"/>
                <w:szCs w:val="18"/>
              </w:rPr>
              <w:t>Total number of NDIS participants</w:t>
            </w:r>
          </w:p>
        </w:tc>
        <w:tc>
          <w:tcPr>
            <w:tcW w:w="1701" w:type="dxa"/>
            <w:tcBorders>
              <w:top w:val="single" w:sz="4" w:space="0" w:color="4F1E58" w:themeColor="accent1" w:themeShade="BF"/>
            </w:tcBorders>
            <w:vAlign w:val="center"/>
          </w:tcPr>
          <w:p w14:paraId="0ED85F0A" w14:textId="77777777" w:rsidR="000B2BD1" w:rsidRPr="00E54D44" w:rsidRDefault="000B2BD1"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0B3046">
              <w:rPr>
                <w:rFonts w:eastAsia="Times New Roman" w:cs="Arial"/>
                <w:color w:val="000000"/>
                <w:sz w:val="18"/>
                <w:szCs w:val="18"/>
                <w:lang w:eastAsia="zh-CN" w:bidi="th-TH"/>
              </w:rPr>
              <w:t>262,</w:t>
            </w:r>
            <w:r w:rsidRPr="002F7625">
              <w:rPr>
                <w:rFonts w:cs="Arial"/>
                <w:sz w:val="18"/>
                <w:szCs w:val="18"/>
              </w:rPr>
              <w:t>915</w:t>
            </w:r>
          </w:p>
        </w:tc>
        <w:tc>
          <w:tcPr>
            <w:tcW w:w="1701" w:type="dxa"/>
            <w:tcBorders>
              <w:top w:val="single" w:sz="4" w:space="0" w:color="4F1E58" w:themeColor="accent1" w:themeShade="BF"/>
            </w:tcBorders>
            <w:noWrap/>
            <w:vAlign w:val="center"/>
          </w:tcPr>
          <w:p w14:paraId="1DC2BC8E" w14:textId="77777777" w:rsidR="000B2BD1" w:rsidRPr="00CE6573" w:rsidRDefault="000B2BD1"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E54D44">
              <w:rPr>
                <w:rFonts w:eastAsia="Times New Roman" w:cs="Arial"/>
                <w:color w:val="000000"/>
                <w:sz w:val="18"/>
                <w:szCs w:val="18"/>
                <w:lang w:eastAsia="zh-CN" w:bidi="th-TH"/>
              </w:rPr>
              <w:t>333,077</w:t>
            </w:r>
          </w:p>
        </w:tc>
        <w:tc>
          <w:tcPr>
            <w:tcW w:w="1701" w:type="dxa"/>
            <w:tcBorders>
              <w:top w:val="single" w:sz="4" w:space="0" w:color="4F1E58" w:themeColor="accent1" w:themeShade="BF"/>
            </w:tcBorders>
            <w:vAlign w:val="center"/>
          </w:tcPr>
          <w:p w14:paraId="52C856B9" w14:textId="77777777" w:rsidR="000B2BD1" w:rsidRPr="00CE6573" w:rsidRDefault="000B2BD1" w:rsidP="00D608D6">
            <w:pPr>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r w:rsidRPr="00E54D44">
              <w:rPr>
                <w:rFonts w:cs="Arial"/>
                <w:sz w:val="18"/>
                <w:szCs w:val="18"/>
              </w:rPr>
              <w:t>27%</w:t>
            </w:r>
          </w:p>
        </w:tc>
      </w:tr>
      <w:tr w:rsidR="006B631C" w:rsidRPr="00CE6573" w14:paraId="225FD917" w14:textId="77777777" w:rsidTr="4BFC137B">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0DF79B97" w14:textId="77777777" w:rsidR="000B2BD1" w:rsidRPr="00CE6573" w:rsidRDefault="000B2BD1">
            <w:pPr>
              <w:spacing w:before="60" w:after="60"/>
              <w:rPr>
                <w:rFonts w:eastAsia="Times New Roman" w:cs="Arial"/>
                <w:b w:val="0"/>
                <w:color w:val="000000"/>
                <w:sz w:val="18"/>
                <w:szCs w:val="18"/>
                <w:lang w:eastAsia="zh-CN" w:bidi="th-TH"/>
              </w:rPr>
            </w:pPr>
            <w:r w:rsidRPr="4BFC137B">
              <w:rPr>
                <w:rFonts w:cs="Arial"/>
                <w:b w:val="0"/>
                <w:sz w:val="18"/>
                <w:szCs w:val="18"/>
              </w:rPr>
              <w:t>Total number of active providers</w:t>
            </w:r>
          </w:p>
        </w:tc>
        <w:tc>
          <w:tcPr>
            <w:tcW w:w="1701" w:type="dxa"/>
            <w:vAlign w:val="center"/>
          </w:tcPr>
          <w:p w14:paraId="6F18994A" w14:textId="77777777" w:rsidR="000B2BD1" w:rsidRPr="00E54D44" w:rsidRDefault="000B2BD1" w:rsidP="00D608D6">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0B3046">
              <w:rPr>
                <w:rFonts w:eastAsia="Times New Roman" w:cs="Arial"/>
                <w:color w:val="000000"/>
                <w:sz w:val="18"/>
                <w:szCs w:val="18"/>
                <w:lang w:eastAsia="zh-CN" w:bidi="th-TH"/>
              </w:rPr>
              <w:t>1,588</w:t>
            </w:r>
          </w:p>
        </w:tc>
        <w:tc>
          <w:tcPr>
            <w:tcW w:w="1701" w:type="dxa"/>
            <w:noWrap/>
            <w:vAlign w:val="center"/>
          </w:tcPr>
          <w:p w14:paraId="1DBD96E2" w14:textId="77777777" w:rsidR="000B2BD1" w:rsidRPr="00CE6573" w:rsidRDefault="000B2BD1" w:rsidP="00D608D6">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bidi="th-TH"/>
              </w:rPr>
            </w:pPr>
            <w:r w:rsidRPr="00E54D44">
              <w:rPr>
                <w:rFonts w:eastAsia="Times New Roman" w:cs="Arial"/>
                <w:color w:val="000000"/>
                <w:sz w:val="18"/>
                <w:szCs w:val="18"/>
                <w:lang w:eastAsia="zh-CN" w:bidi="th-TH"/>
              </w:rPr>
              <w:t>1,797</w:t>
            </w:r>
          </w:p>
        </w:tc>
        <w:tc>
          <w:tcPr>
            <w:tcW w:w="1701" w:type="dxa"/>
            <w:vAlign w:val="center"/>
          </w:tcPr>
          <w:p w14:paraId="0D521E44" w14:textId="77777777" w:rsidR="000B2BD1" w:rsidRPr="00CE6573" w:rsidRDefault="000B2BD1" w:rsidP="00D608D6">
            <w:pPr>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w:t>
            </w:r>
            <w:r w:rsidRPr="00E54D44">
              <w:rPr>
                <w:rFonts w:cs="Arial"/>
                <w:sz w:val="18"/>
                <w:szCs w:val="18"/>
              </w:rPr>
              <w:t>13%</w:t>
            </w:r>
          </w:p>
        </w:tc>
      </w:tr>
      <w:tr w:rsidR="00350010" w:rsidRPr="00CE6573" w14:paraId="694602F9" w14:textId="77777777" w:rsidTr="4BFC13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52181EA5" w14:textId="15107DE4" w:rsidR="000B2BD1" w:rsidRPr="00CE6573" w:rsidRDefault="000B2BD1">
            <w:pPr>
              <w:spacing w:before="60" w:after="60"/>
              <w:rPr>
                <w:rFonts w:eastAsia="Times New Roman" w:cs="Arial"/>
                <w:b w:val="0"/>
                <w:color w:val="000000"/>
                <w:sz w:val="18"/>
                <w:szCs w:val="18"/>
                <w:lang w:eastAsia="zh-CN" w:bidi="th-TH"/>
              </w:rPr>
            </w:pPr>
            <w:r w:rsidRPr="4BFC137B">
              <w:rPr>
                <w:rFonts w:cs="Arial"/>
                <w:b w:val="0"/>
                <w:sz w:val="18"/>
                <w:szCs w:val="18"/>
              </w:rPr>
              <w:t xml:space="preserve">Total </w:t>
            </w:r>
            <w:r w:rsidR="00F835AB" w:rsidRPr="4BFC137B">
              <w:rPr>
                <w:rFonts w:cs="Arial"/>
                <w:b w:val="0"/>
                <w:sz w:val="18"/>
                <w:szCs w:val="18"/>
              </w:rPr>
              <w:t xml:space="preserve">plan management fees </w:t>
            </w:r>
            <w:r w:rsidRPr="4BFC137B">
              <w:rPr>
                <w:rFonts w:cs="Arial"/>
                <w:b w:val="0"/>
                <w:sz w:val="18"/>
                <w:szCs w:val="18"/>
              </w:rPr>
              <w:t>claimed</w:t>
            </w:r>
          </w:p>
        </w:tc>
        <w:tc>
          <w:tcPr>
            <w:tcW w:w="1701" w:type="dxa"/>
            <w:vAlign w:val="center"/>
          </w:tcPr>
          <w:p w14:paraId="025C913D" w14:textId="77777777" w:rsidR="000B2BD1" w:rsidRPr="00E54D44" w:rsidRDefault="000B2BD1"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0B3046">
              <w:rPr>
                <w:rFonts w:eastAsia="Times New Roman" w:cs="Arial"/>
                <w:color w:val="000000"/>
                <w:sz w:val="18"/>
                <w:szCs w:val="18"/>
                <w:lang w:eastAsia="zh-CN" w:bidi="th-TH"/>
              </w:rPr>
              <w:t>$200 million</w:t>
            </w:r>
          </w:p>
        </w:tc>
        <w:tc>
          <w:tcPr>
            <w:tcW w:w="1701" w:type="dxa"/>
            <w:noWrap/>
            <w:vAlign w:val="center"/>
          </w:tcPr>
          <w:p w14:paraId="343C76DA" w14:textId="77777777" w:rsidR="000B2BD1" w:rsidRPr="00CE6573" w:rsidRDefault="000B2BD1"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00E54D44">
              <w:rPr>
                <w:rFonts w:eastAsia="Times New Roman" w:cs="Arial"/>
                <w:color w:val="000000"/>
                <w:sz w:val="18"/>
                <w:szCs w:val="18"/>
                <w:lang w:eastAsia="zh-CN" w:bidi="th-TH"/>
              </w:rPr>
              <w:t>$228 million</w:t>
            </w:r>
          </w:p>
        </w:tc>
        <w:tc>
          <w:tcPr>
            <w:tcW w:w="1701" w:type="dxa"/>
            <w:vAlign w:val="center"/>
          </w:tcPr>
          <w:p w14:paraId="0EA84AB0" w14:textId="5A37B6BC" w:rsidR="000B2BD1" w:rsidRPr="00CE6573" w:rsidRDefault="000B2BD1" w:rsidP="00D608D6">
            <w:pPr>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r w:rsidRPr="00E54D44">
              <w:rPr>
                <w:rFonts w:cs="Arial"/>
                <w:sz w:val="18"/>
                <w:szCs w:val="18"/>
              </w:rPr>
              <w:t>14%</w:t>
            </w:r>
          </w:p>
        </w:tc>
      </w:tr>
      <w:tr w:rsidR="45F5781C" w14:paraId="56E71A67" w14:textId="77777777" w:rsidTr="4BFC137B">
        <w:trPr>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3BD54730" w14:textId="25C9C792" w:rsidR="45F5781C" w:rsidRDefault="6C2850E5" w:rsidP="2C5263B7">
            <w:pPr>
              <w:spacing w:before="60" w:after="60"/>
              <w:rPr>
                <w:rFonts w:cs="Arial"/>
                <w:b w:val="0"/>
                <w:sz w:val="18"/>
                <w:szCs w:val="18"/>
              </w:rPr>
            </w:pPr>
            <w:r w:rsidRPr="4BFC137B">
              <w:rPr>
                <w:rFonts w:cs="Arial"/>
                <w:b w:val="0"/>
                <w:sz w:val="18"/>
                <w:szCs w:val="18"/>
              </w:rPr>
              <w:t>Total number of active providers claiming fees</w:t>
            </w:r>
          </w:p>
        </w:tc>
        <w:tc>
          <w:tcPr>
            <w:tcW w:w="1701" w:type="dxa"/>
            <w:vAlign w:val="center"/>
          </w:tcPr>
          <w:p w14:paraId="2A4705DA" w14:textId="55345839" w:rsidR="45F5781C" w:rsidRDefault="6C2850E5" w:rsidP="00D608D6">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30142528">
              <w:rPr>
                <w:rFonts w:cs="Arial"/>
                <w:sz w:val="18"/>
                <w:szCs w:val="18"/>
              </w:rPr>
              <w:t>1,185</w:t>
            </w:r>
          </w:p>
        </w:tc>
        <w:tc>
          <w:tcPr>
            <w:tcW w:w="1701" w:type="dxa"/>
            <w:noWrap/>
            <w:vAlign w:val="center"/>
          </w:tcPr>
          <w:p w14:paraId="656250B5" w14:textId="40223486" w:rsidR="45F5781C" w:rsidRDefault="6C2850E5" w:rsidP="00D608D6">
            <w:pPr>
              <w:spacing w:before="60" w:after="60"/>
              <w:ind w:right="284"/>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30142528">
              <w:rPr>
                <w:rFonts w:cs="Arial"/>
                <w:sz w:val="18"/>
                <w:szCs w:val="18"/>
              </w:rPr>
              <w:t>1,318</w:t>
            </w:r>
          </w:p>
        </w:tc>
        <w:tc>
          <w:tcPr>
            <w:tcW w:w="1701" w:type="dxa"/>
            <w:vAlign w:val="center"/>
          </w:tcPr>
          <w:p w14:paraId="3CE9F682" w14:textId="353D1708" w:rsidR="45F5781C" w:rsidRDefault="6C2850E5" w:rsidP="00D608D6">
            <w:pPr>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2ECA9516">
              <w:rPr>
                <w:rFonts w:cs="Arial"/>
                <w:sz w:val="18"/>
                <w:szCs w:val="18"/>
              </w:rPr>
              <w:t>+</w:t>
            </w:r>
            <w:r w:rsidRPr="46F320D3">
              <w:rPr>
                <w:rFonts w:cs="Arial"/>
                <w:sz w:val="18"/>
                <w:szCs w:val="18"/>
              </w:rPr>
              <w:t>11%</w:t>
            </w:r>
          </w:p>
        </w:tc>
      </w:tr>
      <w:tr w:rsidR="000B2BD1" w:rsidRPr="00CE6573" w14:paraId="1BB34E35" w14:textId="77777777" w:rsidTr="4BFC13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02" w:type="dxa"/>
            <w:noWrap/>
            <w:vAlign w:val="center"/>
          </w:tcPr>
          <w:p w14:paraId="3DECFDC6" w14:textId="3FCA98D8" w:rsidR="000B2BD1" w:rsidRPr="00CE6573" w:rsidRDefault="510D3240">
            <w:pPr>
              <w:spacing w:before="60" w:after="60"/>
              <w:rPr>
                <w:rFonts w:cs="Arial"/>
                <w:b w:val="0"/>
                <w:sz w:val="18"/>
                <w:szCs w:val="18"/>
              </w:rPr>
            </w:pPr>
            <w:r w:rsidRPr="4BFC137B">
              <w:rPr>
                <w:rFonts w:cs="Arial"/>
                <w:b w:val="0"/>
                <w:sz w:val="18"/>
                <w:szCs w:val="18"/>
              </w:rPr>
              <w:t xml:space="preserve">Average amount claimed </w:t>
            </w:r>
            <w:r w:rsidR="6ACA396F" w:rsidRPr="4BFC137B">
              <w:rPr>
                <w:rFonts w:cs="Arial"/>
                <w:b w:val="0"/>
                <w:sz w:val="18"/>
                <w:szCs w:val="18"/>
              </w:rPr>
              <w:t xml:space="preserve">fees </w:t>
            </w:r>
            <w:r w:rsidRPr="4BFC137B">
              <w:rPr>
                <w:rFonts w:cs="Arial"/>
                <w:b w:val="0"/>
                <w:sz w:val="18"/>
                <w:szCs w:val="18"/>
              </w:rPr>
              <w:t>per provider</w:t>
            </w:r>
          </w:p>
        </w:tc>
        <w:tc>
          <w:tcPr>
            <w:tcW w:w="1701" w:type="dxa"/>
            <w:vAlign w:val="center"/>
          </w:tcPr>
          <w:p w14:paraId="47D05D4F" w14:textId="36EFA555" w:rsidR="000B2BD1" w:rsidRPr="0080295A" w:rsidRDefault="7CA6B244"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6B39C31B">
              <w:rPr>
                <w:rFonts w:eastAsia="Times New Roman" w:cs="Arial"/>
                <w:color w:val="000000"/>
                <w:sz w:val="18"/>
                <w:szCs w:val="18"/>
                <w:lang w:eastAsia="zh-CN" w:bidi="th-TH"/>
              </w:rPr>
              <w:t>$168,605</w:t>
            </w:r>
          </w:p>
        </w:tc>
        <w:tc>
          <w:tcPr>
            <w:tcW w:w="1701" w:type="dxa"/>
            <w:noWrap/>
            <w:vAlign w:val="center"/>
          </w:tcPr>
          <w:p w14:paraId="1F988B60" w14:textId="02865BA0" w:rsidR="000B2BD1" w:rsidRPr="00E54D44" w:rsidRDefault="7CA6B244" w:rsidP="00D608D6">
            <w:pPr>
              <w:spacing w:before="60" w:after="60"/>
              <w:ind w:right="284"/>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lang w:eastAsia="zh-CN" w:bidi="th-TH"/>
              </w:rPr>
            </w:pPr>
            <w:r w:rsidRPr="134E4145">
              <w:rPr>
                <w:rFonts w:eastAsia="Times New Roman" w:cs="Arial"/>
                <w:color w:val="000000"/>
                <w:sz w:val="18"/>
                <w:szCs w:val="18"/>
                <w:lang w:eastAsia="zh-CN" w:bidi="th-TH"/>
              </w:rPr>
              <w:t>$172,793</w:t>
            </w:r>
          </w:p>
        </w:tc>
        <w:tc>
          <w:tcPr>
            <w:tcW w:w="1701" w:type="dxa"/>
            <w:vAlign w:val="center"/>
          </w:tcPr>
          <w:p w14:paraId="3A279607" w14:textId="77777777" w:rsidR="000B2BD1" w:rsidRDefault="000B2BD1" w:rsidP="00D608D6">
            <w:pPr>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bl>
    <w:p w14:paraId="5B4DEC16" w14:textId="0E9F71D9" w:rsidR="00306410" w:rsidRPr="002F7625" w:rsidRDefault="00306410" w:rsidP="009C0AF6">
      <w:pPr>
        <w:spacing w:before="60" w:after="60" w:line="240" w:lineRule="atLeast"/>
        <w:rPr>
          <w:b/>
          <w:i/>
          <w:sz w:val="16"/>
          <w:szCs w:val="16"/>
        </w:rPr>
      </w:pPr>
      <w:r w:rsidRPr="002F7625">
        <w:rPr>
          <w:b/>
          <w:i/>
          <w:sz w:val="16"/>
          <w:szCs w:val="16"/>
        </w:rPr>
        <w:t>Source: NDIS administrative data</w:t>
      </w:r>
    </w:p>
    <w:p w14:paraId="43A1C933" w14:textId="730155B9" w:rsidR="49D9EC1E" w:rsidRDefault="3D97E5AB" w:rsidP="49D9EC1E">
      <w:pPr>
        <w:rPr>
          <w:rFonts w:cs="Arial"/>
          <w:color w:val="000000"/>
          <w:lang w:eastAsia="en-US" w:bidi="th-TH"/>
        </w:rPr>
      </w:pPr>
      <w:r w:rsidRPr="00383930">
        <w:t>Note figures above are based on payments made for relevant plan management supports. The</w:t>
      </w:r>
      <w:r w:rsidR="27C465C7" w:rsidRPr="00383930">
        <w:t>refore, the figures above</w:t>
      </w:r>
      <w:r w:rsidRPr="00383930">
        <w:t xml:space="preserve"> may differ from the </w:t>
      </w:r>
      <w:r w:rsidR="30BB55E2" w:rsidRPr="00383930">
        <w:t xml:space="preserve">actual </w:t>
      </w:r>
      <w:r w:rsidRPr="00383930">
        <w:t xml:space="preserve">number of plan managers registered with NDIS Commission to deliver plan management supports. </w:t>
      </w:r>
      <w:r w:rsidR="006B0A2A" w:rsidRPr="00383930">
        <w:t>T</w:t>
      </w:r>
      <w:r w:rsidR="67CD835F" w:rsidRPr="00383930">
        <w:t>he t</w:t>
      </w:r>
      <w:r w:rsidRPr="00383930">
        <w:t xml:space="preserve">otal number of </w:t>
      </w:r>
      <w:r w:rsidR="7201C08E" w:rsidRPr="00383930">
        <w:t xml:space="preserve">NDIS active </w:t>
      </w:r>
      <w:r w:rsidRPr="00383930">
        <w:t>participants who are partly or fully plan</w:t>
      </w:r>
      <w:r w:rsidR="00CD495E">
        <w:t>-</w:t>
      </w:r>
      <w:r w:rsidRPr="00383930">
        <w:t xml:space="preserve">managed </w:t>
      </w:r>
      <w:r w:rsidR="3CB5C08C" w:rsidRPr="00383930">
        <w:t>may</w:t>
      </w:r>
      <w:r w:rsidRPr="00383930">
        <w:t xml:space="preserve"> </w:t>
      </w:r>
      <w:r w:rsidR="3CB5C08C" w:rsidRPr="00383930">
        <w:t xml:space="preserve">differ to </w:t>
      </w:r>
      <w:r w:rsidR="5B43DBC0" w:rsidRPr="00383930">
        <w:t>number of</w:t>
      </w:r>
      <w:r w:rsidR="3CB5C08C" w:rsidRPr="00383930">
        <w:t xml:space="preserve"> </w:t>
      </w:r>
      <w:r w:rsidRPr="00383930">
        <w:t xml:space="preserve">participants that used plan management services </w:t>
      </w:r>
      <w:r w:rsidR="0BFC4670" w:rsidRPr="00383930">
        <w:t xml:space="preserve">in </w:t>
      </w:r>
      <w:r w:rsidR="29375501" w:rsidRPr="00383930">
        <w:t>the time periods</w:t>
      </w:r>
      <w:r w:rsidR="75A8D21D" w:rsidRPr="00383930">
        <w:t xml:space="preserve"> </w:t>
      </w:r>
      <w:r w:rsidR="054D7C9E" w:rsidRPr="00383930">
        <w:t xml:space="preserve">presented </w:t>
      </w:r>
      <w:r w:rsidR="75A8D21D" w:rsidRPr="00383930">
        <w:t>above</w:t>
      </w:r>
      <w:r w:rsidRPr="00383930">
        <w:t>.</w:t>
      </w:r>
    </w:p>
    <w:p w14:paraId="54BCB25B" w14:textId="50CE2D16" w:rsidR="003002E5" w:rsidRPr="00E24442" w:rsidRDefault="000A6E6A" w:rsidP="00426A00">
      <w:pPr>
        <w:rPr>
          <w:b/>
          <w:u w:val="single"/>
        </w:rPr>
      </w:pPr>
      <w:r w:rsidRPr="00E24442">
        <w:rPr>
          <w:b/>
          <w:u w:val="single"/>
        </w:rPr>
        <w:t>Participants</w:t>
      </w:r>
    </w:p>
    <w:p w14:paraId="4C01B68E" w14:textId="11219797" w:rsidR="00420D87" w:rsidRDefault="1B37D274" w:rsidP="00420D87">
      <w:r>
        <w:t xml:space="preserve">Over half of all participants used a plan manager (58%) during December quarter 2022, and </w:t>
      </w:r>
      <w:bookmarkStart w:id="133" w:name="_Int_9PeZye3x"/>
      <w:r>
        <w:t>nearly half</w:t>
      </w:r>
      <w:bookmarkEnd w:id="133"/>
      <w:r>
        <w:t xml:space="preserve"> of payments made from </w:t>
      </w:r>
      <w:r w:rsidR="4A21AA6C">
        <w:t xml:space="preserve">NDIS </w:t>
      </w:r>
      <w:r>
        <w:t xml:space="preserve">plan budgets were </w:t>
      </w:r>
      <w:r w:rsidR="009770A6">
        <w:t xml:space="preserve">claimed </w:t>
      </w:r>
      <w:r>
        <w:t>by a plan manager (49%).</w:t>
      </w:r>
      <w:r w:rsidR="55CA4369">
        <w:t xml:space="preserve"> These have increased </w:t>
      </w:r>
      <w:r w:rsidR="7D398D80">
        <w:t>from 45% and 35%, respectively, since the December 2020 quarter.</w:t>
      </w:r>
    </w:p>
    <w:p w14:paraId="041AAE36" w14:textId="51BADDCB" w:rsidR="00420D87" w:rsidRPr="003D4E72" w:rsidRDefault="00000000" w:rsidP="24862EB2">
      <w:fldSimple w:instr=" REF _Ref134303377 ">
        <w:r w:rsidR="00D64E4C">
          <w:t xml:space="preserve">Figure </w:t>
        </w:r>
        <w:r w:rsidR="00D64E4C">
          <w:rPr>
            <w:noProof/>
          </w:rPr>
          <w:t>28</w:t>
        </w:r>
      </w:fldSimple>
      <w:r w:rsidR="671A1208">
        <w:t xml:space="preserve"> </w:t>
      </w:r>
      <w:r w:rsidR="1B37D274">
        <w:t>below illustrates the share of participants plan-</w:t>
      </w:r>
      <w:bookmarkStart w:id="134" w:name="_Int_19Zewa4j"/>
      <w:r w:rsidR="1B37D274">
        <w:t>managed</w:t>
      </w:r>
      <w:bookmarkEnd w:id="134"/>
      <w:r w:rsidR="1B37D274">
        <w:t xml:space="preserve"> and </w:t>
      </w:r>
      <w:fldSimple w:instr=" REF _Ref134303387 ">
        <w:r w:rsidR="00D64E4C">
          <w:t xml:space="preserve">Figure </w:t>
        </w:r>
        <w:r w:rsidR="00D64E4C">
          <w:rPr>
            <w:noProof/>
          </w:rPr>
          <w:t>29</w:t>
        </w:r>
      </w:fldSimple>
      <w:r w:rsidR="671A1208">
        <w:t xml:space="preserve"> </w:t>
      </w:r>
      <w:r w:rsidR="1B37D274">
        <w:t>shows the share of payments processed by plan mangers increased significantly in the last two years.</w:t>
      </w:r>
    </w:p>
    <w:p w14:paraId="1F9FC8E2" w14:textId="2727278E" w:rsidR="003D4E72" w:rsidRDefault="003D4E72" w:rsidP="003D4E72">
      <w:pPr>
        <w:pStyle w:val="Caption"/>
      </w:pPr>
      <w:bookmarkStart w:id="135" w:name="_Ref134303377"/>
      <w:r>
        <w:t xml:space="preserve">Figure </w:t>
      </w:r>
      <w:r>
        <w:fldChar w:fldCharType="begin"/>
      </w:r>
      <w:r>
        <w:instrText>SEQ Figure \* ARABIC</w:instrText>
      </w:r>
      <w:r>
        <w:fldChar w:fldCharType="separate"/>
      </w:r>
      <w:r w:rsidR="00D64E4C">
        <w:rPr>
          <w:noProof/>
        </w:rPr>
        <w:t>28</w:t>
      </w:r>
      <w:r>
        <w:fldChar w:fldCharType="end"/>
      </w:r>
      <w:bookmarkEnd w:id="135"/>
      <w:r>
        <w:t xml:space="preserve">: </w:t>
      </w:r>
      <w:r w:rsidRPr="0099580C">
        <w:t>Distribution of participants by method of plan management OCTOBeR 2020 – DECEMBER 2022</w:t>
      </w:r>
    </w:p>
    <w:p w14:paraId="1C6A676B" w14:textId="0A16C075" w:rsidR="00426A00" w:rsidRPr="00490047" w:rsidRDefault="00705D30" w:rsidP="003D4E72">
      <w:pPr>
        <w:jc w:val="center"/>
      </w:pPr>
      <w:r>
        <w:rPr>
          <w:noProof/>
        </w:rPr>
        <w:drawing>
          <wp:inline distT="0" distB="0" distL="0" distR="0" wp14:anchorId="04C23DF5" wp14:editId="774FE864">
            <wp:extent cx="5377180" cy="2670175"/>
            <wp:effectExtent l="0" t="0" r="0" b="0"/>
            <wp:docPr id="25" name="Picture 25" descr="FIGURE 28: DISTRIBUTION OF PARTICIPANTS BY METHOD OF PLAN MANAGEMENT OCTOBER 2020 – DECEMBER 2022&#10;&#10;There has been a rise in the share of participants that are planned managed and a decline in the share of participants that are self managed and agency managed. The sheriff participants that a plan managed has risen from 45% in the December quarter 2020 to 58% in the December quarter 2022. The share of participants that are self managed has declined from 32% in the December quarter 2020 to 30% in the December quarter 2022. The share of participants that are agency managed has declined from 24% in the December quarter 2020 to 12% in the December quarter 2022, more than having over the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28: DISTRIBUTION OF PARTICIPANTS BY METHOD OF PLAN MANAGEMENT OCTOBER 2020 – DECEMBER 2022&#10;&#10;There has been a rise in the share of participants that are planned managed and a decline in the share of participants that are self managed and agency managed. The sheriff participants that a plan managed has risen from 45% in the December quarter 2020 to 58% in the December quarter 2022. The share of participants that are self managed has declined from 32% in the December quarter 2020 to 30% in the December quarter 2022. The share of participants that are agency managed has declined from 24% in the December quarter 2020 to 12% in the December quarter 2022, more than having over the period.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7180" cy="2670175"/>
                    </a:xfrm>
                    <a:prstGeom prst="rect">
                      <a:avLst/>
                    </a:prstGeom>
                    <a:noFill/>
                  </pic:spPr>
                </pic:pic>
              </a:graphicData>
            </a:graphic>
          </wp:inline>
        </w:drawing>
      </w:r>
    </w:p>
    <w:p w14:paraId="4E9D1998" w14:textId="6427614E" w:rsidR="003D4E72" w:rsidRDefault="003D4E72" w:rsidP="003D4E72">
      <w:pPr>
        <w:pStyle w:val="Caption"/>
      </w:pPr>
      <w:bookmarkStart w:id="136" w:name="_Ref134303387"/>
      <w:r>
        <w:lastRenderedPageBreak/>
        <w:t xml:space="preserve">Figure </w:t>
      </w:r>
      <w:r>
        <w:fldChar w:fldCharType="begin"/>
      </w:r>
      <w:r>
        <w:instrText>SEQ Figure \* ARABIC</w:instrText>
      </w:r>
      <w:r>
        <w:fldChar w:fldCharType="separate"/>
      </w:r>
      <w:r w:rsidR="00D64E4C">
        <w:rPr>
          <w:noProof/>
        </w:rPr>
        <w:t>29</w:t>
      </w:r>
      <w:r>
        <w:fldChar w:fldCharType="end"/>
      </w:r>
      <w:bookmarkEnd w:id="136"/>
      <w:r>
        <w:t xml:space="preserve">: </w:t>
      </w:r>
      <w:r w:rsidRPr="00335132">
        <w:t>Distribution of Payments by method of plan management OCTOBeR 2020 – DECEMBER 2022</w:t>
      </w:r>
    </w:p>
    <w:p w14:paraId="3F60E588" w14:textId="397F26D7" w:rsidR="00420D87" w:rsidRDefault="00705D30" w:rsidP="00420D87">
      <w:pPr>
        <w:jc w:val="center"/>
        <w:rPr>
          <w:rFonts w:cs="FS Me Pro Light"/>
          <w:color w:val="000000"/>
          <w:szCs w:val="22"/>
        </w:rPr>
      </w:pPr>
      <w:r>
        <w:rPr>
          <w:rFonts w:cs="FS Me Pro Light"/>
          <w:noProof/>
          <w:color w:val="000000"/>
          <w:szCs w:val="22"/>
        </w:rPr>
        <w:drawing>
          <wp:inline distT="0" distB="0" distL="0" distR="0" wp14:anchorId="366611BB" wp14:editId="72424712">
            <wp:extent cx="5377180" cy="2609215"/>
            <wp:effectExtent l="0" t="0" r="0" b="635"/>
            <wp:docPr id="24" name="Picture 24" descr="FIGURE 29: DISTRIBUTION OF PAYMENTS BY METHOD OF PLAN MANAGEMENT OCTOBER 2020 – DECEMBER 2022&#10;&#10;&#10;Terms of the distribution of payments by method of plan management there has been a steady increase in the share that is planned managed and a steady decline in the share that is self managed and agency managed. To share that his plan managed has risen from 35% in the December quarter 2020 to 49% in the December quarter 2022. While the share that is self managed has declined from 13% to 12% over the same period. And the share that is agency managed has declined from 52% to 39% over the sam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29: DISTRIBUTION OF PAYMENTS BY METHOD OF PLAN MANAGEMENT OCTOBER 2020 – DECEMBER 2022&#10;&#10;&#10;Terms of the distribution of payments by method of plan management there has been a steady increase in the share that is planned managed and a steady decline in the share that is self managed and agency managed. To share that his plan managed has risen from 35% in the December quarter 2020 to 49% in the December quarter 2022. While the share that is self managed has declined from 13% to 12% over the same period. And the share that is agency managed has declined from 52% to 39% over the same perio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77180" cy="2609215"/>
                    </a:xfrm>
                    <a:prstGeom prst="rect">
                      <a:avLst/>
                    </a:prstGeom>
                    <a:noFill/>
                  </pic:spPr>
                </pic:pic>
              </a:graphicData>
            </a:graphic>
          </wp:inline>
        </w:drawing>
      </w:r>
    </w:p>
    <w:p w14:paraId="2677E437" w14:textId="77777777" w:rsidR="001211BB" w:rsidRPr="00DC7710" w:rsidRDefault="001211BB" w:rsidP="001211BB">
      <w:pPr>
        <w:rPr>
          <w:b/>
          <w:u w:val="single"/>
        </w:rPr>
      </w:pPr>
      <w:r w:rsidRPr="00DC7710">
        <w:rPr>
          <w:b/>
          <w:u w:val="single"/>
        </w:rPr>
        <w:t>Providers</w:t>
      </w:r>
    </w:p>
    <w:p w14:paraId="45FBDD66" w14:textId="31E2D5B2" w:rsidR="002A0F38" w:rsidRPr="002A0F38" w:rsidRDefault="293E6B6A" w:rsidP="002A0F38">
      <w:pPr>
        <w:rPr>
          <w:rFonts w:cs="Arial"/>
          <w:lang w:eastAsia="en-US" w:bidi="th-TH"/>
        </w:rPr>
      </w:pPr>
      <w:r w:rsidRPr="24862EB2">
        <w:rPr>
          <w:rFonts w:cs="Arial"/>
          <w:lang w:eastAsia="en-US" w:bidi="th-TH"/>
        </w:rPr>
        <w:t xml:space="preserve">During the period </w:t>
      </w:r>
      <w:r w:rsidR="7735E362" w:rsidRPr="24862EB2">
        <w:rPr>
          <w:rFonts w:cs="Arial"/>
          <w:lang w:eastAsia="en-US" w:bidi="th-TH"/>
        </w:rPr>
        <w:t>December</w:t>
      </w:r>
      <w:r w:rsidRPr="24862EB2">
        <w:rPr>
          <w:rFonts w:cs="Arial"/>
          <w:lang w:eastAsia="en-US" w:bidi="th-TH"/>
        </w:rPr>
        <w:t xml:space="preserve"> 2020 to December 2022, the number of</w:t>
      </w:r>
      <w:r w:rsidR="7326AFB6" w:rsidRPr="24862EB2">
        <w:rPr>
          <w:rFonts w:cs="Arial"/>
          <w:lang w:eastAsia="en-US" w:bidi="th-TH"/>
        </w:rPr>
        <w:t xml:space="preserve"> </w:t>
      </w:r>
      <w:r w:rsidRPr="24862EB2">
        <w:rPr>
          <w:rFonts w:cs="Arial"/>
          <w:lang w:eastAsia="en-US" w:bidi="th-TH"/>
        </w:rPr>
        <w:t>plan managers increased from 1,</w:t>
      </w:r>
      <w:r w:rsidR="30FE63AD" w:rsidRPr="24862EB2">
        <w:rPr>
          <w:rFonts w:cs="Arial"/>
          <w:lang w:eastAsia="en-US" w:bidi="th-TH"/>
        </w:rPr>
        <w:t>0</w:t>
      </w:r>
      <w:r w:rsidR="1BD46388" w:rsidRPr="24862EB2">
        <w:rPr>
          <w:rFonts w:cs="Arial"/>
          <w:lang w:eastAsia="en-US" w:bidi="th-TH"/>
        </w:rPr>
        <w:t>98</w:t>
      </w:r>
      <w:r w:rsidR="30FE63AD" w:rsidRPr="24862EB2">
        <w:rPr>
          <w:rFonts w:cs="Arial"/>
          <w:lang w:eastAsia="en-US" w:bidi="th-TH"/>
        </w:rPr>
        <w:t xml:space="preserve"> </w:t>
      </w:r>
      <w:r w:rsidR="11111F36" w:rsidRPr="24862EB2">
        <w:rPr>
          <w:rFonts w:cs="Arial"/>
          <w:lang w:eastAsia="en-US" w:bidi="th-TH"/>
        </w:rPr>
        <w:t>in the six months to December</w:t>
      </w:r>
      <w:r w:rsidR="30FE63AD" w:rsidRPr="24862EB2">
        <w:rPr>
          <w:rFonts w:cs="Arial"/>
          <w:lang w:eastAsia="en-US" w:bidi="th-TH"/>
        </w:rPr>
        <w:t xml:space="preserve"> </w:t>
      </w:r>
      <w:r w:rsidRPr="24862EB2">
        <w:rPr>
          <w:rFonts w:cs="Arial"/>
          <w:lang w:eastAsia="en-US" w:bidi="th-TH"/>
        </w:rPr>
        <w:t>2020 to 1,</w:t>
      </w:r>
      <w:r w:rsidR="7DD300DD" w:rsidRPr="24862EB2">
        <w:rPr>
          <w:rFonts w:cs="Arial"/>
          <w:lang w:eastAsia="en-US" w:bidi="th-TH"/>
        </w:rPr>
        <w:t>797</w:t>
      </w:r>
      <w:r w:rsidR="30FE63AD" w:rsidRPr="24862EB2">
        <w:rPr>
          <w:rFonts w:cs="Arial"/>
          <w:lang w:eastAsia="en-US" w:bidi="th-TH"/>
        </w:rPr>
        <w:t xml:space="preserve"> </w:t>
      </w:r>
      <w:r w:rsidR="29B1AFB6" w:rsidRPr="24862EB2">
        <w:rPr>
          <w:rFonts w:cs="Arial"/>
          <w:lang w:eastAsia="en-US" w:bidi="th-TH"/>
        </w:rPr>
        <w:t>in the six months to</w:t>
      </w:r>
      <w:r w:rsidRPr="24862EB2">
        <w:rPr>
          <w:rFonts w:cs="Arial"/>
          <w:lang w:eastAsia="en-US" w:bidi="th-TH"/>
        </w:rPr>
        <w:t xml:space="preserve"> December 2022</w:t>
      </w:r>
      <w:r w:rsidR="1F37878C" w:rsidRPr="24862EB2">
        <w:rPr>
          <w:rFonts w:cs="Arial"/>
          <w:lang w:eastAsia="en-US" w:bidi="th-TH"/>
        </w:rPr>
        <w:t>,</w:t>
      </w:r>
      <w:r w:rsidRPr="24862EB2">
        <w:rPr>
          <w:rFonts w:cs="Arial"/>
          <w:lang w:eastAsia="en-US" w:bidi="th-TH"/>
        </w:rPr>
        <w:t xml:space="preserve"> an </w:t>
      </w:r>
      <w:r w:rsidR="79D72D4B" w:rsidRPr="24862EB2">
        <w:rPr>
          <w:rFonts w:cs="Arial"/>
          <w:lang w:eastAsia="en-US" w:bidi="th-TH"/>
        </w:rPr>
        <w:t>average</w:t>
      </w:r>
      <w:r w:rsidRPr="24862EB2">
        <w:rPr>
          <w:rFonts w:cs="Arial"/>
          <w:lang w:eastAsia="en-US" w:bidi="th-TH"/>
        </w:rPr>
        <w:t xml:space="preserve"> </w:t>
      </w:r>
      <w:r w:rsidR="77FD1D3D" w:rsidRPr="24862EB2">
        <w:rPr>
          <w:rFonts w:cs="Arial"/>
          <w:lang w:eastAsia="en-US" w:bidi="th-TH"/>
        </w:rPr>
        <w:t>six-month</w:t>
      </w:r>
      <w:r w:rsidRPr="24862EB2">
        <w:rPr>
          <w:rFonts w:cs="Arial"/>
          <w:lang w:eastAsia="en-US" w:bidi="th-TH"/>
        </w:rPr>
        <w:t xml:space="preserve"> increase of </w:t>
      </w:r>
      <w:r w:rsidR="0EAFD20D" w:rsidRPr="24862EB2">
        <w:rPr>
          <w:rFonts w:cs="Arial"/>
          <w:lang w:eastAsia="en-US" w:bidi="th-TH"/>
        </w:rPr>
        <w:t>1</w:t>
      </w:r>
      <w:r w:rsidR="6A710C65" w:rsidRPr="24862EB2">
        <w:rPr>
          <w:rFonts w:cs="Arial"/>
          <w:lang w:eastAsia="en-US" w:bidi="th-TH"/>
        </w:rPr>
        <w:t>4</w:t>
      </w:r>
      <w:r w:rsidR="60DA63E6" w:rsidRPr="5188BD8F">
        <w:rPr>
          <w:rFonts w:cs="Arial"/>
          <w:lang w:eastAsia="en-US" w:bidi="th-TH"/>
        </w:rPr>
        <w:t>%</w:t>
      </w:r>
      <w:r w:rsidR="28DF3445" w:rsidRPr="24862EB2">
        <w:rPr>
          <w:rFonts w:cs="Arial"/>
          <w:lang w:eastAsia="en-US" w:bidi="th-TH"/>
        </w:rPr>
        <w:t>.</w:t>
      </w:r>
      <w:r w:rsidR="6C70A270" w:rsidRPr="24862EB2">
        <w:rPr>
          <w:rFonts w:cs="Arial"/>
          <w:lang w:eastAsia="en-US" w:bidi="th-TH"/>
        </w:rPr>
        <w:t xml:space="preserve"> </w:t>
      </w:r>
      <w:r w:rsidR="4510CF73" w:rsidRPr="5188BD8F">
        <w:rPr>
          <w:rFonts w:cs="Arial"/>
          <w:lang w:eastAsia="en-US" w:bidi="th-TH"/>
        </w:rPr>
        <w:t>Aside from</w:t>
      </w:r>
      <w:r w:rsidR="7317F5F8" w:rsidRPr="24862EB2">
        <w:rPr>
          <w:rFonts w:cs="Arial"/>
          <w:lang w:eastAsia="en-US" w:bidi="th-TH"/>
        </w:rPr>
        <w:t xml:space="preserve"> </w:t>
      </w:r>
      <w:r w:rsidR="581232A5" w:rsidRPr="24862EB2">
        <w:rPr>
          <w:rFonts w:cs="Arial"/>
          <w:lang w:eastAsia="en-US" w:bidi="th-TH"/>
        </w:rPr>
        <w:t>most recent six months</w:t>
      </w:r>
      <w:r w:rsidR="7317F5F8" w:rsidRPr="24862EB2">
        <w:rPr>
          <w:rFonts w:cs="Arial"/>
          <w:lang w:eastAsia="en-US" w:bidi="th-TH"/>
        </w:rPr>
        <w:t xml:space="preserve">, there has been </w:t>
      </w:r>
      <w:r w:rsidR="1D8A0B2A" w:rsidRPr="24862EB2">
        <w:rPr>
          <w:rFonts w:cs="Arial"/>
          <w:lang w:eastAsia="en-US" w:bidi="th-TH"/>
        </w:rPr>
        <w:t>growth</w:t>
      </w:r>
      <w:r w:rsidR="7317F5F8" w:rsidRPr="24862EB2">
        <w:rPr>
          <w:rFonts w:cs="Arial"/>
          <w:lang w:eastAsia="en-US" w:bidi="th-TH"/>
        </w:rPr>
        <w:t xml:space="preserve"> in providers of plan management supports</w:t>
      </w:r>
      <w:r w:rsidR="4B87AE50" w:rsidRPr="24862EB2">
        <w:rPr>
          <w:rFonts w:cs="Arial"/>
          <w:lang w:eastAsia="en-US" w:bidi="th-TH"/>
        </w:rPr>
        <w:t>.</w:t>
      </w:r>
      <w:r w:rsidR="389440EC" w:rsidRPr="24862EB2">
        <w:rPr>
          <w:rFonts w:cs="Arial"/>
          <w:lang w:eastAsia="en-US" w:bidi="th-TH"/>
        </w:rPr>
        <w:t xml:space="preserve"> See</w:t>
      </w:r>
      <w:r w:rsidR="671A1208" w:rsidRPr="24862EB2">
        <w:rPr>
          <w:rFonts w:cs="Arial"/>
          <w:lang w:eastAsia="en-US" w:bidi="th-TH"/>
        </w:rPr>
        <w:t xml:space="preserve"> </w:t>
      </w:r>
      <w:r w:rsidR="002A0F38" w:rsidRPr="24862EB2">
        <w:rPr>
          <w:rFonts w:cs="Arial"/>
          <w:lang w:eastAsia="en-US" w:bidi="th-TH"/>
        </w:rPr>
        <w:fldChar w:fldCharType="begin"/>
      </w:r>
      <w:r w:rsidR="002A0F38" w:rsidRPr="24862EB2">
        <w:rPr>
          <w:rFonts w:cs="Arial"/>
          <w:lang w:eastAsia="en-US" w:bidi="th-TH"/>
        </w:rPr>
        <w:instrText xml:space="preserve"> REF _Ref134303400  \* MERGEFORMAT </w:instrText>
      </w:r>
      <w:r w:rsidR="002A0F38" w:rsidRPr="24862EB2">
        <w:rPr>
          <w:rFonts w:cs="Arial"/>
          <w:lang w:eastAsia="en-US" w:bidi="th-TH"/>
        </w:rPr>
        <w:fldChar w:fldCharType="separate"/>
      </w:r>
      <w:r w:rsidR="00D64E4C">
        <w:t xml:space="preserve">Figure </w:t>
      </w:r>
      <w:r w:rsidR="00D64E4C">
        <w:rPr>
          <w:noProof/>
        </w:rPr>
        <w:t>30</w:t>
      </w:r>
      <w:r w:rsidR="002A0F38" w:rsidRPr="24862EB2">
        <w:rPr>
          <w:rFonts w:cs="Arial"/>
          <w:lang w:eastAsia="en-US" w:bidi="th-TH"/>
        </w:rPr>
        <w:fldChar w:fldCharType="end"/>
      </w:r>
      <w:r w:rsidR="389440EC" w:rsidRPr="24862EB2">
        <w:rPr>
          <w:rFonts w:cs="Arial"/>
          <w:lang w:eastAsia="en-US" w:bidi="th-TH"/>
        </w:rPr>
        <w:t xml:space="preserve"> for the trend over this period.</w:t>
      </w:r>
      <w:r w:rsidR="4B1B86E4" w:rsidRPr="24862EB2">
        <w:rPr>
          <w:rFonts w:cs="Arial"/>
          <w:lang w:eastAsia="en-US" w:bidi="th-TH"/>
        </w:rPr>
        <w:t xml:space="preserve"> </w:t>
      </w:r>
      <w:r w:rsidR="6AC63D75" w:rsidRPr="24862EB2">
        <w:rPr>
          <w:rFonts w:cs="Arial"/>
          <w:lang w:eastAsia="en-US" w:bidi="th-TH"/>
        </w:rPr>
        <w:t xml:space="preserve">Data </w:t>
      </w:r>
      <w:r w:rsidR="208CF3AB" w:rsidRPr="24862EB2">
        <w:rPr>
          <w:rFonts w:cs="Arial"/>
          <w:lang w:eastAsia="en-US" w:bidi="th-TH"/>
        </w:rPr>
        <w:t>suggests</w:t>
      </w:r>
      <w:r w:rsidR="6AC63D75" w:rsidRPr="24862EB2">
        <w:rPr>
          <w:rFonts w:cs="Arial"/>
          <w:lang w:eastAsia="en-US" w:bidi="th-TH"/>
        </w:rPr>
        <w:t xml:space="preserve"> a slight </w:t>
      </w:r>
      <w:r w:rsidR="72E36EE1" w:rsidRPr="24862EB2">
        <w:rPr>
          <w:rFonts w:cs="Arial"/>
          <w:lang w:eastAsia="en-US" w:bidi="th-TH"/>
        </w:rPr>
        <w:t xml:space="preserve">reduction in the number of </w:t>
      </w:r>
      <w:r w:rsidR="506A585A" w:rsidRPr="24862EB2">
        <w:rPr>
          <w:rFonts w:cs="Arial"/>
          <w:lang w:eastAsia="en-US" w:bidi="th-TH"/>
        </w:rPr>
        <w:t xml:space="preserve">plan managers in the </w:t>
      </w:r>
      <w:r w:rsidR="7BEB1036" w:rsidRPr="24862EB2">
        <w:rPr>
          <w:rFonts w:cs="Arial"/>
          <w:lang w:eastAsia="en-US" w:bidi="th-TH"/>
        </w:rPr>
        <w:t xml:space="preserve">six months to </w:t>
      </w:r>
      <w:r w:rsidR="7BEB1036" w:rsidRPr="24862EB2">
        <w:rPr>
          <w:rFonts w:cs="Arial"/>
          <w:lang w:eastAsia="en-US" w:bidi="th-TH"/>
        </w:rPr>
        <w:t>Dec</w:t>
      </w:r>
      <w:r w:rsidR="002B6B65">
        <w:rPr>
          <w:rFonts w:cs="Arial"/>
          <w:lang w:eastAsia="en-US" w:bidi="th-TH"/>
        </w:rPr>
        <w:t>ember</w:t>
      </w:r>
      <w:r w:rsidR="7BEB1036" w:rsidRPr="24862EB2">
        <w:rPr>
          <w:rFonts w:cs="Arial"/>
          <w:lang w:eastAsia="en-US" w:bidi="th-TH"/>
        </w:rPr>
        <w:t xml:space="preserve"> 2</w:t>
      </w:r>
      <w:r w:rsidR="002B6B65">
        <w:rPr>
          <w:rFonts w:cs="Arial"/>
          <w:lang w:eastAsia="en-US" w:bidi="th-TH"/>
        </w:rPr>
        <w:t>02</w:t>
      </w:r>
      <w:r w:rsidR="7BEB1036" w:rsidRPr="24862EB2">
        <w:rPr>
          <w:rFonts w:cs="Arial"/>
          <w:lang w:eastAsia="en-US" w:bidi="th-TH"/>
        </w:rPr>
        <w:t xml:space="preserve">2 </w:t>
      </w:r>
      <w:r w:rsidR="1108957F" w:rsidRPr="24862EB2">
        <w:rPr>
          <w:rFonts w:cs="Arial"/>
          <w:lang w:eastAsia="en-US" w:bidi="th-TH"/>
        </w:rPr>
        <w:t xml:space="preserve">and </w:t>
      </w:r>
      <w:r w:rsidR="1DD79C68" w:rsidRPr="24862EB2">
        <w:rPr>
          <w:rFonts w:cs="Arial"/>
          <w:lang w:eastAsia="en-US" w:bidi="th-TH"/>
        </w:rPr>
        <w:t xml:space="preserve">the NDIA will continue to </w:t>
      </w:r>
      <w:r w:rsidR="59E40AD9" w:rsidRPr="24862EB2">
        <w:rPr>
          <w:rFonts w:cs="Arial"/>
          <w:lang w:eastAsia="en-US" w:bidi="th-TH"/>
        </w:rPr>
        <w:t>monitor</w:t>
      </w:r>
      <w:r w:rsidR="1DD79C68" w:rsidRPr="24862EB2">
        <w:rPr>
          <w:rFonts w:cs="Arial"/>
          <w:lang w:eastAsia="en-US" w:bidi="th-TH"/>
        </w:rPr>
        <w:t xml:space="preserve"> the </w:t>
      </w:r>
      <w:r w:rsidR="10CB7F7E" w:rsidRPr="24862EB2">
        <w:rPr>
          <w:rFonts w:cs="Arial"/>
          <w:lang w:eastAsia="en-US" w:bidi="th-TH"/>
        </w:rPr>
        <w:t xml:space="preserve">health of the </w:t>
      </w:r>
      <w:r w:rsidR="67FC3EA3" w:rsidRPr="24862EB2">
        <w:rPr>
          <w:rFonts w:cs="Arial"/>
          <w:lang w:eastAsia="en-US" w:bidi="th-TH"/>
        </w:rPr>
        <w:t>plan management mark</w:t>
      </w:r>
      <w:r w:rsidR="5FF73E75" w:rsidRPr="24862EB2">
        <w:rPr>
          <w:rFonts w:cs="Arial"/>
          <w:lang w:eastAsia="en-US" w:bidi="th-TH"/>
        </w:rPr>
        <w:t>et.</w:t>
      </w:r>
    </w:p>
    <w:p w14:paraId="6F8739F6" w14:textId="70343302" w:rsidR="0976D88A" w:rsidRDefault="30FE63AD" w:rsidP="0C63585D">
      <w:r w:rsidRPr="24862EB2">
        <w:rPr>
          <w:rFonts w:cs="Arial"/>
          <w:lang w:eastAsia="en-US" w:bidi="th-TH"/>
        </w:rPr>
        <w:t xml:space="preserve">Over </w:t>
      </w:r>
      <w:r w:rsidRPr="24862EB2">
        <w:rPr>
          <w:rFonts w:cs="FS Me Pro Light"/>
          <w:color w:val="000000"/>
        </w:rPr>
        <w:t xml:space="preserve">the same </w:t>
      </w:r>
      <w:r w:rsidR="559AF0F8" w:rsidRPr="24862EB2">
        <w:rPr>
          <w:rFonts w:cs="FS Me Pro Light"/>
          <w:color w:val="000000"/>
        </w:rPr>
        <w:t>time</w:t>
      </w:r>
      <w:r w:rsidRPr="24862EB2">
        <w:rPr>
          <w:rFonts w:cs="Arial"/>
          <w:lang w:eastAsia="en-US" w:bidi="th-TH"/>
        </w:rPr>
        <w:t>, the number of participants</w:t>
      </w:r>
      <w:r w:rsidR="0603E3C0" w:rsidRPr="24862EB2">
        <w:rPr>
          <w:rFonts w:cs="Arial"/>
          <w:lang w:eastAsia="en-US" w:bidi="th-TH"/>
        </w:rPr>
        <w:t xml:space="preserve"> </w:t>
      </w:r>
      <w:r w:rsidR="3BE791A9" w:rsidRPr="24862EB2">
        <w:rPr>
          <w:rFonts w:cs="Arial"/>
          <w:lang w:eastAsia="en-US" w:bidi="th-TH"/>
        </w:rPr>
        <w:t>partly or fully plan</w:t>
      </w:r>
      <w:r w:rsidR="00CD495E">
        <w:rPr>
          <w:rFonts w:cs="Arial"/>
          <w:lang w:eastAsia="en-US" w:bidi="th-TH"/>
        </w:rPr>
        <w:t>-</w:t>
      </w:r>
      <w:r w:rsidR="3BE791A9" w:rsidRPr="24862EB2">
        <w:rPr>
          <w:rFonts w:cs="Arial"/>
          <w:lang w:eastAsia="en-US" w:bidi="th-TH"/>
        </w:rPr>
        <w:t xml:space="preserve">managed </w:t>
      </w:r>
      <w:r w:rsidRPr="24862EB2">
        <w:rPr>
          <w:rFonts w:cs="Arial"/>
          <w:lang w:eastAsia="en-US" w:bidi="th-TH"/>
        </w:rPr>
        <w:t xml:space="preserve">increased from </w:t>
      </w:r>
      <w:r w:rsidRPr="24862EB2">
        <w:rPr>
          <w:rFonts w:cs="FS Me Pro Light"/>
          <w:color w:val="000000"/>
        </w:rPr>
        <w:t>18</w:t>
      </w:r>
      <w:r w:rsidR="6ED741CD" w:rsidRPr="24862EB2">
        <w:rPr>
          <w:rFonts w:cs="FS Me Pro Light"/>
          <w:color w:val="000000"/>
        </w:rPr>
        <w:t>9</w:t>
      </w:r>
      <w:r w:rsidRPr="24862EB2">
        <w:rPr>
          <w:rFonts w:cs="FS Me Pro Light"/>
          <w:color w:val="000000"/>
        </w:rPr>
        <w:t>,</w:t>
      </w:r>
      <w:r w:rsidR="46409852" w:rsidRPr="24862EB2">
        <w:rPr>
          <w:rFonts w:cs="FS Me Pro Light"/>
          <w:color w:val="000000"/>
        </w:rPr>
        <w:t>229</w:t>
      </w:r>
      <w:r w:rsidRPr="24862EB2">
        <w:rPr>
          <w:rFonts w:cs="FS Me Pro Light"/>
          <w:color w:val="000000"/>
        </w:rPr>
        <w:t xml:space="preserve"> to 3</w:t>
      </w:r>
      <w:r w:rsidR="064B76FC" w:rsidRPr="24862EB2">
        <w:rPr>
          <w:rFonts w:cs="FS Me Pro Light"/>
          <w:color w:val="000000"/>
        </w:rPr>
        <w:t>33,077</w:t>
      </w:r>
      <w:r w:rsidRPr="24862EB2">
        <w:rPr>
          <w:rFonts w:cs="FS Me Pro Light"/>
          <w:color w:val="000000"/>
        </w:rPr>
        <w:t xml:space="preserve"> </w:t>
      </w:r>
      <w:r w:rsidRPr="24862EB2">
        <w:rPr>
          <w:rFonts w:cs="Arial"/>
          <w:lang w:eastAsia="en-US" w:bidi="th-TH"/>
        </w:rPr>
        <w:t>– a</w:t>
      </w:r>
      <w:r w:rsidR="3F22C649" w:rsidRPr="24862EB2">
        <w:rPr>
          <w:rFonts w:cs="Arial"/>
          <w:lang w:eastAsia="en-US" w:bidi="th-TH"/>
        </w:rPr>
        <w:t>n average</w:t>
      </w:r>
      <w:r w:rsidRPr="24862EB2">
        <w:rPr>
          <w:rFonts w:cs="Arial"/>
          <w:lang w:eastAsia="en-US" w:bidi="th-TH"/>
        </w:rPr>
        <w:t xml:space="preserve"> </w:t>
      </w:r>
      <w:r w:rsidR="7F904205" w:rsidRPr="24862EB2">
        <w:rPr>
          <w:rFonts w:cs="Arial"/>
          <w:lang w:eastAsia="en-US" w:bidi="th-TH"/>
        </w:rPr>
        <w:t>six-month increase</w:t>
      </w:r>
      <w:r w:rsidRPr="24862EB2">
        <w:rPr>
          <w:rFonts w:cs="Arial"/>
          <w:lang w:eastAsia="en-US" w:bidi="th-TH"/>
        </w:rPr>
        <w:t xml:space="preserve"> of </w:t>
      </w:r>
      <w:r w:rsidR="244898D2" w:rsidRPr="24862EB2">
        <w:rPr>
          <w:rFonts w:cs="Arial"/>
          <w:lang w:eastAsia="en-US" w:bidi="th-TH"/>
        </w:rPr>
        <w:t>15</w:t>
      </w:r>
      <w:r w:rsidR="4F24806E" w:rsidRPr="5188BD8F">
        <w:rPr>
          <w:rFonts w:cs="Arial"/>
          <w:lang w:eastAsia="en-US" w:bidi="th-TH"/>
        </w:rPr>
        <w:t>%</w:t>
      </w:r>
      <w:r w:rsidRPr="24862EB2">
        <w:rPr>
          <w:rFonts w:cs="Arial"/>
          <w:lang w:eastAsia="en-US" w:bidi="th-TH"/>
        </w:rPr>
        <w:t xml:space="preserve">. This indicates that while new plan managers are </w:t>
      </w:r>
      <w:r w:rsidR="1C6E0AD7" w:rsidRPr="24862EB2">
        <w:rPr>
          <w:rFonts w:cs="Arial"/>
          <w:lang w:eastAsia="en-US" w:bidi="th-TH"/>
        </w:rPr>
        <w:t>entering</w:t>
      </w:r>
      <w:r w:rsidRPr="24862EB2">
        <w:rPr>
          <w:rFonts w:cs="Arial"/>
          <w:lang w:eastAsia="en-US" w:bidi="th-TH"/>
        </w:rPr>
        <w:t xml:space="preserve"> the market </w:t>
      </w:r>
      <w:r w:rsidR="0E9B74E1" w:rsidRPr="24862EB2">
        <w:rPr>
          <w:rFonts w:cs="Arial"/>
          <w:lang w:eastAsia="en-US" w:bidi="th-TH"/>
        </w:rPr>
        <w:t>and increasing participant choice</w:t>
      </w:r>
      <w:r w:rsidRPr="24862EB2">
        <w:rPr>
          <w:rFonts w:cs="Arial"/>
          <w:lang w:eastAsia="en-US" w:bidi="th-TH"/>
        </w:rPr>
        <w:t>, many plan managers are also expanding as the ratio of participants to providers has increased.</w:t>
      </w:r>
      <w:r w:rsidR="0E9B74E1">
        <w:t xml:space="preserve"> The participant to provider ratio </w:t>
      </w:r>
      <w:r w:rsidR="546AC4B8">
        <w:t>in the six months to</w:t>
      </w:r>
      <w:r w:rsidR="0E9B74E1">
        <w:t xml:space="preserve"> December 2022 is </w:t>
      </w:r>
      <w:r w:rsidR="2F312114">
        <w:t xml:space="preserve">185 </w:t>
      </w:r>
      <w:r w:rsidR="0E9B74E1">
        <w:t>participants per provider of plan management supports.</w:t>
      </w:r>
    </w:p>
    <w:p w14:paraId="65762B13" w14:textId="7BA1CEC7" w:rsidR="377D56C4" w:rsidRDefault="003D4E72" w:rsidP="1D30CB11">
      <w:pPr>
        <w:pStyle w:val="Caption"/>
      </w:pPr>
      <w:bookmarkStart w:id="137" w:name="_Ref134303400"/>
      <w:r>
        <w:t xml:space="preserve">Figure </w:t>
      </w:r>
      <w:r>
        <w:fldChar w:fldCharType="begin"/>
      </w:r>
      <w:r>
        <w:instrText>SEQ Figure \* ARABIC</w:instrText>
      </w:r>
      <w:r>
        <w:fldChar w:fldCharType="separate"/>
      </w:r>
      <w:r w:rsidR="00D64E4C">
        <w:rPr>
          <w:noProof/>
        </w:rPr>
        <w:t>30</w:t>
      </w:r>
      <w:r>
        <w:fldChar w:fldCharType="end"/>
      </w:r>
      <w:bookmarkEnd w:id="137"/>
      <w:r w:rsidR="377D56C4">
        <w:t>: Distribution of participants and providers with a plan manager</w:t>
      </w:r>
      <w:r w:rsidR="2488EE67">
        <w:t>,</w:t>
      </w:r>
      <w:r w:rsidR="377D56C4">
        <w:t xml:space="preserve"> </w:t>
      </w:r>
      <w:r w:rsidR="206C3A4C">
        <w:t>December</w:t>
      </w:r>
      <w:r w:rsidR="377D56C4">
        <w:t xml:space="preserve"> 2020 – DECEMBER 2022</w:t>
      </w:r>
    </w:p>
    <w:p w14:paraId="34F7260A" w14:textId="0DED71A9" w:rsidR="002A0F38" w:rsidRPr="00572EF2" w:rsidRDefault="00C66873" w:rsidP="00572EF2">
      <w:pPr>
        <w:jc w:val="center"/>
      </w:pPr>
      <w:r>
        <w:rPr>
          <w:noProof/>
        </w:rPr>
        <w:drawing>
          <wp:inline distT="0" distB="0" distL="0" distR="0" wp14:anchorId="0C549A53" wp14:editId="0315D0DC">
            <wp:extent cx="5730875" cy="2707005"/>
            <wp:effectExtent l="0" t="0" r="3175" b="0"/>
            <wp:docPr id="4" name="Picture 4" descr="FIGURE 30: DISTRIBUTION OF PARTICIPANTS AND PROVIDERS WITH A PLAN MANAGER, DECEMBER 2020 – DECEMBER 2022&#10;&#10;There has been a steady rise in both the number of plan manager providers and the number of participants receiving plan management since December 2020. The number of plan manager providers has risen from roughly 2000 in December 2020 to 1,800 in December 2022. While the number of participants receiving plan management has risen from roughly 89,002 roughly 333,000 over the same perio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0: DISTRIBUTION OF PARTICIPANTS AND PROVIDERS WITH A PLAN MANAGER, DECEMBER 2020 – DECEMBER 2022&#10;&#10;There has been a steady rise in both the number of plan manager providers and the number of participants receiving plan management since December 2020. The number of plan manager providers has risen from roughly 2000 in December 2020 to 1,800 in December 2022. While the number of participants receiving plan management has risen from roughly 89,002 roughly 333,000 over the same period.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0875" cy="2707005"/>
                    </a:xfrm>
                    <a:prstGeom prst="rect">
                      <a:avLst/>
                    </a:prstGeom>
                    <a:noFill/>
                  </pic:spPr>
                </pic:pic>
              </a:graphicData>
            </a:graphic>
          </wp:inline>
        </w:drawing>
      </w:r>
    </w:p>
    <w:p w14:paraId="0446AD4C" w14:textId="275CF049" w:rsidR="009F3802" w:rsidRDefault="009F3802" w:rsidP="009F3802">
      <w:pPr>
        <w:rPr>
          <w:rFonts w:eastAsiaTheme="minorHAnsi" w:cs="Arial"/>
          <w:b/>
          <w:bCs/>
          <w:szCs w:val="22"/>
          <w:u w:val="single"/>
          <w:lang w:eastAsia="en-US" w:bidi="th-TH"/>
        </w:rPr>
      </w:pPr>
      <w:r w:rsidRPr="009F3802">
        <w:rPr>
          <w:rFonts w:eastAsiaTheme="minorHAnsi" w:cs="Arial"/>
          <w:b/>
          <w:bCs/>
          <w:szCs w:val="22"/>
          <w:u w:val="single"/>
          <w:lang w:eastAsia="en-US" w:bidi="th-TH"/>
        </w:rPr>
        <w:lastRenderedPageBreak/>
        <w:t xml:space="preserve">Market </w:t>
      </w:r>
      <w:r w:rsidR="004A41A9">
        <w:rPr>
          <w:rFonts w:eastAsiaTheme="minorHAnsi" w:cs="Arial"/>
          <w:b/>
          <w:bCs/>
          <w:szCs w:val="22"/>
          <w:u w:val="single"/>
          <w:lang w:eastAsia="en-US" w:bidi="th-TH"/>
        </w:rPr>
        <w:t>h</w:t>
      </w:r>
      <w:r>
        <w:rPr>
          <w:rFonts w:eastAsiaTheme="minorHAnsi" w:cs="Arial"/>
          <w:b/>
          <w:bCs/>
          <w:szCs w:val="22"/>
          <w:u w:val="single"/>
          <w:lang w:eastAsia="en-US" w:bidi="th-TH"/>
        </w:rPr>
        <w:t xml:space="preserve">ealth </w:t>
      </w:r>
      <w:r w:rsidR="004A41A9">
        <w:rPr>
          <w:rFonts w:eastAsiaTheme="minorHAnsi" w:cs="Arial"/>
          <w:b/>
          <w:bCs/>
          <w:szCs w:val="22"/>
          <w:u w:val="single"/>
          <w:lang w:eastAsia="en-US" w:bidi="th-TH"/>
        </w:rPr>
        <w:t>i</w:t>
      </w:r>
      <w:r>
        <w:rPr>
          <w:rFonts w:eastAsiaTheme="minorHAnsi" w:cs="Arial"/>
          <w:b/>
          <w:bCs/>
          <w:szCs w:val="22"/>
          <w:u w:val="single"/>
          <w:lang w:eastAsia="en-US" w:bidi="th-TH"/>
        </w:rPr>
        <w:t>ndicators</w:t>
      </w:r>
    </w:p>
    <w:p w14:paraId="1AC79D3A" w14:textId="3024C04C" w:rsidR="00DC0757" w:rsidRDefault="00E44D31" w:rsidP="009F3802">
      <w:r>
        <w:t>To</w:t>
      </w:r>
      <w:r w:rsidR="7B6047B2">
        <w:t xml:space="preserve"> understand the current health of the </w:t>
      </w:r>
      <w:r w:rsidR="002636E7">
        <w:t>p</w:t>
      </w:r>
      <w:r w:rsidR="7B6047B2">
        <w:t xml:space="preserve">lan </w:t>
      </w:r>
      <w:r w:rsidR="002636E7">
        <w:t>m</w:t>
      </w:r>
      <w:r w:rsidR="7B6047B2">
        <w:t xml:space="preserve">anager market within the above context, </w:t>
      </w:r>
      <w:r w:rsidR="00565F6A">
        <w:t xml:space="preserve">NDIS payment data </w:t>
      </w:r>
      <w:r w:rsidR="00530FD1">
        <w:t xml:space="preserve">of the top five plan managers were </w:t>
      </w:r>
      <w:r w:rsidR="00DC75F6">
        <w:t xml:space="preserve">also </w:t>
      </w:r>
      <w:r w:rsidR="00530FD1">
        <w:t>analysed.</w:t>
      </w:r>
      <w:r w:rsidR="00DC0757">
        <w:t xml:space="preserve"> </w:t>
      </w:r>
    </w:p>
    <w:p w14:paraId="1B03ED0C" w14:textId="7EE64A8E" w:rsidR="009F3802" w:rsidRDefault="00974EFF" w:rsidP="009F3802">
      <w:r>
        <w:rPr>
          <w:rFonts w:cs="Arial"/>
          <w:color w:val="000000"/>
          <w:lang w:eastAsia="en-US" w:bidi="th-TH"/>
        </w:rPr>
        <w:t>The top five p</w:t>
      </w:r>
      <w:r w:rsidR="7B6047B2" w:rsidRPr="7A32D039">
        <w:rPr>
          <w:rFonts w:cs="Arial"/>
          <w:color w:val="000000"/>
          <w:lang w:eastAsia="en-US" w:bidi="th-TH"/>
        </w:rPr>
        <w:t>lan managers processed 28 million tran</w:t>
      </w:r>
      <w:r w:rsidR="7B6047B2">
        <w:t>sactions during the July to December 2022 period, including 2 million transactions for plan management fees.</w:t>
      </w:r>
      <w:r w:rsidR="40DB3DF1">
        <w:t xml:space="preserve"> </w:t>
      </w:r>
      <w:r w:rsidR="54C71C6E">
        <w:t>In the si</w:t>
      </w:r>
      <w:r w:rsidR="00B35F4C">
        <w:t xml:space="preserve">x months </w:t>
      </w:r>
      <w:proofErr w:type="gramStart"/>
      <w:r w:rsidR="00B35F4C">
        <w:t xml:space="preserve">to </w:t>
      </w:r>
      <w:r w:rsidR="54C71C6E">
        <w:t xml:space="preserve"> December</w:t>
      </w:r>
      <w:proofErr w:type="gramEnd"/>
      <w:r w:rsidR="54C71C6E">
        <w:t xml:space="preserve"> 2022, the average amount claimed by provider, per participant, was $126,734.</w:t>
      </w:r>
    </w:p>
    <w:p w14:paraId="71956FCE" w14:textId="620D2BD1" w:rsidR="00DC0757" w:rsidRPr="003D4E72" w:rsidRDefault="00DC0757" w:rsidP="003D4E72">
      <w:pPr>
        <w:rPr>
          <w:rFonts w:cs="Arial"/>
          <w:lang w:eastAsia="en-US" w:bidi="th-TH"/>
        </w:rPr>
      </w:pPr>
      <w:r>
        <w:rPr>
          <w:rFonts w:cs="Arial"/>
          <w:lang w:eastAsia="en-US" w:bidi="th-TH"/>
        </w:rPr>
        <w:t>O</w:t>
      </w:r>
      <w:r w:rsidRPr="3F247D32">
        <w:rPr>
          <w:rFonts w:cs="Arial"/>
          <w:lang w:eastAsia="en-US" w:bidi="th-TH"/>
        </w:rPr>
        <w:t>ut of the 1,797</w:t>
      </w:r>
      <w:r>
        <w:rPr>
          <w:rFonts w:cs="Arial"/>
          <w:lang w:eastAsia="en-US" w:bidi="th-TH"/>
        </w:rPr>
        <w:t xml:space="preserve"> providers </w:t>
      </w:r>
      <w:r w:rsidR="321DDE4D" w:rsidRPr="5188BD8F">
        <w:rPr>
          <w:rFonts w:cs="Arial"/>
          <w:lang w:eastAsia="en-US" w:bidi="th-TH"/>
        </w:rPr>
        <w:t>that</w:t>
      </w:r>
      <w:r>
        <w:rPr>
          <w:rFonts w:cs="Arial"/>
          <w:lang w:eastAsia="en-US" w:bidi="th-TH"/>
        </w:rPr>
        <w:t xml:space="preserve"> have claimed for plan management supports</w:t>
      </w:r>
      <w:r w:rsidRPr="00A24D5D">
        <w:rPr>
          <w:rFonts w:cs="Arial"/>
          <w:lang w:eastAsia="en-US" w:bidi="th-TH"/>
        </w:rPr>
        <w:t xml:space="preserve"> </w:t>
      </w:r>
      <w:r w:rsidRPr="3F247D32">
        <w:rPr>
          <w:rFonts w:cs="Arial"/>
          <w:lang w:eastAsia="en-US" w:bidi="th-TH"/>
        </w:rPr>
        <w:t xml:space="preserve">during </w:t>
      </w:r>
      <w:r>
        <w:rPr>
          <w:rFonts w:cs="Arial"/>
          <w:lang w:eastAsia="en-US" w:bidi="th-TH"/>
        </w:rPr>
        <w:t>the six months to</w:t>
      </w:r>
      <w:r w:rsidRPr="3F247D32">
        <w:rPr>
          <w:rFonts w:cs="Arial"/>
          <w:lang w:eastAsia="en-US" w:bidi="th-TH"/>
        </w:rPr>
        <w:t xml:space="preserve"> December 2022, the largest five plan managers received $2.2 billion </w:t>
      </w:r>
      <w:r>
        <w:rPr>
          <w:rFonts w:cs="Arial"/>
          <w:lang w:eastAsia="en-US" w:bidi="th-TH"/>
        </w:rPr>
        <w:t xml:space="preserve">in </w:t>
      </w:r>
      <w:r w:rsidRPr="3F247D32">
        <w:rPr>
          <w:rFonts w:cs="Arial"/>
          <w:lang w:eastAsia="en-US" w:bidi="th-TH"/>
        </w:rPr>
        <w:t xml:space="preserve">payments, </w:t>
      </w:r>
      <w:r>
        <w:rPr>
          <w:rFonts w:cs="Arial"/>
          <w:lang w:eastAsia="en-US" w:bidi="th-TH"/>
        </w:rPr>
        <w:t xml:space="preserve">more than a quarter </w:t>
      </w:r>
      <w:r w:rsidR="00E20B39">
        <w:rPr>
          <w:rFonts w:cs="Arial"/>
          <w:lang w:eastAsia="en-US" w:bidi="th-TH"/>
        </w:rPr>
        <w:t>(</w:t>
      </w:r>
      <w:r w:rsidRPr="3F247D32">
        <w:rPr>
          <w:rFonts w:cs="Arial"/>
          <w:lang w:eastAsia="en-US" w:bidi="th-TH"/>
        </w:rPr>
        <w:t>27%</w:t>
      </w:r>
      <w:r w:rsidR="00E20B39">
        <w:rPr>
          <w:rFonts w:cs="Arial"/>
          <w:lang w:eastAsia="en-US" w:bidi="th-TH"/>
        </w:rPr>
        <w:t>)</w:t>
      </w:r>
      <w:r w:rsidRPr="3F247D32">
        <w:rPr>
          <w:rFonts w:cs="Arial"/>
          <w:lang w:eastAsia="en-US" w:bidi="th-TH"/>
        </w:rPr>
        <w:t xml:space="preserve"> of the $8.1 billion </w:t>
      </w:r>
      <w:r w:rsidR="00E20B39">
        <w:rPr>
          <w:rFonts w:cs="Arial"/>
          <w:lang w:eastAsia="en-US" w:bidi="th-TH"/>
        </w:rPr>
        <w:t xml:space="preserve">of </w:t>
      </w:r>
      <w:r w:rsidRPr="3F247D32">
        <w:rPr>
          <w:rFonts w:cs="Arial"/>
          <w:lang w:eastAsia="en-US" w:bidi="th-TH"/>
        </w:rPr>
        <w:t>plan</w:t>
      </w:r>
      <w:r w:rsidR="00CD495E">
        <w:rPr>
          <w:rFonts w:cs="Arial"/>
          <w:lang w:eastAsia="en-US" w:bidi="th-TH"/>
        </w:rPr>
        <w:t>-</w:t>
      </w:r>
      <w:r w:rsidRPr="3F247D32">
        <w:rPr>
          <w:rFonts w:cs="Arial"/>
          <w:lang w:eastAsia="en-US" w:bidi="th-TH"/>
        </w:rPr>
        <w:t>managed payments (inclusive of fees). These top five plan managers have dominated the market over the past nine quarters having consistently stayed in the top ten</w:t>
      </w:r>
      <w:r w:rsidR="00181367">
        <w:rPr>
          <w:rFonts w:cs="Arial"/>
          <w:lang w:eastAsia="en-US" w:bidi="th-TH"/>
        </w:rPr>
        <w:t xml:space="preserve">, with </w:t>
      </w:r>
      <w:r w:rsidR="001D4D1C">
        <w:rPr>
          <w:rFonts w:cs="Arial"/>
          <w:lang w:eastAsia="en-US" w:bidi="th-TH"/>
        </w:rPr>
        <w:t>payments processed in</w:t>
      </w:r>
      <w:r w:rsidR="00DD01AE">
        <w:rPr>
          <w:rFonts w:cs="Arial"/>
          <w:lang w:eastAsia="en-US" w:bidi="th-TH"/>
        </w:rPr>
        <w:t xml:space="preserve"> </w:t>
      </w:r>
      <w:r w:rsidR="00DD01AE">
        <w:rPr>
          <w:rFonts w:cs="Arial"/>
          <w:lang w:eastAsia="en-US" w:bidi="th-TH"/>
        </w:rPr>
        <w:fldChar w:fldCharType="begin"/>
      </w:r>
      <w:r w:rsidR="00DD01AE">
        <w:rPr>
          <w:rFonts w:cs="Arial"/>
          <w:lang w:eastAsia="en-US" w:bidi="th-TH"/>
        </w:rPr>
        <w:instrText xml:space="preserve"> REF _Ref134303409 </w:instrText>
      </w:r>
      <w:r w:rsidR="00DD01AE">
        <w:rPr>
          <w:rFonts w:cs="Arial"/>
          <w:lang w:eastAsia="en-US" w:bidi="th-TH"/>
        </w:rPr>
        <w:fldChar w:fldCharType="separate"/>
      </w:r>
      <w:r w:rsidR="00D64E4C">
        <w:t xml:space="preserve">Figure </w:t>
      </w:r>
      <w:r w:rsidR="00D64E4C">
        <w:rPr>
          <w:noProof/>
        </w:rPr>
        <w:t>31</w:t>
      </w:r>
      <w:r w:rsidR="00DD01AE">
        <w:rPr>
          <w:rFonts w:cs="Arial"/>
          <w:lang w:eastAsia="en-US" w:bidi="th-TH"/>
        </w:rPr>
        <w:fldChar w:fldCharType="end"/>
      </w:r>
      <w:r w:rsidR="001D4D1C">
        <w:rPr>
          <w:rFonts w:cs="Arial"/>
          <w:lang w:eastAsia="en-US" w:bidi="th-TH"/>
        </w:rPr>
        <w:t>.</w:t>
      </w:r>
    </w:p>
    <w:p w14:paraId="1E420BE2" w14:textId="76CD77AF" w:rsidR="003D4E72" w:rsidRDefault="003D4E72" w:rsidP="003D4E72">
      <w:pPr>
        <w:pStyle w:val="Caption"/>
      </w:pPr>
      <w:bookmarkStart w:id="138" w:name="_Ref134303409"/>
      <w:r>
        <w:t xml:space="preserve">Figure </w:t>
      </w:r>
      <w:r>
        <w:fldChar w:fldCharType="begin"/>
      </w:r>
      <w:r>
        <w:instrText>SEQ Figure \* ARABIC</w:instrText>
      </w:r>
      <w:r>
        <w:fldChar w:fldCharType="separate"/>
      </w:r>
      <w:r w:rsidR="00D64E4C">
        <w:rPr>
          <w:noProof/>
        </w:rPr>
        <w:t>31</w:t>
      </w:r>
      <w:r>
        <w:fldChar w:fldCharType="end"/>
      </w:r>
      <w:bookmarkEnd w:id="138"/>
      <w:r>
        <w:t xml:space="preserve">: </w:t>
      </w:r>
      <w:r w:rsidRPr="004F2778">
        <w:t>scheme expenditure for largest five plan managers (based on total payments) October 2020 – DECEMBER 2022</w:t>
      </w:r>
    </w:p>
    <w:p w14:paraId="5B17F056" w14:textId="7BC6F96E" w:rsidR="00DC0757" w:rsidRPr="001D4D1C" w:rsidRDefault="00DC0757" w:rsidP="001D4D1C">
      <w:pPr>
        <w:jc w:val="center"/>
        <w:rPr>
          <w:rFonts w:eastAsiaTheme="minorHAnsi" w:cs="Arial"/>
          <w:szCs w:val="22"/>
          <w:lang w:eastAsia="en-US" w:bidi="th-TH"/>
        </w:rPr>
      </w:pPr>
      <w:r>
        <w:rPr>
          <w:rFonts w:eastAsiaTheme="minorHAnsi" w:cs="Arial"/>
          <w:noProof/>
          <w:szCs w:val="22"/>
          <w:lang w:eastAsia="en-US" w:bidi="th-TH"/>
        </w:rPr>
        <w:drawing>
          <wp:inline distT="0" distB="0" distL="0" distR="0" wp14:anchorId="504850D4" wp14:editId="714D35EA">
            <wp:extent cx="5724525" cy="2700655"/>
            <wp:effectExtent l="0" t="0" r="9525" b="4445"/>
            <wp:docPr id="21" name="Picture 21" descr="FIGURE 31: SCHEME EXPENDITURE FOR LARGEST FIVE PLAN MANAGERS (BASED ON TOTAL PAYMENTS) OCTOBER 2020 – DECEMBER 2022&#10;&#10;Out of the 1,797 providers who have claimed for plan management supports during the six months to December 2022, the largest five plan managers received $2.2 billion in payments, more than a quarter (27%) of the $8.1 billion of plan managed payments (inclusive of fees). &#10;&#10;The largest of these plan managers is My Plan manager, which received roughly $395 million in payments in the December quarter 2022, followed by Plan Management Partners, which received $271 million in payments in the same quarter, National Disability Support Partners, which received $199 million, Integrated Care, which received $125 million in payments, and lastly Peak Plan Management, which received $123 million in the same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31: SCHEME EXPENDITURE FOR LARGEST FIVE PLAN MANAGERS (BASED ON TOTAL PAYMENTS) OCTOBER 2020 – DECEMBER 2022&#10;&#10;Out of the 1,797 providers who have claimed for plan management supports during the six months to December 2022, the largest five plan managers received $2.2 billion in payments, more than a quarter (27%) of the $8.1 billion of plan managed payments (inclusive of fees). &#10;&#10;The largest of these plan managers is My Plan manager, which received roughly $395 million in payments in the December quarter 2022, followed by Plan Management Partners, which received $271 million in payments in the same quarter, National Disability Support Partners, which received $199 million, Integrated Care, which received $125 million in payments, and lastly Peak Plan Management, which received $123 million in the same quart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700655"/>
                    </a:xfrm>
                    <a:prstGeom prst="rect">
                      <a:avLst/>
                    </a:prstGeom>
                    <a:noFill/>
                  </pic:spPr>
                </pic:pic>
              </a:graphicData>
            </a:graphic>
          </wp:inline>
        </w:drawing>
      </w:r>
    </w:p>
    <w:p w14:paraId="287DC0B7" w14:textId="212D5B09" w:rsidR="00362CF4" w:rsidRDefault="4B62FFA9" w:rsidP="000204E6">
      <w:r>
        <w:t>P</w:t>
      </w:r>
      <w:r w:rsidR="60017E67">
        <w:t>articipant</w:t>
      </w:r>
      <w:r w:rsidR="547670B9">
        <w:t xml:space="preserve"> to providers of plan management support ratios</w:t>
      </w:r>
      <w:r w:rsidR="56A7CD00">
        <w:t xml:space="preserve"> </w:t>
      </w:r>
      <w:r w:rsidR="29547445">
        <w:t>have</w:t>
      </w:r>
      <w:r w:rsidR="547670B9" w:rsidDel="78483204">
        <w:t xml:space="preserve"> </w:t>
      </w:r>
      <w:r w:rsidR="56A7CD00">
        <w:t>also seen a larger number of participants</w:t>
      </w:r>
      <w:r w:rsidR="0FDE54BF">
        <w:t xml:space="preserve">, on average, being </w:t>
      </w:r>
      <w:r w:rsidR="2E6EDD90">
        <w:t xml:space="preserve">covered by a provider of plan management supports. </w:t>
      </w:r>
      <w:r w:rsidR="206782BB">
        <w:t xml:space="preserve">As </w:t>
      </w:r>
      <w:r w:rsidR="1BEB9D02">
        <w:t>participant</w:t>
      </w:r>
      <w:r w:rsidR="206782BB">
        <w:t xml:space="preserve"> numbers have increased relative to </w:t>
      </w:r>
      <w:r w:rsidR="1BEB9D02">
        <w:t>provider</w:t>
      </w:r>
      <w:r w:rsidR="206782BB">
        <w:t xml:space="preserve"> numbers, the average number of participants being serviced per provider has </w:t>
      </w:r>
      <w:r w:rsidR="37E3F104">
        <w:t>increased</w:t>
      </w:r>
      <w:r w:rsidR="206782BB">
        <w:t xml:space="preserve"> from </w:t>
      </w:r>
      <w:r w:rsidR="3A6CC532">
        <w:t>178</w:t>
      </w:r>
      <w:r w:rsidR="206782BB">
        <w:t xml:space="preserve"> to </w:t>
      </w:r>
      <w:r w:rsidR="3A6CC532">
        <w:t>214</w:t>
      </w:r>
      <w:r w:rsidR="206782BB">
        <w:t xml:space="preserve"> participants between December 2020 </w:t>
      </w:r>
      <w:r w:rsidR="2E6EDD90">
        <w:t xml:space="preserve">quarter </w:t>
      </w:r>
      <w:r w:rsidR="206782BB">
        <w:t>and December 2022</w:t>
      </w:r>
      <w:r w:rsidR="2E6EDD90">
        <w:t xml:space="preserve"> quarter</w:t>
      </w:r>
      <w:r w:rsidR="206782BB">
        <w:t xml:space="preserve">. This ratio of servicing per providers has </w:t>
      </w:r>
      <w:r w:rsidR="362127D7">
        <w:t>increased</w:t>
      </w:r>
      <w:r w:rsidR="206782BB">
        <w:t xml:space="preserve"> </w:t>
      </w:r>
      <w:bookmarkStart w:id="139" w:name="_Int_gyXwMIsZ"/>
      <w:r w:rsidR="206782BB">
        <w:t>largely due</w:t>
      </w:r>
      <w:bookmarkEnd w:id="139"/>
      <w:r w:rsidR="206782BB">
        <w:t xml:space="preserve"> to overall growth of provider numbers by </w:t>
      </w:r>
      <w:r w:rsidR="4C849D21">
        <w:t>64</w:t>
      </w:r>
      <w:r w:rsidR="206782BB">
        <w:t>%</w:t>
      </w:r>
      <w:r w:rsidR="3052D15B">
        <w:t xml:space="preserve"> being more than offset by the </w:t>
      </w:r>
      <w:r w:rsidR="391D214F">
        <w:t>76% growth in participant numbers</w:t>
      </w:r>
      <w:r w:rsidR="206782BB">
        <w:t xml:space="preserve">. </w:t>
      </w:r>
    </w:p>
    <w:p w14:paraId="7D25A39D" w14:textId="6BF32579" w:rsidR="00F25BB8" w:rsidRPr="00144CAB" w:rsidRDefault="00F25BB8" w:rsidP="000204E6">
      <w:r>
        <w:t>However, i</w:t>
      </w:r>
      <w:r w:rsidRPr="00222405">
        <w:t>n the six months to December 2022 the number of provider</w:t>
      </w:r>
      <w:r>
        <w:t>s claiming for plan management decreased by</w:t>
      </w:r>
      <w:r w:rsidRPr="00222405">
        <w:t xml:space="preserve"> 2%</w:t>
      </w:r>
      <w:r>
        <w:t>, which contrasts the previous 35% growth seen i</w:t>
      </w:r>
      <w:r w:rsidRPr="00222405">
        <w:t>n the six months to December 2021.</w:t>
      </w:r>
      <w:r>
        <w:t xml:space="preserve"> </w:t>
      </w:r>
      <w:r w:rsidR="0040262D" w:rsidRPr="0040262D">
        <w:t xml:space="preserve">The NDIA should continue to monitor the movement of providers claiming for plan management supports in future quarters </w:t>
      </w:r>
      <w:r w:rsidR="35C2051A">
        <w:t>to determine</w:t>
      </w:r>
      <w:r w:rsidR="0040262D" w:rsidRPr="0040262D">
        <w:t xml:space="preserve"> if this is a trend.</w:t>
      </w:r>
    </w:p>
    <w:p w14:paraId="6AC200A9" w14:textId="27913E49" w:rsidR="00947152" w:rsidRPr="00B573D8" w:rsidRDefault="000231A4" w:rsidP="000204E6">
      <w:pPr>
        <w:rPr>
          <w:lang w:eastAsia="en-US" w:bidi="th-TH"/>
        </w:rPr>
      </w:pPr>
      <w:r>
        <w:t xml:space="preserve">Further, </w:t>
      </w:r>
      <w:r>
        <w:rPr>
          <w:lang w:eastAsia="en-US" w:bidi="th-TH"/>
        </w:rPr>
        <w:t>t</w:t>
      </w:r>
      <w:r w:rsidRPr="7A32D039">
        <w:rPr>
          <w:lang w:eastAsia="en-US" w:bidi="th-TH"/>
        </w:rPr>
        <w:t xml:space="preserve">he average funds management ratio (the ratio of the total costs of monthly plan management fees to the costs of the supports purchased through the plan managers) was, on average, 3.6% in FY2021-22. This is a decrease from the FY2020-21 where the average management ratio to the total costs purchased was 3.9%. This means the total cost of monthly plan management fees claimed has decreased in proportion to the cost of supports purchased through plan managements. This may be due to a range of reasons such as the </w:t>
      </w:r>
      <w:r w:rsidRPr="7A32D039">
        <w:rPr>
          <w:lang w:eastAsia="en-US" w:bidi="th-TH"/>
        </w:rPr>
        <w:lastRenderedPageBreak/>
        <w:t>increase in number of participants and higher volume of NDIS funds being plan</w:t>
      </w:r>
      <w:r w:rsidR="00CD495E">
        <w:rPr>
          <w:lang w:eastAsia="en-US" w:bidi="th-TH"/>
        </w:rPr>
        <w:t>-</w:t>
      </w:r>
      <w:r w:rsidRPr="7A32D039">
        <w:rPr>
          <w:lang w:eastAsia="en-US" w:bidi="th-TH"/>
        </w:rPr>
        <w:t>managed</w:t>
      </w:r>
      <w:r>
        <w:rPr>
          <w:lang w:eastAsia="en-US" w:bidi="th-TH"/>
        </w:rPr>
        <w:t xml:space="preserve">, </w:t>
      </w:r>
      <w:r w:rsidRPr="7A32D039">
        <w:rPr>
          <w:lang w:eastAsia="en-US" w:bidi="th-TH"/>
        </w:rPr>
        <w:t>potential efficiencies being made by providers of plan management supports</w:t>
      </w:r>
      <w:r>
        <w:rPr>
          <w:lang w:eastAsia="en-US" w:bidi="th-TH"/>
        </w:rPr>
        <w:t xml:space="preserve"> or other reasons</w:t>
      </w:r>
      <w:r w:rsidRPr="7A32D039">
        <w:rPr>
          <w:lang w:eastAsia="en-US" w:bidi="th-TH"/>
        </w:rPr>
        <w:t>.</w:t>
      </w:r>
    </w:p>
    <w:p w14:paraId="2CD48ED8" w14:textId="22CC516C" w:rsidR="0068668F" w:rsidRPr="00A234EE" w:rsidRDefault="0068668F" w:rsidP="00D9646F">
      <w:pPr>
        <w:pStyle w:val="Heading3"/>
      </w:pPr>
      <w:r w:rsidRPr="00A234EE">
        <w:t>7.3</w:t>
      </w:r>
      <w:r w:rsidRPr="00A234EE">
        <w:tab/>
        <w:t>Business Dynamism</w:t>
      </w:r>
    </w:p>
    <w:p w14:paraId="60A2353C" w14:textId="2B671670" w:rsidR="0075259B" w:rsidRDefault="0075259B" w:rsidP="0075259B">
      <w:pPr>
        <w:rPr>
          <w:rFonts w:eastAsia="Arial" w:cs="Arial"/>
        </w:rPr>
      </w:pPr>
      <w:r>
        <w:rPr>
          <w:rFonts w:eastAsia="Arial" w:cs="Arial"/>
        </w:rPr>
        <w:t>T</w:t>
      </w:r>
      <w:r w:rsidRPr="000E68FA">
        <w:rPr>
          <w:rFonts w:eastAsia="Arial" w:cs="Arial"/>
        </w:rPr>
        <w:t xml:space="preserve">o supplement </w:t>
      </w:r>
      <w:r>
        <w:rPr>
          <w:rFonts w:eastAsia="Arial" w:cs="Arial"/>
        </w:rPr>
        <w:t>the Scheme statistics</w:t>
      </w:r>
      <w:r w:rsidRPr="000E68FA">
        <w:rPr>
          <w:rFonts w:eastAsia="Arial" w:cs="Arial"/>
        </w:rPr>
        <w:t xml:space="preserve">, </w:t>
      </w:r>
      <w:r w:rsidRPr="007C18ED">
        <w:rPr>
          <w:rFonts w:eastAsia="Arial" w:cs="Arial"/>
        </w:rPr>
        <w:t>the NDIA has</w:t>
      </w:r>
      <w:r w:rsidRPr="000E68FA">
        <w:rPr>
          <w:rFonts w:eastAsia="Arial" w:cs="Arial"/>
        </w:rPr>
        <w:t xml:space="preserve"> analysed registered provider payment activity</w:t>
      </w:r>
      <w:r w:rsidRPr="007C18ED">
        <w:rPr>
          <w:rFonts w:eastAsia="Arial" w:cs="Arial"/>
        </w:rPr>
        <w:t>. That is,</w:t>
      </w:r>
      <w:r w:rsidRPr="000E68FA">
        <w:rPr>
          <w:rFonts w:eastAsia="Arial" w:cs="Arial"/>
        </w:rPr>
        <w:t xml:space="preserve"> payments made </w:t>
      </w:r>
      <w:r>
        <w:rPr>
          <w:rFonts w:eastAsia="Arial" w:cs="Arial"/>
        </w:rPr>
        <w:t>against</w:t>
      </w:r>
      <w:r w:rsidRPr="000E68FA">
        <w:rPr>
          <w:rFonts w:eastAsia="Arial" w:cs="Arial"/>
        </w:rPr>
        <w:t xml:space="preserve"> </w:t>
      </w:r>
      <w:r w:rsidR="00ED6216">
        <w:rPr>
          <w:rFonts w:eastAsia="Arial" w:cs="Arial"/>
        </w:rPr>
        <w:t>a</w:t>
      </w:r>
      <w:r w:rsidRPr="000E68FA">
        <w:rPr>
          <w:rFonts w:eastAsia="Arial" w:cs="Arial"/>
        </w:rPr>
        <w:t>gency</w:t>
      </w:r>
      <w:r w:rsidR="00452931">
        <w:rPr>
          <w:rFonts w:eastAsia="Arial" w:cs="Arial"/>
        </w:rPr>
        <w:t>-</w:t>
      </w:r>
      <w:r w:rsidR="00ED6216">
        <w:rPr>
          <w:rFonts w:eastAsia="Arial" w:cs="Arial"/>
        </w:rPr>
        <w:t>m</w:t>
      </w:r>
      <w:r w:rsidR="00452931">
        <w:rPr>
          <w:rFonts w:eastAsia="Arial" w:cs="Arial"/>
        </w:rPr>
        <w:t>anaged</w:t>
      </w:r>
      <w:r w:rsidRPr="000E68FA">
        <w:rPr>
          <w:rFonts w:eastAsia="Arial" w:cs="Arial"/>
        </w:rPr>
        <w:t xml:space="preserve"> and </w:t>
      </w:r>
      <w:r w:rsidR="00ED6216">
        <w:rPr>
          <w:rFonts w:eastAsia="Arial" w:cs="Arial"/>
        </w:rPr>
        <w:t>p</w:t>
      </w:r>
      <w:r w:rsidRPr="000E68FA">
        <w:rPr>
          <w:rFonts w:eastAsia="Arial" w:cs="Arial"/>
        </w:rPr>
        <w:t>lan</w:t>
      </w:r>
      <w:r w:rsidR="00452931">
        <w:rPr>
          <w:rFonts w:eastAsia="Arial" w:cs="Arial"/>
        </w:rPr>
        <w:t>-</w:t>
      </w:r>
      <w:r w:rsidR="00ED6216">
        <w:rPr>
          <w:rFonts w:eastAsia="Arial" w:cs="Arial"/>
        </w:rPr>
        <w:t>m</w:t>
      </w:r>
      <w:r w:rsidRPr="000E68FA">
        <w:rPr>
          <w:rFonts w:eastAsia="Arial" w:cs="Arial"/>
        </w:rPr>
        <w:t xml:space="preserve">anaged plans </w:t>
      </w:r>
      <w:proofErr w:type="gramStart"/>
      <w:r w:rsidRPr="000E68FA">
        <w:rPr>
          <w:rFonts w:eastAsia="Arial" w:cs="Arial"/>
        </w:rPr>
        <w:t>are considered to be</w:t>
      </w:r>
      <w:proofErr w:type="gramEnd"/>
      <w:r w:rsidRPr="000E68FA">
        <w:rPr>
          <w:rFonts w:eastAsia="Arial" w:cs="Arial"/>
        </w:rPr>
        <w:t xml:space="preserve"> made by registered providers</w:t>
      </w:r>
      <w:r w:rsidRPr="007C18ED">
        <w:rPr>
          <w:rFonts w:eastAsia="Arial" w:cs="Arial"/>
        </w:rPr>
        <w:t>.  </w:t>
      </w:r>
    </w:p>
    <w:p w14:paraId="09B43D30" w14:textId="2216CC3A" w:rsidR="00FB4960" w:rsidRPr="00977D04" w:rsidRDefault="00286ADC" w:rsidP="00FB4960">
      <w:r>
        <w:fldChar w:fldCharType="begin"/>
      </w:r>
      <w:r>
        <w:instrText xml:space="preserve"> REF _Ref135243930 \h </w:instrText>
      </w:r>
      <w:r w:rsidR="009509BC">
        <w:instrText xml:space="preserve"> \* MERGEFORMAT </w:instrText>
      </w:r>
      <w:r>
        <w:fldChar w:fldCharType="separate"/>
      </w:r>
      <w:r w:rsidR="00D64E4C">
        <w:t>Figure 32</w:t>
      </w:r>
      <w:r>
        <w:fldChar w:fldCharType="end"/>
      </w:r>
      <w:r>
        <w:t xml:space="preserve"> </w:t>
      </w:r>
      <w:r w:rsidR="00FB4960">
        <w:t>below shows the number of registered plan managers with payments between Ju</w:t>
      </w:r>
      <w:r w:rsidR="000B4AB9">
        <w:t>ly</w:t>
      </w:r>
      <w:r w:rsidR="00FB4960">
        <w:t xml:space="preserve"> 2020 and December 2022, split by the number of half-year periods in which each plan manager received a payment. Half-years are defined as the six-month time intervals from January to June and July to December. As seen in</w:t>
      </w:r>
      <w:r>
        <w:t xml:space="preserve"> </w:t>
      </w:r>
      <w:r>
        <w:fldChar w:fldCharType="begin"/>
      </w:r>
      <w:r>
        <w:instrText xml:space="preserve"> REF _Ref135243930 \h </w:instrText>
      </w:r>
      <w:r w:rsidR="009509BC">
        <w:instrText xml:space="preserve"> \* MERGEFORMAT </w:instrText>
      </w:r>
      <w:r>
        <w:fldChar w:fldCharType="separate"/>
      </w:r>
      <w:r w:rsidR="00D64E4C">
        <w:t>Figure 32</w:t>
      </w:r>
      <w:r>
        <w:fldChar w:fldCharType="end"/>
      </w:r>
      <w:r w:rsidR="00FB4960">
        <w:t xml:space="preserve">, 872 out of 2,491 (35%) plan managers </w:t>
      </w:r>
      <w:r w:rsidR="00703160">
        <w:t>have</w:t>
      </w:r>
      <w:r w:rsidR="00FB4960">
        <w:t xml:space="preserve"> payments </w:t>
      </w:r>
      <w:r w:rsidR="00200402">
        <w:t xml:space="preserve">made </w:t>
      </w:r>
      <w:r w:rsidR="00FB4960">
        <w:t>in all five half-year periods between Ju</w:t>
      </w:r>
      <w:r w:rsidR="000B4AB9">
        <w:t>ly</w:t>
      </w:r>
      <w:r w:rsidR="00FB4960">
        <w:t xml:space="preserve"> 2020 and December 2022. These plan managers account for 95% of the total payments across the two-and-a-half-year period. </w:t>
      </w:r>
    </w:p>
    <w:p w14:paraId="11098F43" w14:textId="0A67ED6C" w:rsidR="006B3966" w:rsidRDefault="006B3966" w:rsidP="0039130E">
      <w:pPr>
        <w:pStyle w:val="Caption"/>
        <w:jc w:val="left"/>
      </w:pPr>
      <w:bookmarkStart w:id="140" w:name="_Ref135243930"/>
      <w:r>
        <w:t xml:space="preserve">Figure </w:t>
      </w:r>
      <w:fldSimple w:instr=" SEQ Figure \* ARABIC ">
        <w:r w:rsidR="00D64E4C">
          <w:rPr>
            <w:noProof/>
          </w:rPr>
          <w:t>32</w:t>
        </w:r>
      </w:fldSimple>
      <w:bookmarkEnd w:id="140"/>
      <w:r>
        <w:t xml:space="preserve">: </w:t>
      </w:r>
      <w:r w:rsidRPr="009D0D53">
        <w:t>plan manager provider half-yearly payments histogram, june 2020 – december 2022</w:t>
      </w:r>
    </w:p>
    <w:p w14:paraId="1753013E" w14:textId="77777777" w:rsidR="00FB4960" w:rsidRDefault="00FB4960" w:rsidP="00FB4960">
      <w:r>
        <w:rPr>
          <w:noProof/>
        </w:rPr>
        <w:drawing>
          <wp:inline distT="0" distB="0" distL="0" distR="0" wp14:anchorId="6D1D11DC" wp14:editId="2A687F52">
            <wp:extent cx="5888990" cy="2578735"/>
            <wp:effectExtent l="0" t="0" r="0" b="0"/>
            <wp:docPr id="2040460823" name="Picture 2040460823" descr="FIGURE 32: PLAN MANAGER PROVIDER HALF-YEARLY PAYMENTS HISTOGRAM, JUNE 2020 – DECEMBER 2022&#10;&#10;A chart displaying the number of providers claiming in a number of half year periods between June 2020 to December 2022. There was almost 872 plan managers who claimed within each half year period and comprised of 95% of total payments. &#10;&#10;Although there was around 750 providers only claiming in one half year period, these only made up a very small proportion of total payment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0823" name="Picture 2040460823" descr="FIGURE 32: PLAN MANAGER PROVIDER HALF-YEARLY PAYMENTS HISTOGRAM, JUNE 2020 – DECEMBER 2022&#10;&#10;A chart displaying the number of providers claiming in a number of half year periods between June 2020 to December 2022. There was almost 872 plan managers who claimed within each half year period and comprised of 95% of total payments. &#10;&#10;Although there was around 750 providers only claiming in one half year period, these only made up a very small proportion of total payments mad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88990" cy="2578735"/>
                    </a:xfrm>
                    <a:prstGeom prst="rect">
                      <a:avLst/>
                    </a:prstGeom>
                    <a:noFill/>
                  </pic:spPr>
                </pic:pic>
              </a:graphicData>
            </a:graphic>
          </wp:inline>
        </w:drawing>
      </w:r>
    </w:p>
    <w:p w14:paraId="6663724D" w14:textId="5957FA8F" w:rsidR="00FB4960" w:rsidRPr="00C53524" w:rsidRDefault="00F90A4F" w:rsidP="00E855DF">
      <w:r>
        <w:t>T</w:t>
      </w:r>
      <w:r w:rsidR="00FB4960" w:rsidRPr="00DA2DF8">
        <w:t xml:space="preserve">o further assess </w:t>
      </w:r>
      <w:r w:rsidR="00FB4960">
        <w:t xml:space="preserve">the </w:t>
      </w:r>
      <w:r>
        <w:t>current state</w:t>
      </w:r>
      <w:r w:rsidR="00FB4960">
        <w:t xml:space="preserve"> of the plan manager</w:t>
      </w:r>
      <w:r w:rsidR="00FB4960" w:rsidRPr="00DA2DF8">
        <w:t xml:space="preserve"> market, </w:t>
      </w:r>
      <w:r w:rsidR="00F053E2">
        <w:t>payment activities</w:t>
      </w:r>
      <w:r w:rsidR="00FB4960" w:rsidRPr="00DA2DF8">
        <w:t xml:space="preserve"> of </w:t>
      </w:r>
      <w:r w:rsidR="00F053E2">
        <w:t>registered</w:t>
      </w:r>
      <w:r w:rsidR="00FB4960" w:rsidRPr="00DA2DF8">
        <w:t xml:space="preserve"> </w:t>
      </w:r>
      <w:r w:rsidR="00FB4960">
        <w:t>plan managers</w:t>
      </w:r>
      <w:r w:rsidR="00FB4960" w:rsidRPr="00DA2DF8">
        <w:t xml:space="preserve"> across the two-year period from January 2021 to December 2022</w:t>
      </w:r>
      <w:r w:rsidR="00F053E2">
        <w:t xml:space="preserve"> were analysed</w:t>
      </w:r>
      <w:r w:rsidR="00FB4960">
        <w:t xml:space="preserve">. </w:t>
      </w:r>
      <w:r w:rsidR="00F053E2" w:rsidRPr="00C53524">
        <w:t xml:space="preserve">Providers with New Activity in a half-year are defined as providers with payments who did not have payments in the prior half-year. Similarly, Inactivity in the half-year is defined as providers without a payment who had payments in the prior half-year. Activity for each provider is expressed as a percentage of the total payments for that half-year (for New Activity) or prior half-year (for Inactivity). The NDIA acknowledges that this is not a perfect measure of market exits but the closest approximation given </w:t>
      </w:r>
      <w:r>
        <w:t>available data</w:t>
      </w:r>
      <w:r w:rsidR="00F053E2" w:rsidRPr="00C53524">
        <w:t>.</w:t>
      </w:r>
    </w:p>
    <w:p w14:paraId="7090A3DE" w14:textId="24A5E747" w:rsidR="00FB4960" w:rsidRPr="009509BC" w:rsidRDefault="003F5F2E" w:rsidP="0039130E">
      <w:r>
        <w:t xml:space="preserve">Results suggest that over the past two years, </w:t>
      </w:r>
      <w:r w:rsidR="00FB4960">
        <w:t>inactive plan managers in each half-year contributed to 0.1% of total payments. In contrast, plan managers with new activity in a half-year have contributed between 0.5% and 1.5% of total payments for that same period.</w:t>
      </w:r>
    </w:p>
    <w:p w14:paraId="0C48D21D" w14:textId="0E82373E" w:rsidR="006B3966" w:rsidRDefault="006B3966" w:rsidP="0039130E">
      <w:pPr>
        <w:pStyle w:val="Caption"/>
        <w:jc w:val="left"/>
      </w:pPr>
      <w:bookmarkStart w:id="141" w:name="_Ref135243945"/>
      <w:r>
        <w:lastRenderedPageBreak/>
        <w:t xml:space="preserve">Figure </w:t>
      </w:r>
      <w:fldSimple w:instr=" SEQ Figure \* ARABIC ">
        <w:r w:rsidR="00D64E4C">
          <w:rPr>
            <w:noProof/>
          </w:rPr>
          <w:t>33</w:t>
        </w:r>
      </w:fldSimple>
      <w:bookmarkEnd w:id="141"/>
      <w:r>
        <w:t xml:space="preserve">: </w:t>
      </w:r>
      <w:r w:rsidRPr="00B93E3D">
        <w:t>plan manager activity MOVEMENTS, january 2021 – DECEMBER 2022</w:t>
      </w:r>
    </w:p>
    <w:p w14:paraId="6C695BDA" w14:textId="77777777" w:rsidR="00FB4960" w:rsidRDefault="00FB4960" w:rsidP="00FB4960">
      <w:r>
        <w:rPr>
          <w:noProof/>
        </w:rPr>
        <w:drawing>
          <wp:inline distT="0" distB="0" distL="0" distR="0" wp14:anchorId="1C39624A" wp14:editId="72E1E68E">
            <wp:extent cx="5414010" cy="2517775"/>
            <wp:effectExtent l="0" t="0" r="0" b="0"/>
            <wp:docPr id="2040460824" name="Picture 2040460824" descr="FIGURE 33: PLAN MANAGER ACTIVITY MOVEMENTS, JANUARY 2021 – DECEMBER 2022&#10;&#10;January to June 2021 - new active providers made 0.5% of payments as a percent of total half year payments. For inactivity, 0.1% of payments as a percentage of prior total half year payments.&#10;&#10;July to December 2021 - new active providers made 1.5% of payments as a percent of total half year payments. For inactivity, 0.1% of payments as a percentage of prior total half year payments.&#10;&#10;January to June 2022 - new active providers made 0.7% of payments as a percent of total half year payments. For inactivity, 0.1% of payments as a percentage of prior total half year payments.&#10;&#10;July to December 2022 - new active providers made 0.8% of payments as a percent of total half year payments. For inactivity, 0.1% of payments as a percentage of prior total half year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460824" name="Picture 2040460824" descr="FIGURE 33: PLAN MANAGER ACTIVITY MOVEMENTS, JANUARY 2021 – DECEMBER 2022&#10;&#10;January to June 2021 - new active providers made 0.5% of payments as a percent of total half year payments. For inactivity, 0.1% of payments as a percentage of prior total half year payments.&#10;&#10;July to December 2021 - new active providers made 1.5% of payments as a percent of total half year payments. For inactivity, 0.1% of payments as a percentage of prior total half year payments.&#10;&#10;January to June 2022 - new active providers made 0.7% of payments as a percent of total half year payments. For inactivity, 0.1% of payments as a percentage of prior total half year payments.&#10;&#10;July to December 2022 - new active providers made 0.8% of payments as a percent of total half year payments. For inactivity, 0.1% of payments as a percentage of prior total half year payment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14010" cy="2517775"/>
                    </a:xfrm>
                    <a:prstGeom prst="rect">
                      <a:avLst/>
                    </a:prstGeom>
                    <a:noFill/>
                  </pic:spPr>
                </pic:pic>
              </a:graphicData>
            </a:graphic>
          </wp:inline>
        </w:drawing>
      </w:r>
    </w:p>
    <w:p w14:paraId="29999B16" w14:textId="1C15299E" w:rsidR="00695DB1" w:rsidRPr="00B573D8" w:rsidRDefault="007C1F2A" w:rsidP="000204E6">
      <w:r>
        <w:t xml:space="preserve">Further results indicate that on average, inactive </w:t>
      </w:r>
      <w:r w:rsidR="00E027F6">
        <w:t xml:space="preserve">registered </w:t>
      </w:r>
      <w:r>
        <w:t xml:space="preserve">plan managers </w:t>
      </w:r>
      <w:r w:rsidR="00DB5AD3">
        <w:t xml:space="preserve">claimed for $32,526 </w:t>
      </w:r>
      <w:r>
        <w:t xml:space="preserve">in payments in the half-year prior to becoming </w:t>
      </w:r>
      <w:r w:rsidRPr="00F769A5">
        <w:t xml:space="preserve">inactive, with </w:t>
      </w:r>
      <w:r>
        <w:t>5</w:t>
      </w:r>
      <w:r w:rsidRPr="00402A44">
        <w:t>9</w:t>
      </w:r>
      <w:r w:rsidRPr="00F769A5">
        <w:t xml:space="preserve">% of </w:t>
      </w:r>
      <w:r w:rsidR="00DB5AD3">
        <w:t xml:space="preserve">registered </w:t>
      </w:r>
      <w:r w:rsidRPr="00F769A5">
        <w:t xml:space="preserve">providers </w:t>
      </w:r>
      <w:r w:rsidR="00DB5AD3">
        <w:t>claiming for</w:t>
      </w:r>
      <w:r w:rsidR="00DB5AD3" w:rsidRPr="00F769A5">
        <w:t xml:space="preserve"> </w:t>
      </w:r>
      <w:r w:rsidRPr="00F769A5">
        <w:t>less than $5,000 in the half-year prior to becoming inactive.</w:t>
      </w:r>
      <w:r>
        <w:t xml:space="preserve"> </w:t>
      </w:r>
      <w:r w:rsidRPr="00F769A5">
        <w:t>In contrast</w:t>
      </w:r>
      <w:r>
        <w:t xml:space="preserve">, active </w:t>
      </w:r>
      <w:r w:rsidR="00DB5AD3">
        <w:t xml:space="preserve">registered </w:t>
      </w:r>
      <w:r>
        <w:t xml:space="preserve">plan managers </w:t>
      </w:r>
      <w:r w:rsidRPr="009509BC">
        <w:t xml:space="preserve">have claimed for </w:t>
      </w:r>
      <w:r w:rsidR="009C214C">
        <w:t xml:space="preserve">$3,839,694 in </w:t>
      </w:r>
      <w:r>
        <w:t>payments,</w:t>
      </w:r>
      <w:r w:rsidRPr="009509BC">
        <w:t xml:space="preserve"> on average</w:t>
      </w:r>
      <w:r>
        <w:t>, in each half-year period, highlighting that inactive</w:t>
      </w:r>
      <w:r w:rsidR="009C214C">
        <w:t xml:space="preserve"> registered</w:t>
      </w:r>
      <w:r>
        <w:t xml:space="preserve"> providers have been claiming for lesser amounts on average relative to new and existing </w:t>
      </w:r>
      <w:r w:rsidR="009C214C">
        <w:t xml:space="preserve">registered </w:t>
      </w:r>
      <w:r>
        <w:t>providers.</w:t>
      </w:r>
    </w:p>
    <w:p w14:paraId="484520A1" w14:textId="00A90A3D" w:rsidR="006C421D" w:rsidRPr="00D17AD8" w:rsidRDefault="006C421D" w:rsidP="00D9646F">
      <w:pPr>
        <w:pStyle w:val="Heading3"/>
      </w:pPr>
      <w:r w:rsidRPr="00D17AD8">
        <w:t>7.4</w:t>
      </w:r>
      <w:r w:rsidRPr="00D17AD8">
        <w:tab/>
        <w:t>Consultation feedback</w:t>
      </w:r>
    </w:p>
    <w:p w14:paraId="64E35507" w14:textId="6CCADA10" w:rsidR="007A3603" w:rsidRDefault="00A21C85" w:rsidP="00A21C85">
      <w:r w:rsidRPr="00DD01AE">
        <w:t xml:space="preserve">In total, 81 submissions </w:t>
      </w:r>
      <w:r w:rsidR="008F359A" w:rsidRPr="00DD01AE">
        <w:t xml:space="preserve">out of 304 </w:t>
      </w:r>
      <w:r w:rsidR="00696041" w:rsidRPr="00DD01AE">
        <w:t xml:space="preserve">(27%) </w:t>
      </w:r>
      <w:r w:rsidRPr="00DD01AE">
        <w:t xml:space="preserve">were received through the Public Consultation </w:t>
      </w:r>
      <w:r w:rsidR="002F3CE5">
        <w:t xml:space="preserve">process </w:t>
      </w:r>
      <w:r w:rsidR="00696041" w:rsidRPr="00DD01AE">
        <w:t xml:space="preserve">responding to </w:t>
      </w:r>
      <w:r w:rsidR="002F3CE5">
        <w:t xml:space="preserve">the topic of </w:t>
      </w:r>
      <w:r w:rsidRPr="00DD01AE">
        <w:t>plan management</w:t>
      </w:r>
      <w:r w:rsidR="00696041" w:rsidRPr="00DD01AE">
        <w:t xml:space="preserve"> supports</w:t>
      </w:r>
      <w:r w:rsidRPr="00DD01AE">
        <w:t xml:space="preserve">. Most respondents suggested the monthly fee for plan management is insufficient for the work they are doing, </w:t>
      </w:r>
      <w:r w:rsidR="00227D82">
        <w:t>said</w:t>
      </w:r>
      <w:r w:rsidRPr="00DD01AE">
        <w:t xml:space="preserve"> to encompass activities outside of </w:t>
      </w:r>
      <w:r w:rsidR="0027519B">
        <w:t>what they believe is expected of them</w:t>
      </w:r>
      <w:r w:rsidRPr="00787B95">
        <w:t xml:space="preserve">. There </w:t>
      </w:r>
      <w:r w:rsidR="007144E9">
        <w:t>were</w:t>
      </w:r>
      <w:r>
        <w:t xml:space="preserve"> also</w:t>
      </w:r>
      <w:r w:rsidRPr="00787B95">
        <w:t xml:space="preserve"> suggestions of clearer guidelines on the role of plan managers which was </w:t>
      </w:r>
      <w:r w:rsidR="3151B6EF">
        <w:t>a</w:t>
      </w:r>
      <w:r w:rsidR="3C9396C3">
        <w:t>lso frequently</w:t>
      </w:r>
      <w:r>
        <w:t xml:space="preserve"> </w:t>
      </w:r>
      <w:r w:rsidRPr="00787B95">
        <w:t xml:space="preserve">raised in the </w:t>
      </w:r>
      <w:r>
        <w:t xml:space="preserve">2021-22 </w:t>
      </w:r>
      <w:r w:rsidRPr="00787B95">
        <w:t>APR and</w:t>
      </w:r>
      <w:r>
        <w:t xml:space="preserve"> is anticipated to be </w:t>
      </w:r>
      <w:r w:rsidRPr="00787B95">
        <w:t xml:space="preserve">covered by the NDIS Review. </w:t>
      </w:r>
    </w:p>
    <w:p w14:paraId="3832524A" w14:textId="7FA1FF47" w:rsidR="008F359A" w:rsidRDefault="007D5340" w:rsidP="00A21C85">
      <w:r>
        <w:t>See Appendix A for more details on common themes raised in submissions to the 2022-23 APR Consultation Paper.</w:t>
      </w:r>
    </w:p>
    <w:p w14:paraId="601C908B" w14:textId="77777777" w:rsidR="008F359A" w:rsidRPr="00FC5139" w:rsidRDefault="008F359A" w:rsidP="00ED16DA">
      <w:pPr>
        <w:spacing w:before="240"/>
        <w:rPr>
          <w:b/>
          <w:bCs/>
          <w:i/>
          <w:iCs/>
          <w:u w:val="single"/>
        </w:rPr>
      </w:pPr>
      <w:r w:rsidRPr="00FC5139">
        <w:rPr>
          <w:b/>
          <w:bCs/>
          <w:i/>
          <w:iCs/>
          <w:u w:val="single"/>
        </w:rPr>
        <w:t>Disability Intermediaries Australia (DIA) submission</w:t>
      </w:r>
    </w:p>
    <w:p w14:paraId="42E212B7" w14:textId="55E503D8" w:rsidR="008F359A" w:rsidRDefault="775CE85C" w:rsidP="008F359A">
      <w:r>
        <w:t xml:space="preserve">In its submission to the 2022-23 APR, DIA reported on a survey that it has undertaken of </w:t>
      </w:r>
      <w:r w:rsidR="002B1CDA">
        <w:t>plan manager</w:t>
      </w:r>
      <w:r>
        <w:t xml:space="preserve">s and </w:t>
      </w:r>
      <w:r w:rsidR="0049595E">
        <w:t>support coordinator</w:t>
      </w:r>
      <w:r>
        <w:t xml:space="preserve">s raising concerns </w:t>
      </w:r>
      <w:r w:rsidR="5BCC3F50">
        <w:t>about the</w:t>
      </w:r>
      <w:r>
        <w:t xml:space="preserve"> financial viability of these providers</w:t>
      </w:r>
      <w:r w:rsidRPr="19AAF43B">
        <w:rPr>
          <w:i/>
          <w:iCs/>
        </w:rPr>
        <w:t xml:space="preserve">. </w:t>
      </w:r>
      <w:r w:rsidR="2FD50F62">
        <w:t>Some</w:t>
      </w:r>
      <w:r w:rsidR="2FD50F62" w:rsidRPr="19AAF43B">
        <w:rPr>
          <w:i/>
          <w:iCs/>
        </w:rPr>
        <w:t xml:space="preserve"> </w:t>
      </w:r>
      <w:r w:rsidR="248CCBFF">
        <w:t>511</w:t>
      </w:r>
      <w:r w:rsidR="2FD50F62">
        <w:t xml:space="preserve"> </w:t>
      </w:r>
      <w:r w:rsidR="002B1CDA">
        <w:t>plan manager</w:t>
      </w:r>
      <w:r w:rsidR="2FD50F62">
        <w:t xml:space="preserve">s responded to the survey. </w:t>
      </w:r>
      <w:r>
        <w:t xml:space="preserve">The NDIA also received </w:t>
      </w:r>
      <w:r w:rsidR="558CC418">
        <w:t>several</w:t>
      </w:r>
      <w:r>
        <w:t xml:space="preserve"> </w:t>
      </w:r>
      <w:r w:rsidR="563DD2A5">
        <w:t>letters</w:t>
      </w:r>
      <w:r>
        <w:t xml:space="preserve"> of support by stakeholders in support of DIA’s submission.</w:t>
      </w:r>
    </w:p>
    <w:p w14:paraId="37DCED18" w14:textId="66ED818F" w:rsidR="003D3010" w:rsidRPr="003D3010" w:rsidRDefault="003D3010" w:rsidP="008F359A">
      <w:r>
        <w:t xml:space="preserve">From the </w:t>
      </w:r>
      <w:r w:rsidR="002F3CE5">
        <w:t>s</w:t>
      </w:r>
      <w:r>
        <w:t>urvey responses</w:t>
      </w:r>
      <w:r w:rsidR="002F3CE5">
        <w:t xml:space="preserve"> received by DIA</w:t>
      </w:r>
      <w:r>
        <w:t xml:space="preserve">, </w:t>
      </w:r>
      <w:r w:rsidR="008700B5">
        <w:t>77</w:t>
      </w:r>
      <w:r>
        <w:t xml:space="preserve">% of respondents were For-Profit providers, with at least </w:t>
      </w:r>
      <w:r w:rsidR="008700B5">
        <w:t>50</w:t>
      </w:r>
      <w:r>
        <w:t xml:space="preserve"> respondents from each state and territory.</w:t>
      </w:r>
      <w:r w:rsidR="008700B5">
        <w:t xml:space="preserve"> 79% of</w:t>
      </w:r>
      <w:r>
        <w:t xml:space="preserve"> respondents were “Medium” sized providers</w:t>
      </w:r>
      <w:r w:rsidR="008700B5">
        <w:t>, with only 4% considered “Large”</w:t>
      </w:r>
      <w:r>
        <w:t>.</w:t>
      </w:r>
      <w:r w:rsidR="00D02EB4">
        <w:t xml:space="preserve"> There </w:t>
      </w:r>
      <w:r w:rsidR="002A7C98">
        <w:t xml:space="preserve">has been </w:t>
      </w:r>
      <w:r w:rsidR="00D02EB4">
        <w:t>a move of respondents towards the SCHADS Award, however</w:t>
      </w:r>
      <w:r w:rsidR="002A7C98">
        <w:t>,</w:t>
      </w:r>
      <w:r w:rsidR="00D02EB4">
        <w:t xml:space="preserve"> almost half of respondents still use other Awards or </w:t>
      </w:r>
      <w:r w:rsidR="002A7C98">
        <w:t xml:space="preserve">Industrial </w:t>
      </w:r>
      <w:r w:rsidR="00D02EB4">
        <w:t>Agreements.</w:t>
      </w:r>
    </w:p>
    <w:p w14:paraId="75F4D7BC" w14:textId="78837824" w:rsidR="008F359A" w:rsidRDefault="008F359A" w:rsidP="008F359A">
      <w:r w:rsidRPr="00DF0C3D">
        <w:t>The DIA</w:t>
      </w:r>
      <w:r w:rsidR="002B0448" w:rsidRPr="00DF0C3D">
        <w:t xml:space="preserve"> </w:t>
      </w:r>
      <w:r w:rsidRPr="00DF0C3D">
        <w:t xml:space="preserve">submission reported that </w:t>
      </w:r>
      <w:r w:rsidR="00C468B8">
        <w:t>45</w:t>
      </w:r>
      <w:r w:rsidRPr="00DF0C3D">
        <w:t xml:space="preserve">% of </w:t>
      </w:r>
      <w:r w:rsidR="002B1CDA">
        <w:t>plan manager</w:t>
      </w:r>
      <w:r>
        <w:t>s</w:t>
      </w:r>
      <w:r w:rsidRPr="00DF0C3D">
        <w:t xml:space="preserve"> who responded to the survey indicated that they had made a profit in 202</w:t>
      </w:r>
      <w:r>
        <w:t>1</w:t>
      </w:r>
      <w:r w:rsidRPr="00DF0C3D">
        <w:t>-2</w:t>
      </w:r>
      <w:r>
        <w:t>2</w:t>
      </w:r>
      <w:r w:rsidRPr="00DF0C3D">
        <w:t xml:space="preserve"> with a further </w:t>
      </w:r>
      <w:r>
        <w:t>1</w:t>
      </w:r>
      <w:r w:rsidR="00325035">
        <w:t>7</w:t>
      </w:r>
      <w:r w:rsidRPr="00DF0C3D">
        <w:t>% indicating that they had broken even in 202</w:t>
      </w:r>
      <w:r>
        <w:t>1</w:t>
      </w:r>
      <w:r w:rsidRPr="00DF0C3D">
        <w:t>-2</w:t>
      </w:r>
      <w:r>
        <w:t>2</w:t>
      </w:r>
      <w:r w:rsidRPr="00DF0C3D">
        <w:t xml:space="preserve">. At the same time, </w:t>
      </w:r>
      <w:r w:rsidR="00325035">
        <w:t>38</w:t>
      </w:r>
      <w:r w:rsidRPr="00DF0C3D">
        <w:t xml:space="preserve">% of </w:t>
      </w:r>
      <w:r w:rsidR="002B1CDA">
        <w:t>plan manager</w:t>
      </w:r>
      <w:r>
        <w:t>s</w:t>
      </w:r>
      <w:r w:rsidRPr="00DF0C3D">
        <w:t xml:space="preserve"> reported a loss in 202</w:t>
      </w:r>
      <w:r>
        <w:t>1</w:t>
      </w:r>
      <w:r w:rsidRPr="00DF0C3D">
        <w:t>-</w:t>
      </w:r>
      <w:r w:rsidRPr="00DF0C3D">
        <w:lastRenderedPageBreak/>
        <w:t>2</w:t>
      </w:r>
      <w:r>
        <w:t>2</w:t>
      </w:r>
      <w:r w:rsidRPr="00DF0C3D">
        <w:t>.</w:t>
      </w:r>
      <w:r w:rsidR="00D14A7D">
        <w:t xml:space="preserve"> DIA suggested the organisation structure/size </w:t>
      </w:r>
      <w:r w:rsidR="00A76053">
        <w:t>played only a minor factor in determining financial outcome.</w:t>
      </w:r>
    </w:p>
    <w:p w14:paraId="725B75E4" w14:textId="56FA13BD" w:rsidR="002815BA" w:rsidRDefault="008F359A" w:rsidP="008F359A">
      <w:r>
        <w:t xml:space="preserve">DIA raised concerns on </w:t>
      </w:r>
      <w:r w:rsidR="0065564B">
        <w:t xml:space="preserve">the </w:t>
      </w:r>
      <w:r w:rsidR="001261E5">
        <w:t xml:space="preserve">clarification of the NDIA in the 1 July 2022 Pricing Arrangements and Price Limits where plan management </w:t>
      </w:r>
      <w:r w:rsidR="0065564B">
        <w:t xml:space="preserve">set up fees </w:t>
      </w:r>
      <w:r w:rsidR="00C330D3">
        <w:t xml:space="preserve">were not claimable for </w:t>
      </w:r>
      <w:r w:rsidR="0065564B">
        <w:t xml:space="preserve">NDIS plans </w:t>
      </w:r>
      <w:r w:rsidR="00C330D3">
        <w:t xml:space="preserve">that were </w:t>
      </w:r>
      <w:r w:rsidR="0065564B">
        <w:t>extended</w:t>
      </w:r>
      <w:r w:rsidR="00C330D3">
        <w:t>.</w:t>
      </w:r>
      <w:r w:rsidR="008E1462">
        <w:t xml:space="preserve"> In addition to this</w:t>
      </w:r>
      <w:r w:rsidR="009F1682">
        <w:t xml:space="preserve">, </w:t>
      </w:r>
      <w:r w:rsidR="003F68C6">
        <w:t xml:space="preserve">concerns </w:t>
      </w:r>
      <w:r w:rsidR="008A7A65">
        <w:t xml:space="preserve">were </w:t>
      </w:r>
      <w:r w:rsidR="003F68C6">
        <w:t xml:space="preserve">also raised on the </w:t>
      </w:r>
      <w:r w:rsidR="009F1682">
        <w:t>technological transition costs associated with NDIS</w:t>
      </w:r>
      <w:r w:rsidR="007356AC">
        <w:t xml:space="preserve">’ new </w:t>
      </w:r>
      <w:r w:rsidR="009F1682">
        <w:t>PACE</w:t>
      </w:r>
      <w:r w:rsidR="007356AC">
        <w:t xml:space="preserve"> system and the increased requirement of cyber security and its cost to plan managers.</w:t>
      </w:r>
    </w:p>
    <w:p w14:paraId="59BE7383" w14:textId="7597EDA8" w:rsidR="005A1AA4" w:rsidRPr="00FB0CFC" w:rsidRDefault="005A1AA4" w:rsidP="00D9646F">
      <w:pPr>
        <w:pStyle w:val="Heading3"/>
      </w:pPr>
      <w:r w:rsidRPr="00FB0CFC">
        <w:t>7.5</w:t>
      </w:r>
      <w:r w:rsidRPr="00FB0CFC">
        <w:tab/>
        <w:t>Recommendations</w:t>
      </w:r>
    </w:p>
    <w:p w14:paraId="0180B6A1" w14:textId="4BAD7DC3" w:rsidR="00EC7117" w:rsidRDefault="6DFB6678" w:rsidP="00C1651E">
      <w:r>
        <w:t xml:space="preserve">The available information suggests that </w:t>
      </w:r>
      <w:r w:rsidR="47ECA110">
        <w:t xml:space="preserve">the market of supports for plan management is </w:t>
      </w:r>
      <w:bookmarkStart w:id="142" w:name="_Int_fKTzyYeh"/>
      <w:r w:rsidR="47ECA110">
        <w:t>relatively healthy</w:t>
      </w:r>
      <w:bookmarkEnd w:id="142"/>
      <w:r w:rsidR="38E81C3B">
        <w:t>.</w:t>
      </w:r>
    </w:p>
    <w:p w14:paraId="6E2031D1" w14:textId="15A50FB3" w:rsidR="00D9500A" w:rsidRDefault="00BE578E" w:rsidP="00FD1B16">
      <w:r>
        <w:t xml:space="preserve">Besides the December 2022 quarter, there </w:t>
      </w:r>
      <w:r w:rsidR="00FD1B16">
        <w:t xml:space="preserve">was </w:t>
      </w:r>
      <w:r w:rsidR="00EA7474">
        <w:t xml:space="preserve">strong </w:t>
      </w:r>
      <w:r>
        <w:t xml:space="preserve">growth in providers of plan management supports </w:t>
      </w:r>
      <w:r w:rsidR="00FD1B16">
        <w:t>in the previous 9 quarters to keep pace with participant</w:t>
      </w:r>
      <w:r w:rsidR="00EA7474">
        <w:t xml:space="preserve"> demand</w:t>
      </w:r>
      <w:r w:rsidR="00FD1B16">
        <w:t xml:space="preserve">. The NDIA acknowledges </w:t>
      </w:r>
      <w:r w:rsidR="00D073E6">
        <w:t xml:space="preserve">the increase in </w:t>
      </w:r>
      <w:r w:rsidR="00FD1B16" w:rsidRPr="00AC52C7">
        <w:t xml:space="preserve">the average number of participants being serviced per provider </w:t>
      </w:r>
      <w:r w:rsidR="00FD1B16">
        <w:t>of plan management supports</w:t>
      </w:r>
      <w:r w:rsidR="003075CB">
        <w:t xml:space="preserve">. This number should </w:t>
      </w:r>
      <w:r w:rsidR="00AC0FF6">
        <w:t xml:space="preserve">consider that </w:t>
      </w:r>
      <w:r w:rsidR="003075CB">
        <w:t xml:space="preserve">it </w:t>
      </w:r>
      <w:r w:rsidR="00171547">
        <w:t>includes participants who are both fully and partly plan-managed.</w:t>
      </w:r>
      <w:r w:rsidR="00FD1B16" w:rsidRPr="00AC52C7">
        <w:t xml:space="preserve"> </w:t>
      </w:r>
    </w:p>
    <w:p w14:paraId="63F9AFA4" w14:textId="6842A84C" w:rsidR="002005FD" w:rsidRDefault="00AC0FF6" w:rsidP="00AC0FF6">
      <w:r>
        <w:t xml:space="preserve">Through </w:t>
      </w:r>
      <w:r w:rsidR="002F3CE5">
        <w:t xml:space="preserve">feedback received through public </w:t>
      </w:r>
      <w:r>
        <w:t>consultations</w:t>
      </w:r>
      <w:r w:rsidR="00004A7B">
        <w:t>,</w:t>
      </w:r>
      <w:r>
        <w:t xml:space="preserve"> there was </w:t>
      </w:r>
      <w:r w:rsidRPr="00787B95">
        <w:t xml:space="preserve">suggestions of clearer guidelines on the role of plan managers which was </w:t>
      </w:r>
      <w:r>
        <w:t xml:space="preserve">a common sentiment </w:t>
      </w:r>
      <w:r w:rsidRPr="00787B95">
        <w:t xml:space="preserve">raised in the </w:t>
      </w:r>
      <w:r w:rsidR="007A798D">
        <w:t xml:space="preserve">previous </w:t>
      </w:r>
      <w:r>
        <w:t xml:space="preserve">2021-22 </w:t>
      </w:r>
      <w:r w:rsidRPr="00787B95">
        <w:t>APR</w:t>
      </w:r>
      <w:r w:rsidR="00485FB3">
        <w:t xml:space="preserve">, from both participants and providers. </w:t>
      </w:r>
    </w:p>
    <w:p w14:paraId="4C8953C9" w14:textId="4E224BCE" w:rsidR="005747F2" w:rsidRDefault="005747F2" w:rsidP="005747F2">
      <w:r>
        <w:t xml:space="preserve">In line with previous recommendations from the 2021-22 APR, the role of plan managers is to be considered by the NDIS Review and the NDIA should consider any appropriate structural changes </w:t>
      </w:r>
      <w:r w:rsidR="009E54A8">
        <w:t xml:space="preserve">after </w:t>
      </w:r>
      <w:r>
        <w:t>recommendations from the NDIS Review.</w:t>
      </w:r>
    </w:p>
    <w:p w14:paraId="422D522C" w14:textId="084E3F02" w:rsidR="002C6068" w:rsidRPr="00787B95" w:rsidRDefault="00425930" w:rsidP="00A21C85">
      <w:r>
        <w:t xml:space="preserve">On balance, the NDIA believes there is insufficient evidence to support an increase to plan management supports </w:t>
      </w:r>
      <w:r w:rsidR="00BE751F">
        <w:t>currently</w:t>
      </w:r>
      <w:r>
        <w:t xml:space="preserve">. </w:t>
      </w:r>
      <w:r w:rsidR="00060C13">
        <w:t xml:space="preserve">The growth of participants and providers of plan management supports over the past two years suggests this market is still viable and does not support an increase to plan management supports until the roles and expectations of plan managers are further defined. </w:t>
      </w:r>
      <w:r w:rsidRPr="00AC52C7">
        <w:t xml:space="preserve">The NDIA should continue to monitor the movement of providers claiming for plan management supports in future quarters </w:t>
      </w:r>
      <w:r w:rsidR="00570642">
        <w:t xml:space="preserve">to see if this decrease was a one-off or the start of a </w:t>
      </w:r>
      <w:r w:rsidRPr="00AC52C7">
        <w:t xml:space="preserve">trend. </w:t>
      </w:r>
    </w:p>
    <w:p w14:paraId="5931A6A2" w14:textId="72CD3863" w:rsidR="00A21C85" w:rsidRPr="00DF0C3D" w:rsidRDefault="00A21C85" w:rsidP="00A21C85">
      <w:pPr>
        <w:pStyle w:val="RecHeading"/>
      </w:pPr>
      <w:r w:rsidRPr="00DF0C3D">
        <w:t xml:space="preserve">Recommendation </w:t>
      </w:r>
      <w:r>
        <w:t>1</w:t>
      </w:r>
      <w:r w:rsidR="00A33D5C">
        <w:t>1</w:t>
      </w:r>
    </w:p>
    <w:p w14:paraId="52B894C9" w14:textId="7A3F1DEB" w:rsidR="00B33626" w:rsidRDefault="00A21C85" w:rsidP="00FC5139">
      <w:pPr>
        <w:pStyle w:val="RecText"/>
        <w:sectPr w:rsidR="00B33626" w:rsidSect="00E208B3">
          <w:pgSz w:w="11907" w:h="16839" w:code="9"/>
          <w:pgMar w:top="1080" w:right="1440" w:bottom="1276" w:left="1440" w:header="709" w:footer="709" w:gutter="0"/>
          <w:cols w:space="708"/>
          <w:docGrid w:linePitch="360"/>
        </w:sectPr>
      </w:pPr>
      <w:r>
        <w:t>The NDIA</w:t>
      </w:r>
      <w:r w:rsidRPr="00DF0C3D">
        <w:t xml:space="preserve"> should not make any structural adjustment to the NDIS pricing arrangements for plan </w:t>
      </w:r>
      <w:r w:rsidRPr="00DF0C3D">
        <w:t xml:space="preserve">management </w:t>
      </w:r>
      <w:r w:rsidR="005D2AC5">
        <w:t xml:space="preserve">supports </w:t>
      </w:r>
      <w:r w:rsidRPr="00DF0C3D">
        <w:t xml:space="preserve">at this </w:t>
      </w:r>
      <w:r w:rsidRPr="00DF0C3D">
        <w:t>time and should not index the price limits for plan management fees on 1 July 202</w:t>
      </w:r>
      <w:r>
        <w:t>3</w:t>
      </w:r>
      <w:r w:rsidRPr="00DF0C3D">
        <w:t xml:space="preserve">. </w:t>
      </w:r>
    </w:p>
    <w:p w14:paraId="3CE942F7" w14:textId="79807256" w:rsidR="00B33626" w:rsidRPr="006274F1" w:rsidRDefault="00CC471B" w:rsidP="005E7A6F">
      <w:pPr>
        <w:pStyle w:val="Heading2"/>
      </w:pPr>
      <w:bookmarkStart w:id="143" w:name="_Toc135405226"/>
      <w:r w:rsidRPr="006274F1">
        <w:lastRenderedPageBreak/>
        <w:t>NDIS Pricing</w:t>
      </w:r>
      <w:bookmarkEnd w:id="143"/>
    </w:p>
    <w:p w14:paraId="6A628BE6" w14:textId="41C05C52" w:rsidR="007F1D62" w:rsidRPr="00ED16DA" w:rsidRDefault="007F1D62" w:rsidP="007F1D62">
      <w:pPr>
        <w:rPr>
          <w:lang w:eastAsia="en-AU"/>
        </w:rPr>
      </w:pPr>
      <w:r w:rsidRPr="00FB1417">
        <w:rPr>
          <w:lang w:eastAsia="en-AU"/>
        </w:rPr>
        <w:t>The National Disability Insurance Agency (NDIA) acknowledges this Annual Pricing Review (APR) has a targeted scope of supports</w:t>
      </w:r>
      <w:r w:rsidR="00FA5CBA">
        <w:rPr>
          <w:lang w:eastAsia="en-AU"/>
        </w:rPr>
        <w:t xml:space="preserve"> </w:t>
      </w:r>
      <w:r w:rsidR="005D2EFF" w:rsidRPr="00FB1417">
        <w:rPr>
          <w:lang w:eastAsia="en-AU"/>
        </w:rPr>
        <w:t>as outlined in the Terms of Reference</w:t>
      </w:r>
      <w:r w:rsidRPr="00FB1417">
        <w:rPr>
          <w:lang w:eastAsia="en-AU"/>
        </w:rPr>
        <w:t xml:space="preserve">. Some of the recommendations within this chapter </w:t>
      </w:r>
      <w:r w:rsidR="004030C6" w:rsidRPr="00FB1417">
        <w:rPr>
          <w:lang w:eastAsia="en-AU"/>
        </w:rPr>
        <w:t xml:space="preserve">are </w:t>
      </w:r>
      <w:r w:rsidR="00BD4C24" w:rsidRPr="00FB1417">
        <w:rPr>
          <w:lang w:eastAsia="en-AU"/>
        </w:rPr>
        <w:t>outside the</w:t>
      </w:r>
      <w:r w:rsidR="006762AB" w:rsidRPr="00FB1417">
        <w:rPr>
          <w:lang w:eastAsia="en-AU"/>
        </w:rPr>
        <w:t xml:space="preserve"> scope </w:t>
      </w:r>
      <w:r w:rsidR="00BD4C24" w:rsidRPr="00FB1417">
        <w:rPr>
          <w:lang w:eastAsia="en-AU"/>
        </w:rPr>
        <w:t xml:space="preserve">of the current APR but </w:t>
      </w:r>
      <w:r w:rsidR="002B37F0" w:rsidRPr="00FB1417">
        <w:rPr>
          <w:lang w:eastAsia="en-AU"/>
        </w:rPr>
        <w:t xml:space="preserve">forms </w:t>
      </w:r>
      <w:r w:rsidR="00012387" w:rsidRPr="00FB1417">
        <w:rPr>
          <w:lang w:eastAsia="en-AU"/>
        </w:rPr>
        <w:t xml:space="preserve">an </w:t>
      </w:r>
      <w:r w:rsidR="002B37F0" w:rsidRPr="00FB1417">
        <w:rPr>
          <w:lang w:eastAsia="en-AU"/>
        </w:rPr>
        <w:t xml:space="preserve">important part of the </w:t>
      </w:r>
      <w:r w:rsidRPr="00FB1417">
        <w:rPr>
          <w:lang w:eastAsia="en-AU"/>
        </w:rPr>
        <w:t>overarching</w:t>
      </w:r>
      <w:r w:rsidR="007134C5" w:rsidRPr="00FB1417">
        <w:rPr>
          <w:lang w:eastAsia="en-AU"/>
        </w:rPr>
        <w:t xml:space="preserve"> pricing </w:t>
      </w:r>
      <w:r w:rsidR="00B54867" w:rsidRPr="00FB1417">
        <w:rPr>
          <w:lang w:eastAsia="en-AU"/>
        </w:rPr>
        <w:t xml:space="preserve">considerations for the NDIA. </w:t>
      </w:r>
      <w:r w:rsidR="00162B6F" w:rsidRPr="00FB1417">
        <w:rPr>
          <w:lang w:eastAsia="en-AU"/>
        </w:rPr>
        <w:t xml:space="preserve">These </w:t>
      </w:r>
      <w:r w:rsidR="004C430D" w:rsidRPr="00FB1417">
        <w:rPr>
          <w:lang w:eastAsia="en-AU"/>
        </w:rPr>
        <w:t xml:space="preserve">recommendations </w:t>
      </w:r>
      <w:r w:rsidRPr="00FB1417">
        <w:rPr>
          <w:lang w:eastAsia="en-AU"/>
        </w:rPr>
        <w:t>ha</w:t>
      </w:r>
      <w:r w:rsidR="00885FC4">
        <w:rPr>
          <w:lang w:eastAsia="en-AU"/>
        </w:rPr>
        <w:t>ve</w:t>
      </w:r>
      <w:r w:rsidRPr="00FB1417">
        <w:rPr>
          <w:lang w:eastAsia="en-AU"/>
        </w:rPr>
        <w:t xml:space="preserve"> the potential to improve future </w:t>
      </w:r>
      <w:r w:rsidR="00162B6F" w:rsidRPr="00FB1417">
        <w:rPr>
          <w:lang w:eastAsia="en-AU"/>
        </w:rPr>
        <w:t>pricing</w:t>
      </w:r>
      <w:r w:rsidRPr="00FB1417">
        <w:rPr>
          <w:lang w:eastAsia="en-AU"/>
        </w:rPr>
        <w:t xml:space="preserve"> review process</w:t>
      </w:r>
      <w:r w:rsidR="00162B6F" w:rsidRPr="00FB1417">
        <w:rPr>
          <w:lang w:eastAsia="en-AU"/>
        </w:rPr>
        <w:t>es</w:t>
      </w:r>
      <w:r w:rsidR="004C430D" w:rsidRPr="00FB1417">
        <w:rPr>
          <w:lang w:eastAsia="en-AU"/>
        </w:rPr>
        <w:t xml:space="preserve"> </w:t>
      </w:r>
      <w:r w:rsidR="00B32C4A" w:rsidRPr="00FB1417">
        <w:rPr>
          <w:lang w:eastAsia="en-AU"/>
        </w:rPr>
        <w:t xml:space="preserve">and promotes greater </w:t>
      </w:r>
      <w:r w:rsidR="00F115A6" w:rsidRPr="00F115A6">
        <w:rPr>
          <w:lang w:eastAsia="en-AU"/>
        </w:rPr>
        <w:t>transparency</w:t>
      </w:r>
      <w:r w:rsidR="00162B6F" w:rsidRPr="00FB1417">
        <w:rPr>
          <w:lang w:eastAsia="en-AU"/>
        </w:rPr>
        <w:t>.</w:t>
      </w:r>
    </w:p>
    <w:p w14:paraId="5EBD261B" w14:textId="00A58F2C" w:rsidR="00280CF2" w:rsidRPr="00FC2250" w:rsidRDefault="00280CF2" w:rsidP="00D9646F">
      <w:pPr>
        <w:pStyle w:val="Heading3"/>
      </w:pPr>
      <w:r w:rsidRPr="00FC2250">
        <w:t>8.1</w:t>
      </w:r>
      <w:r w:rsidRPr="00FC2250">
        <w:tab/>
        <w:t>Non-SCHADS Labour Supports, particularly Nursing supports</w:t>
      </w:r>
    </w:p>
    <w:p w14:paraId="224616BA" w14:textId="46D1191C" w:rsidR="007D1477" w:rsidRPr="003D064A" w:rsidRDefault="007D1477" w:rsidP="007D1477">
      <w:pPr>
        <w:rPr>
          <w:lang w:eastAsia="en-AU"/>
        </w:rPr>
      </w:pPr>
      <w:r w:rsidRPr="003D064A">
        <w:rPr>
          <w:lang w:eastAsia="en-AU"/>
        </w:rPr>
        <w:t xml:space="preserve">In the absence of specific review within the APR cycle, the NDIA considers the need to maintain the real value of NDIS price limits for support to maintain the supply of supports to NDIS participants. </w:t>
      </w:r>
      <w:r w:rsidR="749C5ADA" w:rsidRPr="5188BD8F">
        <w:rPr>
          <w:lang w:eastAsia="en-AU"/>
        </w:rPr>
        <w:t>Furt</w:t>
      </w:r>
      <w:r w:rsidR="00430E48">
        <w:rPr>
          <w:lang w:eastAsia="en-AU"/>
        </w:rPr>
        <w:t>h</w:t>
      </w:r>
      <w:r w:rsidR="749C5ADA" w:rsidRPr="5188BD8F">
        <w:rPr>
          <w:lang w:eastAsia="en-AU"/>
        </w:rPr>
        <w:t xml:space="preserve">er innovation </w:t>
      </w:r>
      <w:r w:rsidR="177CB6DD" w:rsidRPr="5188BD8F">
        <w:rPr>
          <w:lang w:eastAsia="en-AU"/>
        </w:rPr>
        <w:t>b</w:t>
      </w:r>
      <w:r w:rsidR="6485CB33" w:rsidRPr="5188BD8F">
        <w:rPr>
          <w:lang w:eastAsia="en-AU"/>
        </w:rPr>
        <w:t xml:space="preserve">y </w:t>
      </w:r>
      <w:r w:rsidRPr="003D064A">
        <w:rPr>
          <w:lang w:eastAsia="en-AU"/>
        </w:rPr>
        <w:t xml:space="preserve">providers </w:t>
      </w:r>
      <w:r w:rsidR="7193A4F4" w:rsidRPr="5188BD8F">
        <w:rPr>
          <w:lang w:eastAsia="en-AU"/>
        </w:rPr>
        <w:t>is encouraged</w:t>
      </w:r>
      <w:r w:rsidR="4A12D759" w:rsidRPr="5188BD8F">
        <w:rPr>
          <w:lang w:eastAsia="en-AU"/>
        </w:rPr>
        <w:t xml:space="preserve"> </w:t>
      </w:r>
      <w:r w:rsidRPr="003D064A">
        <w:rPr>
          <w:lang w:eastAsia="en-AU"/>
        </w:rPr>
        <w:t xml:space="preserve">to achieve greater efficiencies and improve the quality and safety of supports delivered. </w:t>
      </w:r>
    </w:p>
    <w:p w14:paraId="75E2917E" w14:textId="674D0FEE" w:rsidR="007D1477" w:rsidRPr="003D064A" w:rsidRDefault="68E546AB" w:rsidP="007D1477">
      <w:r>
        <w:t>The NDIA acknowledges there are a range of supports that are not under scope of the 2022-23 APR and are not linked to the DSW Cost Model (</w:t>
      </w:r>
      <w:r w:rsidRPr="00FC5139">
        <w:rPr>
          <w:i/>
          <w:iCs/>
        </w:rPr>
        <w:t>non</w:t>
      </w:r>
      <w:r>
        <w:t>-</w:t>
      </w:r>
      <w:r w:rsidRPr="19AAF43B">
        <w:rPr>
          <w:i/>
          <w:iCs/>
        </w:rPr>
        <w:t xml:space="preserve">Social, Community, Home Care </w:t>
      </w:r>
      <w:r w:rsidR="4A604652" w:rsidRPr="19AAF43B">
        <w:rPr>
          <w:i/>
          <w:iCs/>
        </w:rPr>
        <w:t>and</w:t>
      </w:r>
      <w:r w:rsidRPr="19AAF43B">
        <w:rPr>
          <w:i/>
          <w:iCs/>
        </w:rPr>
        <w:t xml:space="preserve"> Disability Services Industry Award 2010</w:t>
      </w:r>
      <w:r>
        <w:t xml:space="preserve"> (SCHADS Award), are not price limited or benchmarked. </w:t>
      </w:r>
    </w:p>
    <w:p w14:paraId="0FF48A42" w14:textId="39B54C11" w:rsidR="007D1477" w:rsidRPr="003D064A" w:rsidRDefault="00252F75" w:rsidP="007D1477">
      <w:r w:rsidRPr="00F3589E">
        <w:t>Nursing supports are considered as part of this category. Examples of supports in this</w:t>
      </w:r>
      <w:r w:rsidRPr="00252F75">
        <w:t xml:space="preserve"> </w:t>
      </w:r>
      <w:r w:rsidRPr="00F3589E">
        <w:t>category</w:t>
      </w:r>
      <w:r w:rsidR="007D1477" w:rsidRPr="003D064A">
        <w:t xml:space="preserve"> include several within the core and capacity building support categories such as personal domestic cleaning, house and/or yard. There is </w:t>
      </w:r>
      <w:r w:rsidR="007D1477" w:rsidRPr="003D064A">
        <w:rPr>
          <w:lang w:eastAsia="en-AU"/>
        </w:rPr>
        <w:t xml:space="preserve">the need to maintain the real value of NDIS price limits for support to maintain the supply of supports to NDIS participants. </w:t>
      </w:r>
    </w:p>
    <w:p w14:paraId="78098704" w14:textId="054F636C" w:rsidR="002C606E" w:rsidRDefault="007D1477" w:rsidP="007D1477">
      <w:r w:rsidRPr="003D064A">
        <w:t xml:space="preserve">This is particularly the case for nursing supports, considering the aged care reforms including wage increases through the 15% increase to aged care </w:t>
      </w:r>
      <w:r w:rsidR="6AF3E80C">
        <w:t xml:space="preserve">workers </w:t>
      </w:r>
      <w:r w:rsidRPr="003D064A">
        <w:t xml:space="preserve">and other potential increases to the Nursing Award. It is imperative that the NDIA ensures these supports remain competitive to other markets. </w:t>
      </w:r>
    </w:p>
    <w:p w14:paraId="3368C6A4" w14:textId="56A70956" w:rsidR="007D1477" w:rsidRPr="003D064A" w:rsidRDefault="002C606E" w:rsidP="007D1477">
      <w:r>
        <w:t xml:space="preserve">It </w:t>
      </w:r>
      <w:r w:rsidR="007D1477" w:rsidRPr="003D064A">
        <w:t>may pose a risk to participants receiving these supports</w:t>
      </w:r>
      <w:r w:rsidR="000B4F58">
        <w:t xml:space="preserve"> if there is no pricing </w:t>
      </w:r>
      <w:r w:rsidR="000B4F58">
        <w:t>increase</w:t>
      </w:r>
      <w:r w:rsidR="007D1477" w:rsidRPr="003D064A">
        <w:t xml:space="preserve">, and thus is deemed necessary to </w:t>
      </w:r>
      <w:r w:rsidR="007D1477" w:rsidRPr="003D064A">
        <w:t>increase</w:t>
      </w:r>
      <w:r w:rsidR="007D1477" w:rsidRPr="003D064A">
        <w:t xml:space="preserve"> </w:t>
      </w:r>
      <w:r w:rsidR="000B4F58">
        <w:t>the price limits</w:t>
      </w:r>
      <w:r w:rsidR="002F7625">
        <w:t xml:space="preserve"> of</w:t>
      </w:r>
      <w:r w:rsidR="000B4F58">
        <w:t xml:space="preserve"> </w:t>
      </w:r>
      <w:r w:rsidR="007D1477" w:rsidRPr="003D064A">
        <w:t>these supports in line with previous year’s indexation methodology.</w:t>
      </w:r>
    </w:p>
    <w:p w14:paraId="6CDF7328" w14:textId="77777777" w:rsidR="005A5212" w:rsidRDefault="005A5212" w:rsidP="005A5212">
      <w:pPr>
        <w:pStyle w:val="RecHeading"/>
      </w:pPr>
      <w:r w:rsidRPr="00DF0C3D">
        <w:t xml:space="preserve">Recommendation </w:t>
      </w:r>
      <w:r>
        <w:t>12</w:t>
      </w:r>
    </w:p>
    <w:p w14:paraId="5351A48A" w14:textId="77777777" w:rsidR="005A5212" w:rsidRDefault="005A5212" w:rsidP="005A5212">
      <w:pPr>
        <w:pStyle w:val="RecText"/>
      </w:pPr>
      <w:r>
        <w:t>The NDIA</w:t>
      </w:r>
      <w:r w:rsidRPr="00DF0C3D">
        <w:t>, subject to any specific recommendation arising from the current Annual Pricing Review and any future reviews, should:</w:t>
      </w:r>
    </w:p>
    <w:p w14:paraId="7E222842" w14:textId="28791684" w:rsidR="005A5212" w:rsidRDefault="005A5212" w:rsidP="00F317CA">
      <w:pPr>
        <w:pStyle w:val="RecDotPoint"/>
        <w:numPr>
          <w:ilvl w:val="0"/>
          <w:numId w:val="5"/>
        </w:numPr>
        <w:ind w:left="851"/>
      </w:pPr>
      <w:r w:rsidRPr="00DF0C3D">
        <w:t>Increase</w:t>
      </w:r>
      <w:r w:rsidRPr="00DF0C3D">
        <w:t xml:space="preserve"> the price limits for other supports</w:t>
      </w:r>
      <w:r>
        <w:t>, not covered by Disability Support Worker-related supports or Capital supports,</w:t>
      </w:r>
      <w:r w:rsidRPr="00DF0C3D">
        <w:t xml:space="preserve"> on 1 July </w:t>
      </w:r>
      <w:r>
        <w:t>2023</w:t>
      </w:r>
      <w:r w:rsidRPr="00DF0C3D">
        <w:t xml:space="preserve">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w:t>
      </w:r>
    </w:p>
    <w:p w14:paraId="5CD7224F" w14:textId="77777777" w:rsidR="008E6BBB" w:rsidRDefault="008E6BBB" w:rsidP="008E6BBB">
      <w:pPr>
        <w:pStyle w:val="RecDotPoint"/>
        <w:numPr>
          <w:ilvl w:val="0"/>
          <w:numId w:val="0"/>
        </w:numPr>
        <w:rPr>
          <w:highlight w:val="yellow"/>
        </w:rPr>
      </w:pPr>
    </w:p>
    <w:p w14:paraId="0E90AFFD" w14:textId="60BF20D9" w:rsidR="004F1A3C" w:rsidRPr="00300313" w:rsidRDefault="004F1A3C" w:rsidP="00D9646F">
      <w:pPr>
        <w:pStyle w:val="Heading3"/>
      </w:pPr>
      <w:r w:rsidRPr="00300313">
        <w:lastRenderedPageBreak/>
        <w:t>8.2</w:t>
      </w:r>
      <w:r w:rsidRPr="00300313">
        <w:tab/>
        <w:t>NDIS Cancellation Policy</w:t>
      </w:r>
    </w:p>
    <w:p w14:paraId="2778124B" w14:textId="6840873A" w:rsidR="008D6F39" w:rsidRPr="002A3F54" w:rsidRDefault="008D6F39" w:rsidP="008D6F39">
      <w:pPr>
        <w:rPr>
          <w:lang w:eastAsia="en-AU"/>
        </w:rPr>
      </w:pPr>
      <w:r>
        <w:rPr>
          <w:lang w:eastAsia="en-AU"/>
        </w:rPr>
        <w:t xml:space="preserve">The 2021-22 APR changed the </w:t>
      </w:r>
      <w:r w:rsidR="00656496">
        <w:rPr>
          <w:lang w:eastAsia="en-AU"/>
        </w:rPr>
        <w:t>National Disability Insurance Scheme (</w:t>
      </w:r>
      <w:r>
        <w:rPr>
          <w:lang w:eastAsia="en-AU"/>
        </w:rPr>
        <w:t>NDIS</w:t>
      </w:r>
      <w:r w:rsidR="00656496">
        <w:rPr>
          <w:lang w:eastAsia="en-AU"/>
        </w:rPr>
        <w:t>)</w:t>
      </w:r>
      <w:r>
        <w:rPr>
          <w:lang w:eastAsia="en-AU"/>
        </w:rPr>
        <w:t xml:space="preserve"> cancellation policy from 2 days to 7 days to align to the change made by the SCHADS Award from 1 July 2022. The policy was </w:t>
      </w:r>
      <w:r w:rsidR="007A5E57">
        <w:rPr>
          <w:lang w:eastAsia="en-AU"/>
        </w:rPr>
        <w:t xml:space="preserve">updated </w:t>
      </w:r>
      <w:r>
        <w:rPr>
          <w:lang w:eastAsia="en-AU"/>
        </w:rPr>
        <w:t xml:space="preserve">to ensure staff are protected from any impact of short notice cancellations of their shifts. Since the change was implemented, the NDIA </w:t>
      </w:r>
      <w:r w:rsidRPr="002A3F54">
        <w:rPr>
          <w:lang w:eastAsia="en-AU"/>
        </w:rPr>
        <w:t xml:space="preserve">have received feedback from stakeholders regarding the </w:t>
      </w:r>
      <w:r>
        <w:rPr>
          <w:lang w:eastAsia="en-AU"/>
        </w:rPr>
        <w:t>matter</w:t>
      </w:r>
      <w:r w:rsidRPr="002A3F54">
        <w:rPr>
          <w:lang w:eastAsia="en-AU"/>
        </w:rPr>
        <w:t>.</w:t>
      </w:r>
    </w:p>
    <w:p w14:paraId="44629AC1" w14:textId="0A4A9EF7" w:rsidR="008D6F39" w:rsidRDefault="008D6F39" w:rsidP="008D6F39">
      <w:pPr>
        <w:pStyle w:val="RecText"/>
        <w:ind w:left="0"/>
        <w:rPr>
          <w:i w:val="0"/>
          <w:color w:val="auto"/>
        </w:rPr>
      </w:pPr>
      <w:r w:rsidRPr="002A3F54">
        <w:rPr>
          <w:i w:val="0"/>
          <w:color w:val="auto"/>
        </w:rPr>
        <w:t xml:space="preserve">The </w:t>
      </w:r>
      <w:r>
        <w:rPr>
          <w:i w:val="0"/>
          <w:color w:val="auto"/>
        </w:rPr>
        <w:t xml:space="preserve">current </w:t>
      </w:r>
      <w:r w:rsidRPr="002A3F54">
        <w:rPr>
          <w:i w:val="0"/>
          <w:color w:val="auto"/>
        </w:rPr>
        <w:t>NDI</w:t>
      </w:r>
      <w:r>
        <w:rPr>
          <w:i w:val="0"/>
          <w:color w:val="auto"/>
        </w:rPr>
        <w:t>S</w:t>
      </w:r>
      <w:r w:rsidRPr="002A3F54">
        <w:rPr>
          <w:i w:val="0"/>
          <w:color w:val="auto"/>
        </w:rPr>
        <w:t xml:space="preserve"> </w:t>
      </w:r>
      <w:r>
        <w:rPr>
          <w:i w:val="0"/>
          <w:color w:val="auto"/>
        </w:rPr>
        <w:t xml:space="preserve">policy states that providers should find alternative billable work for the staff at first instance. The alternative work can be for multiple participants across multiple locations. </w:t>
      </w:r>
      <w:r w:rsidR="00304090">
        <w:rPr>
          <w:i w:val="0"/>
          <w:color w:val="auto"/>
        </w:rPr>
        <w:t>I</w:t>
      </w:r>
      <w:r>
        <w:rPr>
          <w:i w:val="0"/>
          <w:color w:val="auto"/>
        </w:rPr>
        <w:t>f no alternative work is found</w:t>
      </w:r>
      <w:r w:rsidR="000B4F58">
        <w:rPr>
          <w:i w:val="0"/>
          <w:color w:val="auto"/>
        </w:rPr>
        <w:t>,</w:t>
      </w:r>
      <w:r>
        <w:rPr>
          <w:i w:val="0"/>
          <w:color w:val="auto"/>
        </w:rPr>
        <w:t xml:space="preserve"> and if Short Notice Cancellations are agreed with the participant in the Service Agreement in advance, </w:t>
      </w:r>
      <w:r w:rsidR="00304090">
        <w:rPr>
          <w:i w:val="0"/>
          <w:color w:val="auto"/>
        </w:rPr>
        <w:t xml:space="preserve">only then </w:t>
      </w:r>
      <w:r>
        <w:rPr>
          <w:i w:val="0"/>
          <w:color w:val="auto"/>
        </w:rPr>
        <w:t xml:space="preserve">can the providers claim the amount. This is to allow providers to </w:t>
      </w:r>
      <w:r w:rsidRPr="008A4D6A">
        <w:rPr>
          <w:i w:val="0"/>
          <w:color w:val="auto"/>
        </w:rPr>
        <w:t xml:space="preserve">pay the </w:t>
      </w:r>
      <w:r>
        <w:rPr>
          <w:i w:val="0"/>
          <w:color w:val="auto"/>
        </w:rPr>
        <w:t xml:space="preserve">staff </w:t>
      </w:r>
      <w:r w:rsidRPr="008A4D6A">
        <w:rPr>
          <w:i w:val="0"/>
          <w:color w:val="auto"/>
        </w:rPr>
        <w:t>the amount they would have received had the shift not been cancelled</w:t>
      </w:r>
      <w:r>
        <w:rPr>
          <w:i w:val="0"/>
          <w:color w:val="auto"/>
        </w:rPr>
        <w:t xml:space="preserve"> as mandated by the SCHADS Award</w:t>
      </w:r>
      <w:r w:rsidRPr="002A3F54">
        <w:rPr>
          <w:i w:val="0"/>
          <w:color w:val="auto"/>
        </w:rPr>
        <w:t>.</w:t>
      </w:r>
      <w:r>
        <w:rPr>
          <w:i w:val="0"/>
          <w:color w:val="auto"/>
        </w:rPr>
        <w:t xml:space="preserve"> It is also important to note that the 7-day cancellation policy is the maximum allowable cancellation length by the NDIA, providers can include shorter cancellation periods</w:t>
      </w:r>
      <w:r w:rsidR="005229C6">
        <w:rPr>
          <w:i w:val="0"/>
          <w:color w:val="auto"/>
        </w:rPr>
        <w:t xml:space="preserve"> subject to establishing service agreement with participants</w:t>
      </w:r>
      <w:r>
        <w:rPr>
          <w:i w:val="0"/>
          <w:color w:val="auto"/>
        </w:rPr>
        <w:t>.</w:t>
      </w:r>
    </w:p>
    <w:p w14:paraId="0D60019B" w14:textId="77777777" w:rsidR="002F7625" w:rsidRDefault="007A5E57" w:rsidP="002F7625">
      <w:pPr>
        <w:pStyle w:val="RecText"/>
        <w:ind w:left="0"/>
        <w:rPr>
          <w:i w:val="0"/>
          <w:color w:val="auto"/>
        </w:rPr>
      </w:pPr>
      <w:r w:rsidRPr="002F7625">
        <w:rPr>
          <w:i w:val="0"/>
          <w:color w:val="auto"/>
        </w:rPr>
        <w:t xml:space="preserve">Following the implementation of this change, feedback received from participants and their representatives reflected that the 7 days is too long to account for sudden illnesses or events outside of a participant’s control. It is important to note that the 7-day cancellation policy is the maximum allowable cancellation length by the NDIA, providers can include shorter cancellation periods. </w:t>
      </w:r>
    </w:p>
    <w:p w14:paraId="0F5E515A" w14:textId="59F454A4" w:rsidR="008D6F39" w:rsidRPr="002F7625" w:rsidRDefault="008D6F39" w:rsidP="002F7625">
      <w:pPr>
        <w:pStyle w:val="RecText"/>
        <w:ind w:left="0"/>
        <w:rPr>
          <w:i w:val="0"/>
          <w:color w:val="auto"/>
        </w:rPr>
      </w:pPr>
      <w:r w:rsidRPr="002F7625">
        <w:rPr>
          <w:i w:val="0"/>
          <w:color w:val="auto"/>
        </w:rPr>
        <w:t xml:space="preserve">Analysis of NDIA claims data from July 2020 to December 2022 indicates that cancellations accounted around 0.6% of DSW claims over this period. This has remained stable throughout this period with no significant change since the policy update. </w:t>
      </w:r>
    </w:p>
    <w:p w14:paraId="3063A7F6" w14:textId="77777777" w:rsidR="008D6F39" w:rsidRPr="002F7625" w:rsidRDefault="008D6F39" w:rsidP="002F7625">
      <w:pPr>
        <w:pStyle w:val="RecText"/>
        <w:ind w:left="0"/>
        <w:rPr>
          <w:i w:val="0"/>
          <w:color w:val="auto"/>
        </w:rPr>
      </w:pPr>
      <w:r w:rsidRPr="002F7625">
        <w:rPr>
          <w:i w:val="0"/>
          <w:color w:val="auto"/>
        </w:rPr>
        <w:t>The NDIA should consider relevant Industry Awards, employment standards and other relevant industry legislation when setting pricing policy. The NDIA understands not all supports are delivered under the SCHADS Award, and many providers may not have the same obligations to their workers for cancelled shifts. On the other hand, careful consideration needs to be given if the NDIA policy is to deviate from the SCHADS Award as it may create inconsistency and confusion.</w:t>
      </w:r>
    </w:p>
    <w:p w14:paraId="7A2F6008" w14:textId="6F45CE80" w:rsidR="008D6F39" w:rsidRPr="002F7625" w:rsidRDefault="00406120" w:rsidP="002F7625">
      <w:pPr>
        <w:pStyle w:val="RecText"/>
        <w:ind w:left="0"/>
        <w:rPr>
          <w:i w:val="0"/>
          <w:color w:val="auto"/>
        </w:rPr>
      </w:pPr>
      <w:r w:rsidRPr="002F7625">
        <w:rPr>
          <w:i w:val="0"/>
          <w:color w:val="auto"/>
        </w:rPr>
        <w:t xml:space="preserve">It is too early to understand the impact of the changes to the NDIS cancellation policy to NDIS participants based on current data. The NDIA should continue to work closely with the sector to investigate the appropriateness of the current NDIS cancellation policy post the 2022-23 APR. </w:t>
      </w:r>
      <w:r w:rsidR="00E45DAE" w:rsidRPr="002F7625">
        <w:rPr>
          <w:i w:val="0"/>
          <w:color w:val="auto"/>
        </w:rPr>
        <w:t xml:space="preserve">This includes exploring the possibility of undertaking </w:t>
      </w:r>
      <w:r w:rsidR="00954FB8" w:rsidRPr="002F7625">
        <w:rPr>
          <w:i w:val="0"/>
          <w:color w:val="auto"/>
        </w:rPr>
        <w:t xml:space="preserve">a </w:t>
      </w:r>
      <w:r w:rsidR="00E45DAE" w:rsidRPr="002F7625">
        <w:rPr>
          <w:i w:val="0"/>
          <w:color w:val="auto"/>
        </w:rPr>
        <w:t>survey to gauge the impact of current settings.</w:t>
      </w:r>
    </w:p>
    <w:p w14:paraId="068400AE" w14:textId="77777777" w:rsidR="008D6F39" w:rsidRPr="00371CAD" w:rsidRDefault="008D6F39" w:rsidP="008D6F39">
      <w:pPr>
        <w:pStyle w:val="RecHeading"/>
      </w:pPr>
      <w:r w:rsidRPr="00371CAD">
        <w:t>Recommendation</w:t>
      </w:r>
      <w:r>
        <w:t xml:space="preserve"> 13</w:t>
      </w:r>
    </w:p>
    <w:p w14:paraId="44652650" w14:textId="42E581EC" w:rsidR="001748F4" w:rsidRPr="00ED16DA" w:rsidRDefault="008D6F39" w:rsidP="00ED16DA">
      <w:pPr>
        <w:pStyle w:val="DotPoint"/>
        <w:numPr>
          <w:ilvl w:val="0"/>
          <w:numId w:val="0"/>
        </w:numPr>
        <w:ind w:left="284"/>
        <w:rPr>
          <w:lang w:eastAsia="en-AU"/>
        </w:rPr>
      </w:pPr>
      <w:r w:rsidRPr="008A2EC1">
        <w:rPr>
          <w:i/>
          <w:color w:val="6B2976" w:themeColor="accent1"/>
        </w:rPr>
        <w:t xml:space="preserve">The NDIA </w:t>
      </w:r>
      <w:r>
        <w:rPr>
          <w:i/>
          <w:color w:val="6B2976" w:themeColor="accent1"/>
        </w:rPr>
        <w:t>should work with the sector to investigate the appropriateness of the NDIS cancellation policy for NDIS supports post the 2022-23 APR.</w:t>
      </w:r>
      <w:r w:rsidRPr="008A2EC1">
        <w:rPr>
          <w:i/>
          <w:color w:val="6B2976" w:themeColor="accent1"/>
        </w:rPr>
        <w:t xml:space="preserve"> </w:t>
      </w:r>
    </w:p>
    <w:p w14:paraId="5EB4EABE" w14:textId="6A4F8557" w:rsidR="00E66164" w:rsidRPr="002D5B72" w:rsidRDefault="00E66164" w:rsidP="00D9646F">
      <w:pPr>
        <w:pStyle w:val="Heading3"/>
      </w:pPr>
      <w:r w:rsidRPr="002D5B72">
        <w:t>8.3</w:t>
      </w:r>
      <w:r w:rsidRPr="002D5B72">
        <w:tab/>
        <w:t>NDIS Review</w:t>
      </w:r>
    </w:p>
    <w:p w14:paraId="28C1DB2A" w14:textId="437EE19D" w:rsidR="00B33626" w:rsidRPr="0045576A" w:rsidRDefault="00B33626" w:rsidP="00B33626">
      <w:pPr>
        <w:rPr>
          <w:lang w:eastAsia="en-AU"/>
        </w:rPr>
      </w:pPr>
      <w:r w:rsidRPr="0045576A">
        <w:rPr>
          <w:lang w:eastAsia="en-AU"/>
        </w:rPr>
        <w:t xml:space="preserve">The Minister for the NDIS, the Hon Bill Shorten MP, announced the NDIS Review in October 2022. The </w:t>
      </w:r>
      <w:r w:rsidR="003417DB">
        <w:rPr>
          <w:lang w:eastAsia="en-AU"/>
        </w:rPr>
        <w:t xml:space="preserve">NDIS </w:t>
      </w:r>
      <w:r w:rsidRPr="0045576A">
        <w:rPr>
          <w:lang w:eastAsia="en-AU"/>
        </w:rPr>
        <w:t xml:space="preserve">Review </w:t>
      </w:r>
      <w:r w:rsidR="00656496">
        <w:rPr>
          <w:lang w:eastAsia="en-AU"/>
        </w:rPr>
        <w:t xml:space="preserve">is likely </w:t>
      </w:r>
      <w:r w:rsidRPr="0045576A">
        <w:rPr>
          <w:lang w:eastAsia="en-AU"/>
        </w:rPr>
        <w:t>to have significant strategic implications for NDIS pricing arrangements in the future</w:t>
      </w:r>
      <w:r w:rsidR="00656496">
        <w:rPr>
          <w:lang w:eastAsia="en-AU"/>
        </w:rPr>
        <w:t>.</w:t>
      </w:r>
      <w:r w:rsidRPr="0045576A">
        <w:rPr>
          <w:lang w:eastAsia="en-AU"/>
        </w:rPr>
        <w:t xml:space="preserve">, noting the </w:t>
      </w:r>
      <w:r w:rsidR="003417DB">
        <w:rPr>
          <w:lang w:eastAsia="en-AU"/>
        </w:rPr>
        <w:t xml:space="preserve">NDIS </w:t>
      </w:r>
      <w:r w:rsidRPr="0045576A">
        <w:rPr>
          <w:lang w:eastAsia="en-AU"/>
        </w:rPr>
        <w:t>Review is expected to report in October 2023.</w:t>
      </w:r>
    </w:p>
    <w:p w14:paraId="6A588CAC" w14:textId="1C789C7E" w:rsidR="009F6A1F" w:rsidRPr="0045576A" w:rsidRDefault="00656496" w:rsidP="00B33626">
      <w:pPr>
        <w:rPr>
          <w:lang w:eastAsia="en-AU"/>
        </w:rPr>
      </w:pPr>
      <w:r>
        <w:rPr>
          <w:lang w:eastAsia="en-AU"/>
        </w:rPr>
        <w:t>As the NDIS Review is running concurrently with the 2022-23 APR, t</w:t>
      </w:r>
      <w:r w:rsidRPr="00371CAD">
        <w:t xml:space="preserve">he NDIA is committed to working with the NDIS Review Team throughout the </w:t>
      </w:r>
      <w:r>
        <w:t xml:space="preserve">NDIS </w:t>
      </w:r>
      <w:r w:rsidRPr="00371CAD">
        <w:t>Review process.</w:t>
      </w:r>
      <w:r w:rsidRPr="00AC7D5A">
        <w:t xml:space="preserve"> The NDIA </w:t>
      </w:r>
      <w:r w:rsidRPr="00AC7D5A">
        <w:lastRenderedPageBreak/>
        <w:t xml:space="preserve">acknowledges this may impact some supports and outcomes under the scope of the APR, which should be considered in line with </w:t>
      </w:r>
      <w:r>
        <w:t xml:space="preserve">upcoming recommendations </w:t>
      </w:r>
      <w:r w:rsidRPr="00AC7D5A">
        <w:t>from the NDIS Review</w:t>
      </w:r>
      <w:r>
        <w:t xml:space="preserve"> expected</w:t>
      </w:r>
      <w:r>
        <w:rPr>
          <w:lang w:eastAsia="en-AU"/>
        </w:rPr>
        <w:t xml:space="preserve"> in October </w:t>
      </w:r>
      <w:r>
        <w:t>2023</w:t>
      </w:r>
      <w:r>
        <w:rPr>
          <w:lang w:eastAsia="en-AU"/>
        </w:rPr>
        <w:t>.</w:t>
      </w:r>
    </w:p>
    <w:p w14:paraId="4792EC5D" w14:textId="0B11597D" w:rsidR="00B33626" w:rsidRPr="0045576A" w:rsidRDefault="00B33626" w:rsidP="00B33626">
      <w:pPr>
        <w:pStyle w:val="RecHeading"/>
      </w:pPr>
      <w:r w:rsidRPr="0045576A">
        <w:t>Recommendation 1</w:t>
      </w:r>
      <w:r w:rsidR="00042C73">
        <w:t>4</w:t>
      </w:r>
    </w:p>
    <w:p w14:paraId="5C429F39" w14:textId="09C15762" w:rsidR="00B33626" w:rsidRPr="00ED16DA" w:rsidRDefault="00B33626" w:rsidP="00ED16DA">
      <w:pPr>
        <w:pStyle w:val="DotPoint"/>
        <w:numPr>
          <w:ilvl w:val="0"/>
          <w:numId w:val="0"/>
        </w:numPr>
        <w:ind w:left="284"/>
        <w:rPr>
          <w:i/>
          <w:color w:val="6B2976" w:themeColor="accent1"/>
        </w:rPr>
      </w:pPr>
      <w:r w:rsidRPr="0045576A">
        <w:rPr>
          <w:i/>
          <w:color w:val="6B2976" w:themeColor="accent1"/>
        </w:rPr>
        <w:t xml:space="preserve">The NDIA should continue to work with the NDIS Review on relevant topics and issues involving structural changes to the current NDIS pricing arrangements. </w:t>
      </w:r>
    </w:p>
    <w:p w14:paraId="2DCDDAB2" w14:textId="0F255901" w:rsidR="00B40C9F" w:rsidRPr="00F570D7" w:rsidRDefault="00B40C9F" w:rsidP="00D9646F">
      <w:pPr>
        <w:pStyle w:val="Heading3"/>
      </w:pPr>
      <w:r w:rsidRPr="00F570D7">
        <w:t>8.4</w:t>
      </w:r>
      <w:r w:rsidRPr="00F570D7">
        <w:tab/>
        <w:t>NDIS Pricing Strategy Refresh</w:t>
      </w:r>
    </w:p>
    <w:p w14:paraId="356BAA61" w14:textId="13E14E6C" w:rsidR="00B33626" w:rsidRPr="003D064A" w:rsidRDefault="7BA69154" w:rsidP="00B33626">
      <w:r w:rsidRPr="003D064A">
        <w:t xml:space="preserve">The pricing arrangements for the NDIS are governed by the </w:t>
      </w:r>
      <w:r w:rsidRPr="24862EB2">
        <w:rPr>
          <w:i/>
          <w:iCs/>
        </w:rPr>
        <w:t>NDIS Pricing Strategy</w:t>
      </w:r>
      <w:r w:rsidR="00C320FE">
        <w:rPr>
          <w:rStyle w:val="FootnoteReference"/>
          <w:i/>
          <w:iCs/>
        </w:rPr>
        <w:footnoteReference w:id="31"/>
      </w:r>
      <w:r w:rsidRPr="003D064A">
        <w:t xml:space="preserve">, which was adopted by the NDIA Board in 2019. The Strategy recognises that in the short to medium term the NDIS’s pricing arrangements must </w:t>
      </w:r>
      <w:r w:rsidR="2AA9FC04" w:rsidRPr="003D064A">
        <w:t>consider</w:t>
      </w:r>
      <w:r w:rsidRPr="003D064A">
        <w:t xml:space="preserve"> both the need for value-for-money (and hence for efficiency in provider operations) and the need to ensure </w:t>
      </w:r>
      <w:r w:rsidR="005B4E92">
        <w:t xml:space="preserve">continued </w:t>
      </w:r>
      <w:r w:rsidRPr="003D064A">
        <w:t>access to supports (including the need to rapidly expand supply during the roll-out of the NDIS).</w:t>
      </w:r>
    </w:p>
    <w:p w14:paraId="7E742C44" w14:textId="12713026" w:rsidR="00B33626" w:rsidRPr="0045576A" w:rsidRDefault="00B33626" w:rsidP="00B33626">
      <w:r w:rsidRPr="0045576A">
        <w:t xml:space="preserve">During the roll out of the NDIS, the market for disability supports needed to develop at pace, with both significant increases in market supply, improvements in quality and improvements in production efficiency. While improvements to production efficiency (at a given quality level) will, all other things being equal, reduce costs in the long run, expansion of market supply </w:t>
      </w:r>
      <w:r w:rsidR="00EC257F">
        <w:t xml:space="preserve">in the short term </w:t>
      </w:r>
      <w:r w:rsidRPr="0045576A">
        <w:t xml:space="preserve">necessitates higher prices (especially where, as in the case of the NDIS, supply must be maintained to ensure participants can continue to receive critical supports). The </w:t>
      </w:r>
      <w:r w:rsidRPr="0045576A">
        <w:rPr>
          <w:i/>
          <w:iCs/>
        </w:rPr>
        <w:t>NDIS Pricing Strategy</w:t>
      </w:r>
      <w:r w:rsidRPr="0045576A">
        <w:t xml:space="preserve"> therefore recognised higher short-term price limits would be needed to maintain and expand the production of disability supports by providing an incentive for the redirection of resources to the NDIS from other sectors of the economy. </w:t>
      </w:r>
    </w:p>
    <w:p w14:paraId="49D33586" w14:textId="77777777" w:rsidR="00B33626" w:rsidRPr="00F1442C" w:rsidRDefault="00B33626" w:rsidP="00B33626">
      <w:r w:rsidRPr="00F1442C">
        <w:t xml:space="preserve">In the long run, the market for disability supports will mature so that high quality services are delivered at efficient price levels. Efficient price levels represent the long run minimum cost of production of a good or service whose quality is acceptable to the purchasers of the good or service. They are the best representation of the reasonable cost of the provision of a quality support and will, eventually, be the price levels best suited for the development of plans, which are concerned with efficient, effective, and appropriate supports. </w:t>
      </w:r>
    </w:p>
    <w:p w14:paraId="47896833" w14:textId="4BEC86AF" w:rsidR="00B33626" w:rsidRPr="00F1442C" w:rsidRDefault="00B33626" w:rsidP="00B33626">
      <w:r w:rsidRPr="00F1442C">
        <w:t xml:space="preserve">Since the release of the </w:t>
      </w:r>
      <w:r w:rsidRPr="00F1442C">
        <w:rPr>
          <w:i/>
          <w:iCs/>
        </w:rPr>
        <w:t>NDIS Pricing Strategy</w:t>
      </w:r>
      <w:r w:rsidRPr="00F1442C">
        <w:t xml:space="preserve"> in 2019, there has </w:t>
      </w:r>
      <w:r w:rsidR="00004273" w:rsidRPr="00F1442C">
        <w:t xml:space="preserve">been </w:t>
      </w:r>
      <w:r w:rsidRPr="00F1442C">
        <w:t>rapid growth in the provision of supports across many types of support markets delivering supports to NDIS participants which was needed in the roll-out of the NDIS. This has been accompanied with growth in some innovative service delivery models, such as online platforms for disability support worker-related supports. Such innovations encourage competition between providers, and new service delivery models can also facilitate transparent and accessible communication to participants. At the same time, the NDIA has been working to better inform participants to make more informed decisions</w:t>
      </w:r>
      <w:r w:rsidR="007159CA">
        <w:t>.</w:t>
      </w:r>
    </w:p>
    <w:p w14:paraId="7D6F373A" w14:textId="5D39528A" w:rsidR="00B33626" w:rsidRPr="00F1442C" w:rsidRDefault="00B33626" w:rsidP="00B33626">
      <w:r w:rsidRPr="00F1442C">
        <w:t>There has been a significant change in size of the NDIS, number of participants and providers and a change in various support market dynamics since the initial publication of the NDIS Pricing Strategy in 2019. There is a spectrum of market intervention options available to the NDIA, such as market facilitation, market regulation or alternative commission</w:t>
      </w:r>
      <w:r w:rsidR="00FD521B">
        <w:t>ing</w:t>
      </w:r>
      <w:r w:rsidRPr="00F1442C">
        <w:t xml:space="preserve">. Which intervention to use depends on the characteristics of the market and </w:t>
      </w:r>
      <w:r w:rsidRPr="00F1442C">
        <w:lastRenderedPageBreak/>
        <w:t>how it is functioning. A market that is considered well-functioning requires less intervention. Therefore, the NDIA should examine what might be the most appropriate measures to apply across different markets delivering NDIS supports based on the current market maturity, economic conditions as well as Scheme trajectory.</w:t>
      </w:r>
    </w:p>
    <w:p w14:paraId="2EA6AFF2" w14:textId="157BC116" w:rsidR="00B33626" w:rsidRPr="00F1442C" w:rsidRDefault="00B33626" w:rsidP="00B33626">
      <w:pPr>
        <w:pStyle w:val="RecHeading"/>
      </w:pPr>
      <w:r w:rsidRPr="00F1442C">
        <w:t>Recommendation 1</w:t>
      </w:r>
      <w:r w:rsidR="00042C73">
        <w:t>5</w:t>
      </w:r>
    </w:p>
    <w:p w14:paraId="07CC172D" w14:textId="692A2CDE" w:rsidR="00B33626" w:rsidRPr="00ED16DA" w:rsidRDefault="00B33626" w:rsidP="00ED16DA">
      <w:pPr>
        <w:pStyle w:val="DotPoint"/>
        <w:numPr>
          <w:ilvl w:val="0"/>
          <w:numId w:val="0"/>
        </w:numPr>
        <w:ind w:left="284"/>
        <w:rPr>
          <w:i/>
          <w:color w:val="6B2976" w:themeColor="text1"/>
        </w:rPr>
      </w:pPr>
      <w:r w:rsidRPr="00F1442C">
        <w:rPr>
          <w:i/>
          <w:color w:val="6B2976" w:themeColor="accent1"/>
        </w:rPr>
        <w:t>The NDIA should refresh its NDIS Pricing Strategy to ensure its appropriateness on the current state of NDIS support markets, in consideration to the outcomes from the NDIS Review.</w:t>
      </w:r>
    </w:p>
    <w:p w14:paraId="1EC49BAB" w14:textId="4899F677" w:rsidR="00CD4B8B" w:rsidRPr="00DB37EA" w:rsidRDefault="00CD4B8B" w:rsidP="00D9646F">
      <w:pPr>
        <w:pStyle w:val="Heading3"/>
      </w:pPr>
      <w:r w:rsidRPr="00DB37EA">
        <w:t>8.5</w:t>
      </w:r>
      <w:r w:rsidRPr="00DB37EA">
        <w:tab/>
        <w:t>Financial Reporting by NDIS providers</w:t>
      </w:r>
    </w:p>
    <w:p w14:paraId="41CF04FA" w14:textId="4E93FFAE" w:rsidR="00B33626" w:rsidRPr="00FB1417" w:rsidRDefault="00B33626" w:rsidP="00B33626">
      <w:r w:rsidRPr="00FB1417">
        <w:t>The NDIA believes it is imperative that as a market steward, it is important to monitor and track the financial performance of providers within the sector to ensure that they remain financially viable.</w:t>
      </w:r>
    </w:p>
    <w:p w14:paraId="73D1C2B4" w14:textId="729DAFCA" w:rsidR="00B33626" w:rsidRDefault="7BA69154" w:rsidP="00B33626">
      <w:r w:rsidRPr="00FB1417">
        <w:t>As noted in section</w:t>
      </w:r>
      <w:r w:rsidR="00650885">
        <w:t xml:space="preserve"> 4.12</w:t>
      </w:r>
      <w:r w:rsidRPr="00FB1417">
        <w:t xml:space="preserve">, </w:t>
      </w:r>
      <w:r w:rsidR="6CE04627" w:rsidRPr="00FB1417">
        <w:t xml:space="preserve">previous attempts to </w:t>
      </w:r>
      <w:r w:rsidR="48521A41" w:rsidRPr="00FB1417">
        <w:t xml:space="preserve">conduct </w:t>
      </w:r>
      <w:r w:rsidR="6CE04627" w:rsidRPr="00FB1417">
        <w:t>survey</w:t>
      </w:r>
      <w:r w:rsidR="2296F000" w:rsidRPr="00FB1417">
        <w:t>s to gauge</w:t>
      </w:r>
      <w:r w:rsidR="6CE04627" w:rsidRPr="00FB1417">
        <w:t xml:space="preserve"> providers financial bottom line has </w:t>
      </w:r>
      <w:r w:rsidR="36F98CD0">
        <w:t xml:space="preserve">resulted in </w:t>
      </w:r>
      <w:r w:rsidR="48521A41" w:rsidRPr="00FB1417">
        <w:t xml:space="preserve">poor response rates and </w:t>
      </w:r>
      <w:r w:rsidR="2296F000" w:rsidRPr="00FB1417">
        <w:t>therefore the survey results</w:t>
      </w:r>
      <w:r w:rsidR="00600B58">
        <w:t xml:space="preserve"> are not considered to be representative of the entire provider sector</w:t>
      </w:r>
      <w:r w:rsidR="2296F000" w:rsidRPr="00FB1417">
        <w:t>. T</w:t>
      </w:r>
      <w:r w:rsidRPr="00FB1417">
        <w:t>he NDIA does not consider that it is necessary to conduct a financial benchmarking survey in 2022-2023</w:t>
      </w:r>
      <w:r w:rsidR="13A53B5C" w:rsidRPr="00FB1417">
        <w:t xml:space="preserve"> given the current APR has a </w:t>
      </w:r>
      <w:r w:rsidR="6E85A786">
        <w:t xml:space="preserve">tailored </w:t>
      </w:r>
      <w:r w:rsidR="13A53B5C" w:rsidRPr="00FB1417">
        <w:t>scope</w:t>
      </w:r>
      <w:r w:rsidRPr="00FB1417">
        <w:t xml:space="preserve">. </w:t>
      </w:r>
      <w:r w:rsidR="13A53B5C" w:rsidRPr="00FB1417">
        <w:t xml:space="preserve">Moreover, </w:t>
      </w:r>
      <w:r w:rsidRPr="00FB1417">
        <w:t>the NDIA has begun to work with the sector to support financial benchmarking surveys to assist providers to compare themselves to their peers. The current partnerships include the surveys by the National Disability Services (NDS), partnering with StewartBrown, and the Ability Roundtable.</w:t>
      </w:r>
    </w:p>
    <w:p w14:paraId="3BDB591D" w14:textId="5185531C" w:rsidR="00B27610" w:rsidRPr="00FB1417" w:rsidRDefault="00DF32CE" w:rsidP="00B33626">
      <w:r w:rsidRPr="007C18BE">
        <w:t>The</w:t>
      </w:r>
      <w:r w:rsidR="00C348E7" w:rsidRPr="007C18BE">
        <w:t xml:space="preserve">re are some </w:t>
      </w:r>
      <w:r w:rsidR="0083064A" w:rsidRPr="007C18BE">
        <w:t xml:space="preserve">data </w:t>
      </w:r>
      <w:r w:rsidR="00A222DF" w:rsidRPr="007C18BE">
        <w:t xml:space="preserve">limitations </w:t>
      </w:r>
      <w:r w:rsidR="00C7079A" w:rsidRPr="007C18BE">
        <w:t xml:space="preserve">when it comes to gauging </w:t>
      </w:r>
      <w:r w:rsidR="008168D2" w:rsidRPr="007C18BE">
        <w:t xml:space="preserve">the health of the </w:t>
      </w:r>
      <w:r w:rsidR="00F84CCA" w:rsidRPr="007C18BE">
        <w:t>provider</w:t>
      </w:r>
      <w:r w:rsidR="0059205F" w:rsidRPr="007C18BE">
        <w:t xml:space="preserve"> market</w:t>
      </w:r>
      <w:r w:rsidR="003E7327" w:rsidRPr="007C18BE">
        <w:t xml:space="preserve"> </w:t>
      </w:r>
      <w:r w:rsidR="00791082" w:rsidRPr="007C18BE">
        <w:t>such as a full picture of provider financials</w:t>
      </w:r>
      <w:r w:rsidR="0008385A" w:rsidRPr="007C18BE">
        <w:t xml:space="preserve">. This has the </w:t>
      </w:r>
      <w:r w:rsidR="007849FD" w:rsidRPr="007C18BE">
        <w:t xml:space="preserve">potential impact </w:t>
      </w:r>
      <w:r w:rsidR="00180F6E" w:rsidRPr="007C18BE">
        <w:t xml:space="preserve">the </w:t>
      </w:r>
      <w:r w:rsidR="007849FD" w:rsidRPr="007C18BE">
        <w:t>supply of services to participants</w:t>
      </w:r>
      <w:r w:rsidR="00A53BE6" w:rsidRPr="007C18BE">
        <w:t>.</w:t>
      </w:r>
      <w:r w:rsidR="0059205F">
        <w:t xml:space="preserve"> </w:t>
      </w:r>
      <w:r w:rsidR="00F34EC6">
        <w:t xml:space="preserve">These data limitations </w:t>
      </w:r>
      <w:r w:rsidR="002A61D2">
        <w:t>can lead to f</w:t>
      </w:r>
      <w:r w:rsidR="004A140F">
        <w:t xml:space="preserve">eedback </w:t>
      </w:r>
      <w:r w:rsidR="00E43A34">
        <w:t>through public consultation and other channels</w:t>
      </w:r>
      <w:r w:rsidR="007849FD">
        <w:t xml:space="preserve"> </w:t>
      </w:r>
      <w:r w:rsidR="002A61D2">
        <w:t xml:space="preserve">that </w:t>
      </w:r>
      <w:r w:rsidR="007849FD">
        <w:t xml:space="preserve">doesn’t always necessarily align with </w:t>
      </w:r>
      <w:r w:rsidR="00A877DA">
        <w:t>analys</w:t>
      </w:r>
      <w:r w:rsidR="00B0029B">
        <w:t xml:space="preserve">es </w:t>
      </w:r>
      <w:r w:rsidR="002F6AAB">
        <w:t>undertaken.</w:t>
      </w:r>
      <w:r w:rsidR="00A877DA">
        <w:t xml:space="preserve"> </w:t>
      </w:r>
      <w:r w:rsidR="00E43A34">
        <w:t xml:space="preserve"> </w:t>
      </w:r>
      <w:r w:rsidR="008315C8">
        <w:t xml:space="preserve"> </w:t>
      </w:r>
      <w:r w:rsidR="00A53BE6">
        <w:t xml:space="preserve"> </w:t>
      </w:r>
      <w:r w:rsidR="000F145A">
        <w:t xml:space="preserve"> </w:t>
      </w:r>
    </w:p>
    <w:p w14:paraId="51276E7F" w14:textId="5CBE39CD" w:rsidR="00B33626" w:rsidRPr="00FB1417" w:rsidRDefault="0022715D" w:rsidP="00B33626">
      <w:r w:rsidRPr="0039130E">
        <w:t xml:space="preserve">An effective price setting </w:t>
      </w:r>
      <w:r w:rsidR="00BC757E" w:rsidRPr="0039130E">
        <w:t>mechanism is critically underpinned by the Agency’s ability to track, monito</w:t>
      </w:r>
      <w:r w:rsidR="003C5B85" w:rsidRPr="0039130E">
        <w:t>r</w:t>
      </w:r>
      <w:r w:rsidR="00F3765C" w:rsidRPr="0039130E">
        <w:t>,</w:t>
      </w:r>
      <w:r w:rsidR="00BC757E" w:rsidRPr="0039130E">
        <w:t xml:space="preserve"> and benchmark </w:t>
      </w:r>
      <w:r w:rsidR="00F3765C" w:rsidRPr="0039130E">
        <w:t>the</w:t>
      </w:r>
      <w:r w:rsidR="00BC757E" w:rsidRPr="0039130E">
        <w:t xml:space="preserve"> financial performance of the sector. </w:t>
      </w:r>
      <w:r w:rsidR="00B33626" w:rsidRPr="0039130E">
        <w:t xml:space="preserve">Ideally, there would be more information </w:t>
      </w:r>
      <w:r w:rsidR="00D50004" w:rsidRPr="0039130E">
        <w:t xml:space="preserve">available </w:t>
      </w:r>
      <w:r w:rsidR="00B33626" w:rsidRPr="0039130E">
        <w:t>for the NDIA on the true financial position of the providers delivering services within the sector</w:t>
      </w:r>
      <w:r w:rsidR="00663328" w:rsidRPr="0039130E">
        <w:t>,</w:t>
      </w:r>
      <w:r w:rsidR="000C4427" w:rsidRPr="0039130E">
        <w:t xml:space="preserve"> which helps with </w:t>
      </w:r>
      <w:r w:rsidR="00F3765C" w:rsidRPr="0039130E">
        <w:t xml:space="preserve">Government </w:t>
      </w:r>
      <w:r w:rsidR="000C4427" w:rsidRPr="0039130E">
        <w:t>policy planning and development</w:t>
      </w:r>
      <w:r w:rsidR="00B33626" w:rsidRPr="0039130E">
        <w:t>. This ensures there is representation across a range of organisations with different cost bases, sizes, and locations.</w:t>
      </w:r>
      <w:r w:rsidR="00C90B6F" w:rsidRPr="0039130E">
        <w:t xml:space="preserve"> </w:t>
      </w:r>
      <w:r w:rsidR="001B210C" w:rsidRPr="0039130E">
        <w:t>The</w:t>
      </w:r>
      <w:r w:rsidR="001B210C">
        <w:t xml:space="preserve"> NDIA’s ability to gauge the </w:t>
      </w:r>
      <w:r w:rsidR="00113759">
        <w:t xml:space="preserve">health of the market is greatly reduced in the absence of </w:t>
      </w:r>
      <w:r w:rsidR="00C95835">
        <w:t>these information.</w:t>
      </w:r>
    </w:p>
    <w:p w14:paraId="02CEFE38" w14:textId="5F239D1B" w:rsidR="004D187D" w:rsidRPr="007C18BE" w:rsidRDefault="00910653" w:rsidP="00910653">
      <w:r w:rsidRPr="007C18BE">
        <w:t xml:space="preserve">One model to </w:t>
      </w:r>
      <w:r w:rsidR="00BD02AA" w:rsidRPr="007C18BE">
        <w:t xml:space="preserve">consider is the mandatory financial reporting </w:t>
      </w:r>
      <w:r w:rsidR="008D5EF2" w:rsidRPr="007C18BE">
        <w:t xml:space="preserve">requirements in the </w:t>
      </w:r>
      <w:r w:rsidR="00007BD2" w:rsidRPr="007C18BE">
        <w:t>a</w:t>
      </w:r>
      <w:r w:rsidR="008D5EF2" w:rsidRPr="007C18BE">
        <w:t xml:space="preserve">ged care sector. </w:t>
      </w:r>
      <w:r w:rsidR="004B2063" w:rsidRPr="007C18BE">
        <w:t xml:space="preserve">Aged care businesses are legally bound by the </w:t>
      </w:r>
      <w:r w:rsidR="004B2063" w:rsidRPr="007C18BE">
        <w:rPr>
          <w:i/>
        </w:rPr>
        <w:t xml:space="preserve">Aged Care Act 1997 </w:t>
      </w:r>
      <w:r w:rsidR="004B2063" w:rsidRPr="007C18BE">
        <w:t xml:space="preserve">and </w:t>
      </w:r>
      <w:r w:rsidR="004B2063" w:rsidRPr="007C18BE">
        <w:rPr>
          <w:i/>
        </w:rPr>
        <w:t>Aged Care Quality and Safety Commission Act 2018</w:t>
      </w:r>
      <w:r w:rsidR="004B2063" w:rsidRPr="007C18BE">
        <w:t xml:space="preserve"> which stipulate the financial reporting obligations. </w:t>
      </w:r>
      <w:r w:rsidR="00E30EE3" w:rsidRPr="007C18BE">
        <w:t>This means that</w:t>
      </w:r>
      <w:r w:rsidR="004D187D" w:rsidRPr="007C18BE" w:rsidDel="00136B34">
        <w:t xml:space="preserve"> an approved provider</w:t>
      </w:r>
      <w:r w:rsidR="004D187D" w:rsidRPr="007C18BE">
        <w:t xml:space="preserve"> is deemed non-compliant if it fails to </w:t>
      </w:r>
      <w:r w:rsidR="00C17EB2" w:rsidRPr="007C18BE">
        <w:t xml:space="preserve">provide </w:t>
      </w:r>
      <w:r w:rsidR="004D3641" w:rsidRPr="007C18BE">
        <w:t xml:space="preserve">information on </w:t>
      </w:r>
      <w:r w:rsidR="004F6F71" w:rsidRPr="007C18BE">
        <w:t>its financial position.</w:t>
      </w:r>
      <w:r w:rsidR="005A56BD" w:rsidRPr="007C18BE">
        <w:t xml:space="preserve"> </w:t>
      </w:r>
      <w:r w:rsidR="004D187D" w:rsidRPr="007C18BE">
        <w:t xml:space="preserve">These laws establish the standards and guidelines that businesses must adhere to when preparing and submitting financial reports. </w:t>
      </w:r>
    </w:p>
    <w:p w14:paraId="70C6E8C2" w14:textId="728202F3" w:rsidR="00B33626" w:rsidRPr="00FB1417" w:rsidRDefault="005C3E4E" w:rsidP="00B33626">
      <w:pPr>
        <w:rPr>
          <w:b/>
          <w:bCs/>
          <w:noProof/>
        </w:rPr>
      </w:pPr>
      <w:r>
        <w:rPr>
          <w:noProof/>
        </w:rPr>
        <w:t>The</w:t>
      </w:r>
      <w:r w:rsidR="00B33626" w:rsidRPr="00FB1417">
        <w:rPr>
          <w:noProof/>
        </w:rPr>
        <w:t xml:space="preserve"> NDIA should explore options with the NDIS Review</w:t>
      </w:r>
      <w:r w:rsidR="00B33626" w:rsidRPr="00FB1417" w:rsidDel="00620AD8">
        <w:rPr>
          <w:noProof/>
        </w:rPr>
        <w:t xml:space="preserve"> </w:t>
      </w:r>
      <w:r w:rsidR="00B33626" w:rsidRPr="00FB1417">
        <w:rPr>
          <w:noProof/>
        </w:rPr>
        <w:t xml:space="preserve">on the possibility of creating a </w:t>
      </w:r>
      <w:r w:rsidR="00F95DCA">
        <w:rPr>
          <w:noProof/>
        </w:rPr>
        <w:t xml:space="preserve">new </w:t>
      </w:r>
      <w:r w:rsidR="00B33626" w:rsidRPr="00FB1417">
        <w:rPr>
          <w:noProof/>
        </w:rPr>
        <w:t xml:space="preserve">mandatory financial </w:t>
      </w:r>
      <w:r w:rsidR="00F95DCA">
        <w:rPr>
          <w:noProof/>
        </w:rPr>
        <w:t>requirements</w:t>
      </w:r>
      <w:r w:rsidR="00101853">
        <w:rPr>
          <w:noProof/>
        </w:rPr>
        <w:t xml:space="preserve">. As a start, pilots </w:t>
      </w:r>
      <w:r w:rsidR="005C1E04">
        <w:rPr>
          <w:noProof/>
        </w:rPr>
        <w:t xml:space="preserve">should be undertaken in areas such as </w:t>
      </w:r>
      <w:r w:rsidR="00B33626" w:rsidRPr="00FB1417">
        <w:rPr>
          <w:noProof/>
        </w:rPr>
        <w:t>disability support worker-related supports. This is to ensure the NDIA has sufficient information available on the financial position of providers to assist in its role as market steward and inform its pricing review process.</w:t>
      </w:r>
    </w:p>
    <w:p w14:paraId="19DC4687" w14:textId="139716ED" w:rsidR="00B33626" w:rsidRPr="00FB1417" w:rsidRDefault="00B33626" w:rsidP="00B33626">
      <w:pPr>
        <w:pStyle w:val="RecHeading"/>
      </w:pPr>
      <w:r w:rsidRPr="00FB1417">
        <w:lastRenderedPageBreak/>
        <w:t xml:space="preserve">Recommendation </w:t>
      </w:r>
      <w:r w:rsidR="00E11CC2">
        <w:t>16</w:t>
      </w:r>
    </w:p>
    <w:p w14:paraId="328A59D3" w14:textId="30282D7B" w:rsidR="00B33626" w:rsidRPr="00FB1417" w:rsidRDefault="00B33626" w:rsidP="00B33626">
      <w:pPr>
        <w:pStyle w:val="DotPoint"/>
        <w:numPr>
          <w:ilvl w:val="0"/>
          <w:numId w:val="0"/>
        </w:numPr>
        <w:ind w:left="284"/>
        <w:rPr>
          <w:i/>
          <w:color w:val="6B2976" w:themeColor="accent1"/>
        </w:rPr>
      </w:pPr>
      <w:r w:rsidRPr="00FB1417">
        <w:rPr>
          <w:i/>
          <w:color w:val="6B2976" w:themeColor="accent1"/>
        </w:rPr>
        <w:t xml:space="preserve">The NDIA should explore options with the NDIS Review on the potential for mandatory financial reporting from NDIS providers on certain financial metrics to assist the NDIA in its market steward role. </w:t>
      </w:r>
    </w:p>
    <w:p w14:paraId="00A4B0A6" w14:textId="77777777" w:rsidR="00B33626" w:rsidRDefault="00B33626" w:rsidP="00B33626"/>
    <w:p w14:paraId="38D36471" w14:textId="3326B12C" w:rsidR="00D858EE" w:rsidRDefault="00D858EE" w:rsidP="00B33626">
      <w:pPr>
        <w:pStyle w:val="RecText"/>
        <w:ind w:left="0"/>
        <w:sectPr w:rsidR="00D858EE" w:rsidSect="00E208B3">
          <w:endnotePr>
            <w:numFmt w:val="decimal"/>
            <w:numRestart w:val="eachSect"/>
          </w:endnotePr>
          <w:pgSz w:w="11907" w:h="16839" w:code="9"/>
          <w:pgMar w:top="1080" w:right="1440" w:bottom="1276" w:left="1440" w:header="709" w:footer="709" w:gutter="0"/>
          <w:cols w:space="708"/>
          <w:docGrid w:linePitch="360"/>
        </w:sectPr>
      </w:pPr>
    </w:p>
    <w:p w14:paraId="18CE442B" w14:textId="48C99BD1" w:rsidR="002550BE" w:rsidRPr="00EB02D9" w:rsidRDefault="00E94826" w:rsidP="009C6680">
      <w:pPr>
        <w:pStyle w:val="Heading2"/>
        <w:numPr>
          <w:ilvl w:val="0"/>
          <w:numId w:val="0"/>
        </w:numPr>
        <w:ind w:left="432" w:hanging="432"/>
        <w:rPr>
          <w:rStyle w:val="normaltextrun"/>
          <w:b w:val="0"/>
          <w:i/>
          <w:color w:val="6B2976" w:themeColor="text1"/>
          <w:sz w:val="22"/>
          <w:szCs w:val="24"/>
        </w:rPr>
      </w:pPr>
      <w:r w:rsidRPr="00EB02D9">
        <w:lastRenderedPageBreak/>
        <w:t>Appendix A</w:t>
      </w:r>
      <w:r w:rsidR="00D82D28" w:rsidRPr="00EB02D9">
        <w:t xml:space="preserve"> </w:t>
      </w:r>
      <w:r w:rsidR="002B0448" w:rsidRPr="00EB02D9">
        <w:t>–</w:t>
      </w:r>
      <w:r w:rsidR="00D82D28" w:rsidRPr="00EB02D9">
        <w:t xml:space="preserve"> Feedback from the Consultation Paper</w:t>
      </w:r>
    </w:p>
    <w:p w14:paraId="3C19F439" w14:textId="77777777" w:rsidR="002550BE" w:rsidRPr="00F528BE" w:rsidRDefault="002550BE" w:rsidP="009C6680">
      <w:pPr>
        <w:pStyle w:val="Heading3"/>
        <w:ind w:left="0"/>
      </w:pPr>
      <w:r w:rsidRPr="00F528BE">
        <w:t>Overview</w:t>
      </w:r>
    </w:p>
    <w:p w14:paraId="01A032ED" w14:textId="5EDA9467" w:rsidR="002550BE" w:rsidRPr="00042AE5" w:rsidRDefault="002550BE" w:rsidP="00042AE5">
      <w:r w:rsidRPr="00042AE5">
        <w:t xml:space="preserve">A </w:t>
      </w:r>
      <w:r w:rsidR="00135171">
        <w:t>C</w:t>
      </w:r>
      <w:r w:rsidRPr="00042AE5">
        <w:t xml:space="preserve">onsultation </w:t>
      </w:r>
      <w:r w:rsidR="00135171">
        <w:t>P</w:t>
      </w:r>
      <w:r w:rsidRPr="00042AE5">
        <w:t>aper was released on 17 March 2023 to assist stakeholders to prepare a submission to the APR. Submissions closed on AEST 11:59pm Thursday 13 April 2023 with 304 submissions received in total.  </w:t>
      </w:r>
    </w:p>
    <w:p w14:paraId="5993276B" w14:textId="6B782D53" w:rsidR="00042AE5" w:rsidRPr="00042AE5" w:rsidRDefault="002550BE" w:rsidP="00042AE5">
      <w:pPr>
        <w:rPr>
          <w:rStyle w:val="normaltextrun"/>
        </w:rPr>
      </w:pPr>
      <w:r w:rsidRPr="00042AE5">
        <w:t>Most submissions were from provider organisations (165) and employees/workers (96). A small number of submissions (12) were received from participants and their representatives. Submissions were also received from professional bodies (15), provider peak bodies (9), government entities (3), advocacy groups (3) and workers unions (1).</w:t>
      </w:r>
    </w:p>
    <w:p w14:paraId="385D368B" w14:textId="150DF286" w:rsidR="002550BE" w:rsidRPr="000708DF" w:rsidRDefault="002550BE" w:rsidP="00D9646F">
      <w:pPr>
        <w:pStyle w:val="Heading3"/>
      </w:pPr>
      <w:r w:rsidRPr="000708DF">
        <w:t xml:space="preserve">Labour market </w:t>
      </w:r>
    </w:p>
    <w:p w14:paraId="6E4ACCEA" w14:textId="03850E9C" w:rsidR="00042AE5" w:rsidRPr="00042AE5" w:rsidRDefault="002550BE" w:rsidP="002550BE">
      <w:r w:rsidRPr="00042AE5">
        <w:t>Of 304 submissions received, 76 related to the labour market. These responses were submitted by providers of various supports, plan managers, employees/workers, professional bodies</w:t>
      </w:r>
      <w:r w:rsidR="002D43F6">
        <w:t>,</w:t>
      </w:r>
      <w:r w:rsidRPr="00042AE5">
        <w:t xml:space="preserve"> and provider peak bodies with one submission from an advocacy group and one from a government body. </w:t>
      </w:r>
    </w:p>
    <w:p w14:paraId="1D4F472F" w14:textId="32B6EB7F" w:rsidR="002550BE" w:rsidRPr="00042AE5" w:rsidRDefault="002550BE" w:rsidP="002550BE">
      <w:pPr>
        <w:rPr>
          <w:rFonts w:asciiTheme="majorHAnsi" w:hAnsiTheme="majorHAnsi" w:cstheme="majorHAnsi"/>
          <w:b/>
          <w:bCs/>
          <w:szCs w:val="22"/>
          <w:u w:val="single"/>
        </w:rPr>
      </w:pPr>
      <w:r w:rsidRPr="00042AE5">
        <w:rPr>
          <w:rFonts w:asciiTheme="majorHAnsi" w:hAnsiTheme="majorHAnsi" w:cstheme="majorHAnsi"/>
          <w:b/>
          <w:bCs/>
          <w:szCs w:val="22"/>
          <w:u w:val="single"/>
        </w:rPr>
        <w:t>Providers</w:t>
      </w:r>
    </w:p>
    <w:p w14:paraId="056A96AB" w14:textId="77777777" w:rsidR="002550BE" w:rsidRPr="00042AE5" w:rsidRDefault="002550BE" w:rsidP="002550BE">
      <w:r w:rsidRPr="00042AE5">
        <w:t xml:space="preserve">It was widely recognised by providers that the labour market, not just in the disability and NDIS sectors, but also in the broader economy, has become increasingly tight in recent years. This observation has been repeatedly highlighted in various submissions, where employers have expressed difficulties in attracting and retaining staff due to the ongoing escalation of the cost of living. This situation has led to a situation where wages have not kept in pace with the increasing expenses, creating an unsustainable environment for both employees and employers. </w:t>
      </w:r>
    </w:p>
    <w:p w14:paraId="6522C143" w14:textId="4F91DDC5" w:rsidR="002550BE" w:rsidRPr="00042AE5" w:rsidRDefault="002550BE" w:rsidP="002550BE">
      <w:r w:rsidRPr="00042AE5">
        <w:t>An exercise physiologist stated in a submission that:</w:t>
      </w:r>
    </w:p>
    <w:p w14:paraId="015D0873" w14:textId="77777777" w:rsidR="002550BE" w:rsidRPr="00CC1EF9" w:rsidRDefault="002550BE" w:rsidP="002550BE">
      <w:pPr>
        <w:ind w:left="426"/>
        <w:rPr>
          <w:rFonts w:asciiTheme="majorHAnsi" w:hAnsiTheme="majorHAnsi" w:cstheme="majorHAnsi"/>
          <w:i/>
          <w:iCs/>
          <w:szCs w:val="22"/>
        </w:rPr>
      </w:pPr>
      <w:r w:rsidRPr="00CC1EF9">
        <w:rPr>
          <w:rFonts w:asciiTheme="majorHAnsi" w:hAnsiTheme="majorHAnsi" w:cstheme="majorHAnsi"/>
          <w:i/>
          <w:iCs/>
          <w:szCs w:val="22"/>
        </w:rPr>
        <w:t xml:space="preserve">The lack of indexing fees against CPI has eroded the sustainability of providing high level support to NDIS patients through more experienced professionals and resulted in them being serviced by less experienced physiologists. </w:t>
      </w:r>
    </w:p>
    <w:p w14:paraId="36E3F773" w14:textId="3E81E701" w:rsidR="00EB582F" w:rsidRDefault="002550BE" w:rsidP="002550BE">
      <w:pPr>
        <w:rPr>
          <w:rFonts w:asciiTheme="majorHAnsi" w:hAnsiTheme="majorHAnsi" w:cstheme="majorHAnsi"/>
          <w:szCs w:val="22"/>
        </w:rPr>
      </w:pPr>
      <w:r w:rsidRPr="00CC1EF9">
        <w:rPr>
          <w:rFonts w:asciiTheme="majorHAnsi" w:hAnsiTheme="majorHAnsi" w:cstheme="majorHAnsi"/>
          <w:szCs w:val="22"/>
        </w:rPr>
        <w:t xml:space="preserve">Providers noted on several occasions that experienced professionals are taking up higher paid jobs elsewhere and in different sectors as there has been a disconnect between pricing arrangements and wages. </w:t>
      </w:r>
    </w:p>
    <w:p w14:paraId="320373CE" w14:textId="77777777" w:rsidR="00EB582F" w:rsidRPr="00CC1EF9" w:rsidRDefault="00EB582F" w:rsidP="00EB582F">
      <w:pPr>
        <w:rPr>
          <w:rFonts w:asciiTheme="majorHAnsi" w:hAnsiTheme="majorHAnsi" w:cstheme="majorHAnsi"/>
          <w:szCs w:val="22"/>
        </w:rPr>
      </w:pPr>
      <w:r w:rsidRPr="00CC1EF9">
        <w:rPr>
          <w:rFonts w:asciiTheme="majorHAnsi" w:hAnsiTheme="majorHAnsi" w:cstheme="majorHAnsi"/>
          <w:szCs w:val="22"/>
        </w:rPr>
        <w:t>Multiple Sclerosis Australia in their submission stated:</w:t>
      </w:r>
    </w:p>
    <w:p w14:paraId="1887EFB3" w14:textId="6D3A9287" w:rsidR="00EB582F" w:rsidRPr="00EB582F" w:rsidRDefault="00EB582F" w:rsidP="00EB582F">
      <w:pPr>
        <w:ind w:left="426"/>
        <w:rPr>
          <w:rFonts w:asciiTheme="majorHAnsi" w:hAnsiTheme="majorHAnsi" w:cstheme="majorHAnsi"/>
          <w:i/>
          <w:iCs/>
          <w:szCs w:val="22"/>
        </w:rPr>
      </w:pPr>
      <w:r w:rsidRPr="00CC1EF9">
        <w:rPr>
          <w:rFonts w:asciiTheme="majorHAnsi" w:hAnsiTheme="majorHAnsi" w:cstheme="majorHAnsi"/>
          <w:i/>
          <w:iCs/>
          <w:szCs w:val="22"/>
        </w:rPr>
        <w:t xml:space="preserve">Staff turnover is primarily driven by staff moving to higher paid positions. To offer competitive wages results in a significant loss. </w:t>
      </w:r>
    </w:p>
    <w:p w14:paraId="21B98F64"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One provider noted that the NDIS pricing arrangements and price limits have not assisted them to hire and retain workers compared to other sectors and the private market. </w:t>
      </w:r>
    </w:p>
    <w:p w14:paraId="66BEA0A1"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It was noted by providers that the current mandatory requirements for working in the sector can be complex and difficult to navigate, which can create barriers for workers looking to move between different roles or providers. To address this, it has been suggested that efforts be made to simplify these requirements, and to ensure that skills and training obtained in one setting are recognised and transferable to others. </w:t>
      </w:r>
    </w:p>
    <w:p w14:paraId="3A252E42"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lastRenderedPageBreak/>
        <w:t>One provider in their submission recommended that:</w:t>
      </w:r>
    </w:p>
    <w:p w14:paraId="3F6C77CA" w14:textId="0A972EA5" w:rsidR="002550BE" w:rsidRDefault="002550BE" w:rsidP="002550BE">
      <w:pPr>
        <w:ind w:left="426"/>
        <w:rPr>
          <w:rFonts w:asciiTheme="majorHAnsi" w:hAnsiTheme="majorHAnsi" w:cstheme="majorHAnsi"/>
          <w:i/>
          <w:iCs/>
          <w:szCs w:val="22"/>
        </w:rPr>
      </w:pPr>
      <w:r w:rsidRPr="00CC1EF9">
        <w:rPr>
          <w:rFonts w:asciiTheme="majorHAnsi" w:hAnsiTheme="majorHAnsi" w:cstheme="majorHAnsi"/>
          <w:szCs w:val="22"/>
        </w:rPr>
        <w:t>S</w:t>
      </w:r>
      <w:r w:rsidRPr="00CC1EF9">
        <w:rPr>
          <w:rFonts w:asciiTheme="majorHAnsi" w:hAnsiTheme="majorHAnsi" w:cstheme="majorHAnsi"/>
          <w:i/>
          <w:iCs/>
          <w:szCs w:val="22"/>
        </w:rPr>
        <w:t>upport work should be made a career and not a job with pay to reflect a job; and to simplify the mandatory requirements so that skills and training are transferable.</w:t>
      </w:r>
    </w:p>
    <w:p w14:paraId="05FFB52E" w14:textId="67307DF1" w:rsidR="002550BE" w:rsidRPr="00042AE5" w:rsidRDefault="002550BE" w:rsidP="002550BE">
      <w:pPr>
        <w:rPr>
          <w:rFonts w:asciiTheme="majorHAnsi" w:hAnsiTheme="majorHAnsi" w:cstheme="majorHAnsi"/>
          <w:b/>
          <w:bCs/>
          <w:szCs w:val="22"/>
          <w:u w:val="single"/>
        </w:rPr>
      </w:pPr>
      <w:r w:rsidRPr="00042AE5">
        <w:rPr>
          <w:rFonts w:asciiTheme="majorHAnsi" w:hAnsiTheme="majorHAnsi" w:cstheme="majorHAnsi"/>
          <w:b/>
          <w:bCs/>
          <w:szCs w:val="22"/>
          <w:u w:val="single"/>
        </w:rPr>
        <w:t xml:space="preserve">Provider </w:t>
      </w:r>
      <w:r w:rsidR="00062971">
        <w:rPr>
          <w:rFonts w:asciiTheme="majorHAnsi" w:hAnsiTheme="majorHAnsi" w:cstheme="majorHAnsi"/>
          <w:b/>
          <w:bCs/>
          <w:szCs w:val="22"/>
          <w:u w:val="single"/>
        </w:rPr>
        <w:t>p</w:t>
      </w:r>
      <w:r w:rsidRPr="00042AE5">
        <w:rPr>
          <w:rFonts w:asciiTheme="majorHAnsi" w:hAnsiTheme="majorHAnsi" w:cstheme="majorHAnsi"/>
          <w:b/>
          <w:bCs/>
          <w:szCs w:val="22"/>
          <w:u w:val="single"/>
        </w:rPr>
        <w:t xml:space="preserve">eak </w:t>
      </w:r>
      <w:r w:rsidR="00062971">
        <w:rPr>
          <w:rFonts w:asciiTheme="majorHAnsi" w:hAnsiTheme="majorHAnsi" w:cstheme="majorHAnsi"/>
          <w:b/>
          <w:bCs/>
          <w:szCs w:val="22"/>
          <w:u w:val="single"/>
        </w:rPr>
        <w:t>b</w:t>
      </w:r>
      <w:r w:rsidRPr="00042AE5">
        <w:rPr>
          <w:rFonts w:asciiTheme="majorHAnsi" w:hAnsiTheme="majorHAnsi" w:cstheme="majorHAnsi"/>
          <w:b/>
          <w:bCs/>
          <w:szCs w:val="22"/>
          <w:u w:val="single"/>
        </w:rPr>
        <w:t>odies</w:t>
      </w:r>
    </w:p>
    <w:p w14:paraId="3DD6616E"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Provider peak bodies held similar sentiment that workforce turnover was high and that there needs to be a particular focus on how to attract, retain and enhance workers capabilities for the disability sector over the long term.</w:t>
      </w:r>
    </w:p>
    <w:p w14:paraId="646489E2"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It was highlighted that a significant proportion of disability support workers lack formal qualifications, with many instead opting to attend TAFE courses to obtain certification before entering the workforce. However, it has been noted that many workers will subsequently leave their roles with providers after only a few months, to establish themselves as independent practitioners. </w:t>
      </w:r>
    </w:p>
    <w:p w14:paraId="000A838A" w14:textId="3FCC0BE4"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Ability Roundtable stated that:</w:t>
      </w:r>
    </w:p>
    <w:p w14:paraId="2E64EFD8" w14:textId="77777777" w:rsidR="002550BE" w:rsidRPr="00CC1EF9" w:rsidRDefault="002550BE" w:rsidP="002550BE">
      <w:pPr>
        <w:ind w:left="426"/>
        <w:rPr>
          <w:rFonts w:asciiTheme="majorHAnsi" w:hAnsiTheme="majorHAnsi" w:cstheme="majorHAnsi"/>
          <w:i/>
          <w:iCs/>
          <w:szCs w:val="22"/>
        </w:rPr>
      </w:pPr>
      <w:r w:rsidRPr="00CC1EF9">
        <w:rPr>
          <w:rFonts w:asciiTheme="majorHAnsi" w:hAnsiTheme="majorHAnsi" w:cstheme="majorHAnsi"/>
          <w:i/>
          <w:iCs/>
          <w:szCs w:val="22"/>
        </w:rPr>
        <w:t xml:space="preserve">Roundtable data provides clear evidence that many employees recruited and trained within the disability workforce are leaving the workforce, particularly employees under 30 years of age and those who have been in the NDIS workforce for less than 3 years. </w:t>
      </w:r>
    </w:p>
    <w:p w14:paraId="7151F979"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This was supported by National Disability Services who advised that the impact of labour shortages and wage growth directly influences a provider’s bottom line, and the Aged Care Award increase will make it more difficult to attract DSW workers. </w:t>
      </w:r>
    </w:p>
    <w:p w14:paraId="70DC93C9" w14:textId="4A5C77C4" w:rsidR="002550BE" w:rsidRPr="00042AE5" w:rsidRDefault="002550BE" w:rsidP="002550BE">
      <w:pPr>
        <w:rPr>
          <w:rFonts w:asciiTheme="majorHAnsi" w:hAnsiTheme="majorHAnsi" w:cstheme="majorHAnsi"/>
          <w:b/>
          <w:bCs/>
          <w:szCs w:val="22"/>
          <w:u w:val="single"/>
        </w:rPr>
      </w:pPr>
      <w:r w:rsidRPr="00042AE5">
        <w:rPr>
          <w:rFonts w:asciiTheme="majorHAnsi" w:hAnsiTheme="majorHAnsi" w:cstheme="majorHAnsi"/>
          <w:b/>
          <w:bCs/>
          <w:szCs w:val="22"/>
          <w:u w:val="single"/>
        </w:rPr>
        <w:t xml:space="preserve">Professional </w:t>
      </w:r>
      <w:r w:rsidR="00062971">
        <w:rPr>
          <w:rFonts w:asciiTheme="majorHAnsi" w:hAnsiTheme="majorHAnsi" w:cstheme="majorHAnsi"/>
          <w:b/>
          <w:bCs/>
          <w:szCs w:val="22"/>
          <w:u w:val="single"/>
        </w:rPr>
        <w:t>b</w:t>
      </w:r>
      <w:r w:rsidRPr="00042AE5">
        <w:rPr>
          <w:rFonts w:asciiTheme="majorHAnsi" w:hAnsiTheme="majorHAnsi" w:cstheme="majorHAnsi"/>
          <w:b/>
          <w:bCs/>
          <w:szCs w:val="22"/>
          <w:u w:val="single"/>
        </w:rPr>
        <w:t>odies</w:t>
      </w:r>
    </w:p>
    <w:p w14:paraId="591E7789" w14:textId="7E4C41AD"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The shortage of skilled labour in the disability support sector was also echoed by professional bodies, particularly as many qualified workers </w:t>
      </w:r>
      <w:r w:rsidR="00FF76AD" w:rsidRPr="00CC1EF9">
        <w:rPr>
          <w:rFonts w:asciiTheme="majorHAnsi" w:hAnsiTheme="majorHAnsi" w:cstheme="majorHAnsi"/>
          <w:szCs w:val="22"/>
        </w:rPr>
        <w:t>can</w:t>
      </w:r>
      <w:r w:rsidRPr="00CC1EF9">
        <w:rPr>
          <w:rFonts w:asciiTheme="majorHAnsi" w:hAnsiTheme="majorHAnsi" w:cstheme="majorHAnsi"/>
          <w:szCs w:val="22"/>
        </w:rPr>
        <w:t xml:space="preserve"> command higher rates by working independently due to their lower overhead costs. </w:t>
      </w:r>
    </w:p>
    <w:p w14:paraId="217664DD" w14:textId="357078B5"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Several submissions have put forward a proposal to address the labour shortage in the disability sector by investing more efforts to attract students who might be interested in pursuing careers in allied health. To achieve this, it has been suggested that practical and relevant experience be integrated into the curricula of relevant courses, </w:t>
      </w:r>
      <w:r w:rsidR="00FF76AD" w:rsidRPr="00CC1EF9">
        <w:rPr>
          <w:rFonts w:asciiTheme="majorHAnsi" w:hAnsiTheme="majorHAnsi" w:cstheme="majorHAnsi"/>
          <w:szCs w:val="22"/>
        </w:rPr>
        <w:t>to</w:t>
      </w:r>
      <w:r w:rsidRPr="00CC1EF9">
        <w:rPr>
          <w:rFonts w:asciiTheme="majorHAnsi" w:hAnsiTheme="majorHAnsi" w:cstheme="majorHAnsi"/>
          <w:szCs w:val="22"/>
        </w:rPr>
        <w:t xml:space="preserve"> demonstrate the viability of a career in this industry.</w:t>
      </w:r>
    </w:p>
    <w:p w14:paraId="16FCEDA2" w14:textId="4F05412F" w:rsidR="002550BE" w:rsidRPr="00803B72" w:rsidRDefault="002550BE" w:rsidP="00042AE5">
      <w:pPr>
        <w:rPr>
          <w:rFonts w:asciiTheme="majorHAnsi" w:hAnsiTheme="majorHAnsi" w:cstheme="majorHAnsi"/>
          <w:szCs w:val="22"/>
        </w:rPr>
      </w:pPr>
      <w:r w:rsidRPr="00CC1EF9">
        <w:rPr>
          <w:rFonts w:asciiTheme="majorHAnsi" w:hAnsiTheme="majorHAnsi" w:cstheme="majorHAnsi"/>
          <w:szCs w:val="22"/>
        </w:rPr>
        <w:t>By providing students with the opportunity to gain practical experience in the disability sector, it is hoped that they will be better equipped to make informed decisions about their future career pathways. Moreover, the development of such opportunities can also help to address the current shortage of skilled labour in the sector by nurturing a pipeline of talent that is well-versed in the specific needs and challenges faced by the industry.</w:t>
      </w:r>
    </w:p>
    <w:p w14:paraId="003516B4" w14:textId="77777777" w:rsidR="002550BE" w:rsidRPr="00803B72" w:rsidRDefault="002550BE" w:rsidP="00D9646F">
      <w:pPr>
        <w:pStyle w:val="Heading3"/>
        <w:rPr>
          <w:rStyle w:val="normaltextrun"/>
        </w:rPr>
      </w:pPr>
      <w:r w:rsidRPr="00803B72">
        <w:rPr>
          <w:rStyle w:val="normaltextrun"/>
        </w:rPr>
        <w:t xml:space="preserve">Registration costs </w:t>
      </w:r>
    </w:p>
    <w:p w14:paraId="20D25AE9" w14:textId="77777777"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 xml:space="preserve">There were 66 submissions relating to registration costs including quality and safeguarding. These came from providers of various supports, plan managers, employees/workers, professional bodies and provider peak bodies and an advocacy group.  </w:t>
      </w:r>
    </w:p>
    <w:p w14:paraId="475CED1A" w14:textId="0EA34CD1" w:rsidR="002550BE" w:rsidRPr="00042AE5" w:rsidRDefault="002550BE" w:rsidP="002550BE">
      <w:pPr>
        <w:rPr>
          <w:rFonts w:asciiTheme="majorHAnsi" w:hAnsiTheme="majorHAnsi" w:cstheme="majorHAnsi"/>
          <w:b/>
          <w:bCs/>
          <w:szCs w:val="22"/>
          <w:u w:val="single"/>
        </w:rPr>
      </w:pPr>
      <w:r w:rsidRPr="00042AE5">
        <w:rPr>
          <w:rFonts w:asciiTheme="majorHAnsi" w:hAnsiTheme="majorHAnsi" w:cstheme="majorHAnsi"/>
          <w:b/>
          <w:bCs/>
          <w:szCs w:val="22"/>
          <w:u w:val="single"/>
        </w:rPr>
        <w:t>Providers</w:t>
      </w:r>
    </w:p>
    <w:p w14:paraId="5300D510" w14:textId="62F536E9" w:rsidR="002550BE" w:rsidRDefault="002550BE" w:rsidP="002550BE">
      <w:pPr>
        <w:rPr>
          <w:rFonts w:asciiTheme="majorHAnsi" w:hAnsiTheme="majorHAnsi" w:cstheme="majorHAnsi"/>
          <w:szCs w:val="22"/>
        </w:rPr>
      </w:pPr>
      <w:r w:rsidRPr="00CC1EF9">
        <w:rPr>
          <w:rFonts w:asciiTheme="majorHAnsi" w:hAnsiTheme="majorHAnsi" w:cstheme="majorHAnsi"/>
          <w:szCs w:val="22"/>
        </w:rPr>
        <w:t xml:space="preserve">Numerous providers indicated that the registration process is perceived as both time-consuming and costly for businesses, irrespective of the size of the business. Providers stated that they face a significant administrative burden as they dedicate resources to monitor and ensure compliance, onboard new staff, and implement complex administration </w:t>
      </w:r>
      <w:r w:rsidRPr="00CC1EF9">
        <w:rPr>
          <w:rFonts w:asciiTheme="majorHAnsi" w:hAnsiTheme="majorHAnsi" w:cstheme="majorHAnsi"/>
          <w:szCs w:val="22"/>
        </w:rPr>
        <w:lastRenderedPageBreak/>
        <w:t>systems, which detracts from their core business activities. Several submissions highlight the need for businesses to hire additional staff to manage the</w:t>
      </w:r>
      <w:r w:rsidR="002B0448" w:rsidRPr="00CC1EF9">
        <w:rPr>
          <w:rFonts w:asciiTheme="majorHAnsi" w:hAnsiTheme="majorHAnsi" w:cstheme="majorHAnsi"/>
          <w:szCs w:val="22"/>
        </w:rPr>
        <w:t xml:space="preserve"> </w:t>
      </w:r>
      <w:r w:rsidRPr="00CC1EF9">
        <w:rPr>
          <w:rFonts w:asciiTheme="majorHAnsi" w:hAnsiTheme="majorHAnsi" w:cstheme="majorHAnsi"/>
          <w:szCs w:val="22"/>
        </w:rPr>
        <w:t xml:space="preserve">compliance and registration requirements and propose for simpler and a more streamlined registration and compliance process. </w:t>
      </w:r>
    </w:p>
    <w:p w14:paraId="1A4BD6B9" w14:textId="770A144A" w:rsidR="004400F2" w:rsidRPr="00CC1EF9" w:rsidRDefault="004400F2" w:rsidP="004400F2">
      <w:pPr>
        <w:rPr>
          <w:rFonts w:asciiTheme="majorHAnsi" w:hAnsiTheme="majorHAnsi" w:cstheme="majorHAnsi"/>
          <w:szCs w:val="22"/>
        </w:rPr>
      </w:pPr>
      <w:r w:rsidRPr="00CC1EF9">
        <w:rPr>
          <w:rFonts w:asciiTheme="majorHAnsi" w:hAnsiTheme="majorHAnsi" w:cstheme="majorHAnsi"/>
          <w:szCs w:val="22"/>
        </w:rPr>
        <w:t xml:space="preserve">The submission from Spinal Cord Injuries Australia stated that: </w:t>
      </w:r>
    </w:p>
    <w:p w14:paraId="1DF6A605" w14:textId="6A7946EE" w:rsidR="004400F2" w:rsidRPr="00042AE5" w:rsidRDefault="004400F2" w:rsidP="004400F2">
      <w:pPr>
        <w:rPr>
          <w:rFonts w:asciiTheme="majorHAnsi" w:hAnsiTheme="majorHAnsi" w:cstheme="majorHAnsi"/>
          <w:szCs w:val="22"/>
        </w:rPr>
      </w:pPr>
      <w:r w:rsidRPr="00042AE5">
        <w:rPr>
          <w:rFonts w:asciiTheme="majorHAnsi" w:hAnsiTheme="majorHAnsi" w:cstheme="majorHAnsi"/>
          <w:i/>
          <w:iCs/>
          <w:szCs w:val="22"/>
        </w:rPr>
        <w:t>The administration tasks associated with compliance obligations, registration and managing the Clinical Governance Committee are complex, time consuming and costly. The high costs associated with registration are not currently reflected in the pricing structure of the NDIS. This creates challenges for registered providers to remain financially sustainable in the long term.</w:t>
      </w:r>
    </w:p>
    <w:p w14:paraId="61FA9FC0" w14:textId="17A20724" w:rsidR="002550BE" w:rsidRPr="00CC1EF9" w:rsidRDefault="004400F2" w:rsidP="002550BE">
      <w:pPr>
        <w:rPr>
          <w:rFonts w:asciiTheme="majorHAnsi" w:hAnsiTheme="majorHAnsi" w:cstheme="majorHAnsi"/>
          <w:szCs w:val="22"/>
        </w:rPr>
      </w:pPr>
      <w:r>
        <w:rPr>
          <w:rFonts w:asciiTheme="majorHAnsi" w:hAnsiTheme="majorHAnsi" w:cstheme="majorHAnsi"/>
          <w:szCs w:val="22"/>
        </w:rPr>
        <w:t xml:space="preserve">Another </w:t>
      </w:r>
      <w:r w:rsidR="002550BE" w:rsidRPr="00CC1EF9">
        <w:rPr>
          <w:rFonts w:asciiTheme="majorHAnsi" w:hAnsiTheme="majorHAnsi" w:cstheme="majorHAnsi"/>
          <w:szCs w:val="22"/>
        </w:rPr>
        <w:t>provider noted that:</w:t>
      </w:r>
    </w:p>
    <w:p w14:paraId="4084044F" w14:textId="171AF418" w:rsidR="002550BE" w:rsidRPr="00042AE5" w:rsidRDefault="2E1A7215" w:rsidP="24862EB2">
      <w:pPr>
        <w:ind w:left="720"/>
        <w:rPr>
          <w:rFonts w:asciiTheme="majorHAnsi" w:hAnsiTheme="majorHAnsi" w:cstheme="majorBidi"/>
          <w:i/>
          <w:iCs/>
        </w:rPr>
      </w:pPr>
      <w:bookmarkStart w:id="144" w:name="_Int_xZ6SIY13"/>
      <w:proofErr w:type="gramStart"/>
      <w:r w:rsidRPr="24862EB2">
        <w:rPr>
          <w:rFonts w:asciiTheme="majorHAnsi" w:hAnsiTheme="majorHAnsi" w:cstheme="majorBidi"/>
          <w:i/>
          <w:iCs/>
        </w:rPr>
        <w:t>Generally</w:t>
      </w:r>
      <w:bookmarkEnd w:id="144"/>
      <w:proofErr w:type="gramEnd"/>
      <w:r w:rsidRPr="24862EB2">
        <w:rPr>
          <w:rFonts w:asciiTheme="majorHAnsi" w:hAnsiTheme="majorHAnsi" w:cstheme="majorBidi"/>
          <w:i/>
          <w:iCs/>
        </w:rPr>
        <w:t xml:space="preserve"> the time spent on NDIS administrative/registration tasks have increased over the last year. While worker and participant numbers have </w:t>
      </w:r>
      <w:bookmarkStart w:id="145" w:name="_Int_bvUUlfLL"/>
      <w:r w:rsidRPr="24862EB2">
        <w:rPr>
          <w:rFonts w:asciiTheme="majorHAnsi" w:hAnsiTheme="majorHAnsi" w:cstheme="majorBidi"/>
          <w:i/>
          <w:iCs/>
        </w:rPr>
        <w:t>largely remained</w:t>
      </w:r>
      <w:bookmarkEnd w:id="145"/>
      <w:r w:rsidRPr="24862EB2">
        <w:rPr>
          <w:rFonts w:asciiTheme="majorHAnsi" w:hAnsiTheme="majorHAnsi" w:cstheme="majorBidi"/>
          <w:i/>
          <w:iCs/>
        </w:rPr>
        <w:t xml:space="preserve"> stable during this period; compliance tasks have increased.</w:t>
      </w:r>
    </w:p>
    <w:p w14:paraId="23A6146E"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A common theme seen in many submissions from providers surrounded the confusion caused by changes to the NDIS price guide due to the changes in SCHADS award. </w:t>
      </w:r>
    </w:p>
    <w:p w14:paraId="356A8F9C" w14:textId="77777777"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One provider in their submission stated that:</w:t>
      </w:r>
    </w:p>
    <w:p w14:paraId="541430BB" w14:textId="77777777" w:rsidR="002550BE" w:rsidRPr="00042AE5" w:rsidRDefault="002550BE" w:rsidP="00042AE5">
      <w:pPr>
        <w:ind w:left="720"/>
        <w:rPr>
          <w:rFonts w:asciiTheme="majorHAnsi" w:hAnsiTheme="majorHAnsi" w:cstheme="majorHAnsi"/>
          <w:i/>
          <w:iCs/>
          <w:szCs w:val="22"/>
        </w:rPr>
      </w:pPr>
      <w:r w:rsidRPr="00042AE5">
        <w:rPr>
          <w:rFonts w:asciiTheme="majorHAnsi" w:hAnsiTheme="majorHAnsi" w:cstheme="majorHAnsi"/>
          <w:i/>
          <w:iCs/>
          <w:szCs w:val="22"/>
        </w:rPr>
        <w:t>The complexity of this inter-relationship is a high cost to any business trying to navigate a compliant approach with multiple agencies.</w:t>
      </w:r>
    </w:p>
    <w:p w14:paraId="259E66B4" w14:textId="0B20E9DE" w:rsidR="002550BE" w:rsidRPr="00CC1EF9" w:rsidRDefault="002550BE" w:rsidP="002550BE">
      <w:pPr>
        <w:rPr>
          <w:rFonts w:asciiTheme="majorHAnsi" w:hAnsiTheme="majorHAnsi" w:cstheme="majorHAnsi"/>
          <w:szCs w:val="22"/>
        </w:rPr>
      </w:pPr>
      <w:r w:rsidRPr="00CC1EF9">
        <w:rPr>
          <w:rFonts w:asciiTheme="majorHAnsi" w:hAnsiTheme="majorHAnsi" w:cstheme="majorHAnsi"/>
          <w:szCs w:val="22"/>
        </w:rPr>
        <w:t xml:space="preserve">Although </w:t>
      </w:r>
      <w:r w:rsidR="00607BA8">
        <w:rPr>
          <w:rFonts w:asciiTheme="majorHAnsi" w:hAnsiTheme="majorHAnsi" w:cstheme="majorHAnsi"/>
          <w:szCs w:val="22"/>
        </w:rPr>
        <w:t xml:space="preserve">stakeholders </w:t>
      </w:r>
      <w:r w:rsidRPr="00CC1EF9">
        <w:rPr>
          <w:rFonts w:asciiTheme="majorHAnsi" w:hAnsiTheme="majorHAnsi" w:cstheme="majorHAnsi"/>
          <w:szCs w:val="22"/>
        </w:rPr>
        <w:t>raised many concerns about the lengthy and costly nature of the administration and registration process, some have noted that it has motivated them to enhance their service standards. This is due to the regulatory requirement for each provider to formally review their processes on a semi-regular basis. Overall, there was a positive sentiment expressed towards these processes as they provided participants and providers with a sense of assurance that they were complying with relevant standards and regulations, despite the associated costs. One provider noted:</w:t>
      </w:r>
    </w:p>
    <w:p w14:paraId="48D6C907" w14:textId="77777777" w:rsidR="002550BE" w:rsidRPr="00042AE5" w:rsidRDefault="002550BE" w:rsidP="00042AE5">
      <w:pPr>
        <w:ind w:left="720"/>
        <w:rPr>
          <w:rFonts w:asciiTheme="majorHAnsi" w:hAnsiTheme="majorHAnsi" w:cstheme="majorHAnsi"/>
          <w:i/>
          <w:iCs/>
          <w:szCs w:val="22"/>
        </w:rPr>
      </w:pPr>
      <w:r w:rsidRPr="00042AE5">
        <w:rPr>
          <w:rFonts w:asciiTheme="majorHAnsi" w:hAnsiTheme="majorHAnsi" w:cstheme="majorHAnsi"/>
          <w:i/>
          <w:iCs/>
          <w:szCs w:val="22"/>
        </w:rPr>
        <w:t>It is beneficial for our organisation to be a registered NDIS provider. Registration ensures compliance and safeguarding for participants. Audits should be something that are welcome in the sector, but they come as an additional cost burden for registered providers.</w:t>
      </w:r>
    </w:p>
    <w:p w14:paraId="72EAEFE0" w14:textId="586B85A6" w:rsidR="002550BE" w:rsidRPr="00042AE5" w:rsidRDefault="002550BE" w:rsidP="002550BE">
      <w:pPr>
        <w:rPr>
          <w:rFonts w:asciiTheme="majorHAnsi" w:hAnsiTheme="majorHAnsi" w:cstheme="majorHAnsi"/>
          <w:b/>
          <w:bCs/>
          <w:szCs w:val="22"/>
          <w:u w:val="single"/>
        </w:rPr>
      </w:pPr>
      <w:r w:rsidRPr="00042AE5">
        <w:rPr>
          <w:rFonts w:asciiTheme="majorHAnsi" w:hAnsiTheme="majorHAnsi" w:cstheme="majorHAnsi"/>
          <w:b/>
          <w:bCs/>
          <w:szCs w:val="22"/>
          <w:u w:val="single"/>
        </w:rPr>
        <w:t xml:space="preserve">Professional </w:t>
      </w:r>
      <w:r w:rsidR="00062971">
        <w:rPr>
          <w:rFonts w:asciiTheme="majorHAnsi" w:hAnsiTheme="majorHAnsi" w:cstheme="majorHAnsi"/>
          <w:b/>
          <w:bCs/>
          <w:szCs w:val="22"/>
          <w:u w:val="single"/>
        </w:rPr>
        <w:t>b</w:t>
      </w:r>
      <w:r w:rsidRPr="00042AE5">
        <w:rPr>
          <w:rFonts w:asciiTheme="majorHAnsi" w:hAnsiTheme="majorHAnsi" w:cstheme="majorHAnsi"/>
          <w:b/>
          <w:bCs/>
          <w:szCs w:val="22"/>
          <w:u w:val="single"/>
        </w:rPr>
        <w:t>odies</w:t>
      </w:r>
    </w:p>
    <w:p w14:paraId="60AD8868" w14:textId="3B70BF95" w:rsidR="002550BE" w:rsidRPr="00CC1EF9" w:rsidRDefault="2E1A7215" w:rsidP="24862EB2">
      <w:pPr>
        <w:rPr>
          <w:rFonts w:asciiTheme="majorHAnsi" w:hAnsiTheme="majorHAnsi" w:cstheme="majorBidi"/>
        </w:rPr>
      </w:pPr>
      <w:r w:rsidRPr="24862EB2">
        <w:rPr>
          <w:rFonts w:asciiTheme="majorHAnsi" w:hAnsiTheme="majorHAnsi" w:cstheme="majorBidi"/>
        </w:rPr>
        <w:t xml:space="preserve">Many </w:t>
      </w:r>
      <w:bookmarkStart w:id="146" w:name="_Int_3efAHYVV"/>
      <w:r w:rsidRPr="24862EB2">
        <w:rPr>
          <w:rFonts w:asciiTheme="majorHAnsi" w:hAnsiTheme="majorHAnsi" w:cstheme="majorBidi"/>
        </w:rPr>
        <w:t>provider</w:t>
      </w:r>
      <w:bookmarkEnd w:id="146"/>
      <w:r w:rsidRPr="24862EB2">
        <w:rPr>
          <w:rFonts w:asciiTheme="majorHAnsi" w:hAnsiTheme="majorHAnsi" w:cstheme="majorBidi"/>
        </w:rPr>
        <w:t xml:space="preserve"> peak bodies observed that the benefits of being a registered provider are decreasing due to a decline in the number of agency-managed participants. The associated costs, time, and uncertainty around the future of agency-managed participants pose significant challenges for providers. Additionally, registered providers perceive themselves to be at a disadvantage when competing with unregistered providers who are not burdened with the same costs and time constraints. This creates an uneven playing field in the market, which can lead to further challenges for registered providers. </w:t>
      </w:r>
    </w:p>
    <w:p w14:paraId="2E5235A1" w14:textId="00970EE0"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The submission from Speech Pathology Australia (SPA) stated that:</w:t>
      </w:r>
    </w:p>
    <w:p w14:paraId="0C0F3CB2" w14:textId="31767EDF" w:rsidR="002550BE" w:rsidRPr="00042AE5" w:rsidRDefault="002550BE" w:rsidP="00042AE5">
      <w:pPr>
        <w:ind w:left="720"/>
        <w:rPr>
          <w:rFonts w:asciiTheme="majorHAnsi" w:hAnsiTheme="majorHAnsi" w:cstheme="majorHAnsi"/>
          <w:i/>
          <w:iCs/>
          <w:szCs w:val="22"/>
        </w:rPr>
      </w:pPr>
      <w:r w:rsidRPr="00042AE5">
        <w:rPr>
          <w:rFonts w:asciiTheme="majorHAnsi" w:hAnsiTheme="majorHAnsi" w:cstheme="majorHAnsi"/>
          <w:i/>
          <w:iCs/>
          <w:szCs w:val="22"/>
        </w:rPr>
        <w:t xml:space="preserve">The process of registering as a NDIS provider is felt by speech pathologist to be out of reach for many, both in terms of financial costs and time burden to fulfill all the requirements. </w:t>
      </w:r>
    </w:p>
    <w:p w14:paraId="4CB12970" w14:textId="34EAF8F6"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lastRenderedPageBreak/>
        <w:t xml:space="preserve">This was supported by many other bodies including Australian Physiotherapy Association who had questions about the benefits of registration, with some physiotherapists feeling that the cost of registration is high and that there is little evidence to suggest that registration increased quality or safety for participants. </w:t>
      </w:r>
    </w:p>
    <w:p w14:paraId="67B9F4DC" w14:textId="2EA31E5F" w:rsidR="002550BE" w:rsidRPr="003548C1" w:rsidRDefault="2E1A7215" w:rsidP="24862EB2">
      <w:pPr>
        <w:rPr>
          <w:rFonts w:asciiTheme="majorHAnsi" w:hAnsiTheme="majorHAnsi" w:cstheme="majorBidi"/>
        </w:rPr>
      </w:pPr>
      <w:r w:rsidRPr="24862EB2">
        <w:rPr>
          <w:rFonts w:asciiTheme="majorHAnsi" w:hAnsiTheme="majorHAnsi" w:cstheme="majorBidi"/>
        </w:rPr>
        <w:t xml:space="preserve">Another challenge that many </w:t>
      </w:r>
      <w:bookmarkStart w:id="147" w:name="_Int_oLOq78uy"/>
      <w:r w:rsidRPr="24862EB2">
        <w:rPr>
          <w:rFonts w:asciiTheme="majorHAnsi" w:hAnsiTheme="majorHAnsi" w:cstheme="majorBidi"/>
        </w:rPr>
        <w:t>provider</w:t>
      </w:r>
      <w:bookmarkEnd w:id="147"/>
      <w:r w:rsidRPr="24862EB2">
        <w:rPr>
          <w:rFonts w:asciiTheme="majorHAnsi" w:hAnsiTheme="majorHAnsi" w:cstheme="majorBidi"/>
        </w:rPr>
        <w:t xml:space="preserve"> peak bodies note is the complexity of compliance. The frequent changes in </w:t>
      </w:r>
      <w:r w:rsidR="00FD521B">
        <w:rPr>
          <w:rFonts w:asciiTheme="majorHAnsi" w:hAnsiTheme="majorHAnsi" w:cstheme="majorBidi"/>
        </w:rPr>
        <w:t xml:space="preserve">NDIS Quality and Safeguards </w:t>
      </w:r>
      <w:r w:rsidRPr="24862EB2">
        <w:rPr>
          <w:rFonts w:asciiTheme="majorHAnsi" w:hAnsiTheme="majorHAnsi" w:cstheme="majorBidi"/>
        </w:rPr>
        <w:t xml:space="preserve">Commission </w:t>
      </w:r>
      <w:r w:rsidR="00FD521B">
        <w:rPr>
          <w:rFonts w:asciiTheme="majorHAnsi" w:hAnsiTheme="majorHAnsi" w:cstheme="majorBidi"/>
        </w:rPr>
        <w:t xml:space="preserve">(NDIS Commission) </w:t>
      </w:r>
      <w:r w:rsidRPr="24862EB2">
        <w:rPr>
          <w:rFonts w:asciiTheme="majorHAnsi" w:hAnsiTheme="majorHAnsi" w:cstheme="majorBidi"/>
        </w:rPr>
        <w:t xml:space="preserve">standards and the lack of consistency of the standard of service amongst registered providers were identified as a major issue that require substantial time and effort to comprehend. The intricate interplay between these factors was noted to be a significant cost for businesses seeking to navigate a compliant approach with multiple agencies. </w:t>
      </w:r>
      <w:r w:rsidRPr="24862EB2">
        <w:rPr>
          <w:rFonts w:asciiTheme="majorHAnsi" w:hAnsiTheme="majorHAnsi" w:cstheme="majorBidi"/>
          <w:i/>
          <w:iCs/>
        </w:rPr>
        <w:t xml:space="preserve"> </w:t>
      </w:r>
    </w:p>
    <w:p w14:paraId="132C6FA3" w14:textId="335C582C"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According to several business managers, the past year has seen an increase in registration and administrative tasks, leading many businesses to hire additional staff to handle the workload. One of the primary reasons for this increased burden was the shift of NDIS participants to plan management, which resulted in an escalation of administrative tasks required to cater to these participants.</w:t>
      </w:r>
    </w:p>
    <w:p w14:paraId="28ACEE4B" w14:textId="3039EAAC"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Occupation</w:t>
      </w:r>
      <w:r w:rsidR="00547FF7">
        <w:rPr>
          <w:rFonts w:asciiTheme="majorHAnsi" w:hAnsiTheme="majorHAnsi" w:cstheme="majorHAnsi"/>
          <w:szCs w:val="22"/>
        </w:rPr>
        <w:t>al</w:t>
      </w:r>
      <w:r w:rsidRPr="00CC1EF9">
        <w:rPr>
          <w:rFonts w:asciiTheme="majorHAnsi" w:hAnsiTheme="majorHAnsi" w:cstheme="majorHAnsi"/>
          <w:szCs w:val="22"/>
        </w:rPr>
        <w:t xml:space="preserve"> Therapy Australia in their submission stated that:</w:t>
      </w:r>
    </w:p>
    <w:p w14:paraId="11CC4432" w14:textId="0121419C" w:rsidR="00042AE5" w:rsidRPr="00042AE5" w:rsidRDefault="002550BE" w:rsidP="00ED16DA">
      <w:pPr>
        <w:ind w:left="570"/>
        <w:rPr>
          <w:rFonts w:asciiTheme="majorHAnsi" w:hAnsiTheme="majorHAnsi" w:cstheme="majorHAnsi"/>
          <w:i/>
          <w:iCs/>
          <w:szCs w:val="22"/>
        </w:rPr>
      </w:pPr>
      <w:r w:rsidRPr="00042AE5">
        <w:rPr>
          <w:rFonts w:asciiTheme="majorHAnsi" w:hAnsiTheme="majorHAnsi" w:cstheme="majorHAnsi"/>
          <w:i/>
          <w:iCs/>
          <w:szCs w:val="22"/>
        </w:rPr>
        <w:t xml:space="preserve">Some registered providers are concerned about inequity in the scheme because they undergo stringent registration requirements and bear registration costs, when compared to non-registered providers. There are also concerns that the presence of unregistered providers across the scheme, who can charge variable rates, also erodes public trust in the scheme, and impacts the public expectation that participants are accessing quality, trusted, regulated services. </w:t>
      </w:r>
    </w:p>
    <w:p w14:paraId="5352F888" w14:textId="2FF31D47" w:rsidR="002550BE" w:rsidRPr="005D6E27" w:rsidRDefault="002550BE" w:rsidP="00D9646F">
      <w:pPr>
        <w:pStyle w:val="Heading3"/>
      </w:pPr>
      <w:r w:rsidRPr="005D6E27">
        <w:rPr>
          <w:rStyle w:val="normaltextrun"/>
        </w:rPr>
        <w:t>DSW</w:t>
      </w:r>
      <w:r w:rsidR="0020622F" w:rsidRPr="005D6E27">
        <w:rPr>
          <w:rStyle w:val="normaltextrun"/>
        </w:rPr>
        <w:t>-</w:t>
      </w:r>
      <w:r w:rsidRPr="005D6E27">
        <w:rPr>
          <w:rStyle w:val="normaltextrun"/>
        </w:rPr>
        <w:t xml:space="preserve">related supports </w:t>
      </w:r>
      <w:bookmarkStart w:id="148" w:name="_Hlk133758885"/>
    </w:p>
    <w:p w14:paraId="1933148E" w14:textId="1CB6FCD2" w:rsidR="002550BE" w:rsidRDefault="01F9D924" w:rsidP="24862EB2">
      <w:pPr>
        <w:rPr>
          <w:rFonts w:asciiTheme="majorHAnsi" w:hAnsiTheme="majorHAnsi" w:cstheme="majorBidi"/>
        </w:rPr>
      </w:pPr>
      <w:r w:rsidRPr="24862EB2">
        <w:rPr>
          <w:rFonts w:asciiTheme="majorHAnsi" w:hAnsiTheme="majorHAnsi" w:cstheme="majorBidi"/>
        </w:rPr>
        <w:t>A total of 57 submissions on the DSW</w:t>
      </w:r>
      <w:r w:rsidR="0020622F">
        <w:rPr>
          <w:rFonts w:asciiTheme="majorHAnsi" w:hAnsiTheme="majorHAnsi" w:cstheme="majorBidi"/>
        </w:rPr>
        <w:t>-</w:t>
      </w:r>
      <w:r w:rsidRPr="24862EB2">
        <w:rPr>
          <w:rFonts w:asciiTheme="majorHAnsi" w:hAnsiTheme="majorHAnsi" w:cstheme="majorBidi"/>
        </w:rPr>
        <w:t xml:space="preserve">related supports, including the DSW Cost Model and the SCHADS award, were received in response to the Consultation Paper. Submissions were made by providers, plan managers, the Australian Workers </w:t>
      </w:r>
      <w:proofErr w:type="gramStart"/>
      <w:r w:rsidRPr="24862EB2">
        <w:rPr>
          <w:rFonts w:asciiTheme="majorHAnsi" w:hAnsiTheme="majorHAnsi" w:cstheme="majorBidi"/>
        </w:rPr>
        <w:t>Union</w:t>
      </w:r>
      <w:proofErr w:type="gramEnd"/>
      <w:r w:rsidRPr="24862EB2">
        <w:rPr>
          <w:rFonts w:asciiTheme="majorHAnsi" w:hAnsiTheme="majorHAnsi" w:cstheme="majorBidi"/>
        </w:rPr>
        <w:t xml:space="preserve"> and </w:t>
      </w:r>
      <w:bookmarkStart w:id="149" w:name="_Int_q4zAf4iW"/>
      <w:r w:rsidRPr="24862EB2">
        <w:rPr>
          <w:rFonts w:asciiTheme="majorHAnsi" w:hAnsiTheme="majorHAnsi" w:cstheme="majorBidi"/>
        </w:rPr>
        <w:t>a number of</w:t>
      </w:r>
      <w:bookmarkEnd w:id="149"/>
      <w:r w:rsidRPr="24862EB2">
        <w:rPr>
          <w:rFonts w:asciiTheme="majorHAnsi" w:hAnsiTheme="majorHAnsi" w:cstheme="majorBidi"/>
        </w:rPr>
        <w:t xml:space="preserve"> participants and/or their</w:t>
      </w:r>
      <w:r w:rsidR="69737DCF" w:rsidRPr="24862EB2">
        <w:rPr>
          <w:rFonts w:asciiTheme="majorHAnsi" w:hAnsiTheme="majorHAnsi" w:cstheme="majorBidi"/>
        </w:rPr>
        <w:t xml:space="preserve"> representatives</w:t>
      </w:r>
      <w:r w:rsidRPr="24862EB2">
        <w:rPr>
          <w:rFonts w:asciiTheme="majorHAnsi" w:hAnsiTheme="majorHAnsi" w:cstheme="majorBidi"/>
        </w:rPr>
        <w:t xml:space="preserve">. </w:t>
      </w:r>
      <w:bookmarkStart w:id="150" w:name="_Hlk133584772"/>
    </w:p>
    <w:p w14:paraId="16982A3C" w14:textId="444B8B0F" w:rsidR="00294E33" w:rsidRPr="00294E33" w:rsidRDefault="00294E33" w:rsidP="00042AE5">
      <w:pPr>
        <w:rPr>
          <w:rFonts w:asciiTheme="majorHAnsi" w:hAnsiTheme="majorHAnsi" w:cstheme="majorHAnsi"/>
          <w:b/>
          <w:bCs/>
          <w:szCs w:val="22"/>
          <w:u w:val="single"/>
        </w:rPr>
      </w:pPr>
      <w:r w:rsidRPr="00294E33">
        <w:rPr>
          <w:rFonts w:asciiTheme="majorHAnsi" w:hAnsiTheme="majorHAnsi" w:cstheme="majorHAnsi"/>
          <w:b/>
          <w:bCs/>
          <w:szCs w:val="22"/>
          <w:u w:val="single"/>
        </w:rPr>
        <w:t>Providers</w:t>
      </w:r>
    </w:p>
    <w:p w14:paraId="6D377298" w14:textId="09F206F8"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 xml:space="preserve">Several providers stated that the new DSW Cost Model was easier to comprehend, more transparent and simplified internal budget calculations. Some also felt that the ability to pay staff at a higher rate impacted their business positively. Other aspects of the DSW Cost Model such as the full increase in superannuation guarantee was also considered positive. </w:t>
      </w:r>
    </w:p>
    <w:p w14:paraId="011A136F" w14:textId="2A2AAD1A" w:rsidR="002550BE" w:rsidRPr="00042AE5" w:rsidRDefault="002550BE" w:rsidP="00042AE5">
      <w:r w:rsidRPr="00CC1EF9">
        <w:rPr>
          <w:rFonts w:asciiTheme="majorHAnsi" w:hAnsiTheme="majorHAnsi" w:cstheme="majorHAnsi"/>
          <w:szCs w:val="22"/>
        </w:rPr>
        <w:t xml:space="preserve">On the other hand, some providers thought </w:t>
      </w:r>
      <w:r w:rsidRPr="00042AE5">
        <w:t xml:space="preserve">the DSW Cost Model was not clear enough, made it more difficult to benchmark their prices and was inflexible in allowing staff to negotiate their own rates. Several noted that the DSW Cost Model does not account for the complexity of some participants, especially in regional and remote areas. One provider stated: </w:t>
      </w:r>
    </w:p>
    <w:p w14:paraId="1C38F2E4" w14:textId="474F0AC2" w:rsidR="002550BE" w:rsidRPr="00294E33" w:rsidRDefault="2E1A7215" w:rsidP="24862EB2">
      <w:pPr>
        <w:ind w:left="720"/>
        <w:rPr>
          <w:rFonts w:asciiTheme="majorHAnsi" w:hAnsiTheme="majorHAnsi" w:cstheme="majorBidi"/>
          <w:i/>
          <w:iCs/>
        </w:rPr>
      </w:pPr>
      <w:r w:rsidRPr="24862EB2">
        <w:rPr>
          <w:rFonts w:asciiTheme="majorHAnsi" w:hAnsiTheme="majorHAnsi" w:cstheme="majorBidi"/>
          <w:i/>
          <w:iCs/>
        </w:rPr>
        <w:t xml:space="preserve">The impact of the simplified DSW Cost Model has been mixed. On one hand, the model has provided greater transparency and predictability around funding, which has helped to better plan and budget for services. The simplified model has also reduced some of the administrative burden, which has freed up resources that can be used to improve the quality of services. On the other </w:t>
      </w:r>
      <w:bookmarkStart w:id="151" w:name="_Int_bDzYUqxz"/>
      <w:proofErr w:type="gramStart"/>
      <w:r w:rsidRPr="24862EB2">
        <w:rPr>
          <w:rFonts w:asciiTheme="majorHAnsi" w:hAnsiTheme="majorHAnsi" w:cstheme="majorBidi"/>
          <w:i/>
          <w:iCs/>
        </w:rPr>
        <w:t>hand</w:t>
      </w:r>
      <w:bookmarkEnd w:id="151"/>
      <w:proofErr w:type="gramEnd"/>
      <w:r w:rsidRPr="24862EB2">
        <w:rPr>
          <w:rFonts w:asciiTheme="majorHAnsi" w:hAnsiTheme="majorHAnsi" w:cstheme="majorBidi"/>
          <w:i/>
          <w:iCs/>
        </w:rPr>
        <w:t xml:space="preserve"> the model does not adequately account for the complexity of the services being provided or the needs of </w:t>
      </w:r>
      <w:r w:rsidRPr="24862EB2">
        <w:rPr>
          <w:rFonts w:asciiTheme="majorHAnsi" w:hAnsiTheme="majorHAnsi" w:cstheme="majorBidi"/>
          <w:i/>
          <w:iCs/>
        </w:rPr>
        <w:lastRenderedPageBreak/>
        <w:t xml:space="preserve">the participants we support. This has led to some participants receiving less funding than they require which can result in a reduction in the quality of care provided. </w:t>
      </w:r>
    </w:p>
    <w:p w14:paraId="34056C65" w14:textId="166011AD" w:rsidR="002550BE" w:rsidRPr="00042AE5" w:rsidRDefault="002550BE" w:rsidP="00042AE5">
      <w:r w:rsidRPr="00CC1EF9">
        <w:rPr>
          <w:rFonts w:asciiTheme="majorHAnsi" w:hAnsiTheme="majorHAnsi" w:cstheme="majorHAnsi"/>
          <w:szCs w:val="22"/>
        </w:rPr>
        <w:t xml:space="preserve">Many providers felt </w:t>
      </w:r>
      <w:r w:rsidRPr="00042AE5">
        <w:t>that the DSW Cost Model is insufficient to cover the costs of all tasks involved. These include costs</w:t>
      </w:r>
      <w:r w:rsidRPr="00CC1EF9">
        <w:rPr>
          <w:rFonts w:asciiTheme="majorHAnsi" w:hAnsiTheme="majorHAnsi" w:cstheme="majorHAnsi"/>
          <w:szCs w:val="22"/>
        </w:rPr>
        <w:t xml:space="preserve"> </w:t>
      </w:r>
      <w:r w:rsidRPr="00042AE5">
        <w:t xml:space="preserve">associated with legislative and compliance requirements, insurance, </w:t>
      </w:r>
      <w:proofErr w:type="gramStart"/>
      <w:r w:rsidRPr="00042AE5">
        <w:t>recruitment</w:t>
      </w:r>
      <w:proofErr w:type="gramEnd"/>
      <w:r w:rsidRPr="00042AE5">
        <w:t xml:space="preserve"> and ongoing workforce training. The DSW Cost Model does not allow for capital investment in IT infrastructure and vehicles. Providers stated that these factors result in a lower profit margin than one being assumed in the DSW Cost Model.</w:t>
      </w:r>
    </w:p>
    <w:p w14:paraId="052DD390" w14:textId="04346BF2"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It was noted that the 2021-22 DSW Cost Model separately identified the contribution of workers compensation costs, utilisation costs, supervision costs and measures in relation to the share of permanent or casual staff. The simplified DSW Cost Model covers these items in the operational overheads category. Some providers felt that they no longer have visibility of how the broader cost categories are calculated.</w:t>
      </w:r>
    </w:p>
    <w:p w14:paraId="5DAE86CA" w14:textId="7BAB70BE" w:rsidR="002550BE" w:rsidRPr="00042AE5" w:rsidRDefault="002550BE" w:rsidP="00042AE5">
      <w:r w:rsidRPr="00042AE5">
        <w:t xml:space="preserve">Allowances for annual leave, accumulated leave, long service leave and public holidays were felt to be insufficient by several providers. For example, several submissions pointed out that the DSW Cost model of 20 annual leave days does not accommodate the five-week shift worker allowance. Additionally, long service leave is different between states, as are the number of public holidays. </w:t>
      </w:r>
    </w:p>
    <w:p w14:paraId="43685D32" w14:textId="04E02829" w:rsidR="002550BE" w:rsidRPr="00042AE5" w:rsidRDefault="002550BE" w:rsidP="00042AE5">
      <w:r w:rsidRPr="00042AE5">
        <w:t>Providers spoke of challenges with the rostering of staff for overnight and split shifts which some believe are not adequately covered by the DSW Cost Model loading and added complexities to administration</w:t>
      </w:r>
      <w:r w:rsidR="00741C53">
        <w:t>. A provider mentioned:</w:t>
      </w:r>
    </w:p>
    <w:p w14:paraId="52885BA1" w14:textId="5C9C24CB" w:rsidR="002550BE" w:rsidRPr="00741C53" w:rsidRDefault="002550BE" w:rsidP="00741C53">
      <w:pPr>
        <w:ind w:left="720"/>
        <w:rPr>
          <w:rFonts w:asciiTheme="majorHAnsi" w:hAnsiTheme="majorHAnsi" w:cstheme="majorHAnsi"/>
          <w:i/>
          <w:iCs/>
          <w:szCs w:val="22"/>
        </w:rPr>
      </w:pPr>
      <w:r w:rsidRPr="00741C53">
        <w:rPr>
          <w:rFonts w:asciiTheme="majorHAnsi" w:hAnsiTheme="majorHAnsi" w:cstheme="majorHAnsi"/>
          <w:i/>
          <w:iCs/>
          <w:szCs w:val="22"/>
        </w:rPr>
        <w:t>The split shift allowance has added a considerable amount to the payroll. This made it hard to be able to roster, including trying to eliminate the split shifts. If someone calls in sick, it is a lot harder to fill. With the extra administration time as well as the extra costs, doing smaller shifts is becoming harder to keep viable.</w:t>
      </w:r>
    </w:p>
    <w:p w14:paraId="73D7BFB1" w14:textId="355CD028" w:rsidR="002550BE" w:rsidRPr="00042AE5" w:rsidRDefault="002550BE" w:rsidP="00042AE5">
      <w:r w:rsidRPr="00042AE5">
        <w:t xml:space="preserve">Several providers felt that changes to the SCHADS Award and cost-of-living pressures along with worker shortages </w:t>
      </w:r>
      <w:r w:rsidRPr="00CC1EF9">
        <w:rPr>
          <w:rFonts w:asciiTheme="majorHAnsi" w:hAnsiTheme="majorHAnsi" w:cstheme="majorHAnsi"/>
          <w:szCs w:val="22"/>
        </w:rPr>
        <w:t>have created an environment where workers have and want greater control over their working conditions.  As a result, more workers are choosing to work on a casual basis because the take home pay is higher. In addition, w</w:t>
      </w:r>
      <w:r w:rsidRPr="00042AE5">
        <w:t xml:space="preserve">orkers can now decline shifts on public holidays. As one provider stated: </w:t>
      </w:r>
    </w:p>
    <w:p w14:paraId="57419E47" w14:textId="7E3AC112" w:rsidR="002550BE" w:rsidRPr="00294E33" w:rsidRDefault="002550BE" w:rsidP="00294E33">
      <w:pPr>
        <w:ind w:left="720"/>
        <w:rPr>
          <w:rFonts w:asciiTheme="majorHAnsi" w:hAnsiTheme="majorHAnsi" w:cstheme="majorHAnsi"/>
          <w:i/>
          <w:iCs/>
          <w:szCs w:val="22"/>
        </w:rPr>
      </w:pPr>
      <w:r w:rsidRPr="00294E33">
        <w:rPr>
          <w:rFonts w:asciiTheme="majorHAnsi" w:hAnsiTheme="majorHAnsi" w:cstheme="majorHAnsi"/>
          <w:i/>
          <w:iCs/>
          <w:szCs w:val="22"/>
        </w:rPr>
        <w:t>The provider must pay them for a shift worked as well as the second staff member to</w:t>
      </w:r>
      <w:r w:rsidR="00294E33">
        <w:rPr>
          <w:rFonts w:asciiTheme="majorHAnsi" w:hAnsiTheme="majorHAnsi" w:cstheme="majorHAnsi"/>
          <w:i/>
          <w:iCs/>
          <w:szCs w:val="22"/>
        </w:rPr>
        <w:t xml:space="preserve"> </w:t>
      </w:r>
      <w:r w:rsidRPr="00294E33">
        <w:rPr>
          <w:rFonts w:asciiTheme="majorHAnsi" w:hAnsiTheme="majorHAnsi" w:cstheme="majorHAnsi"/>
          <w:i/>
          <w:iCs/>
          <w:szCs w:val="22"/>
        </w:rPr>
        <w:t>replace the shift not worked by the original staff member.</w:t>
      </w:r>
    </w:p>
    <w:p w14:paraId="49B09E1F" w14:textId="42906634" w:rsidR="002550BE" w:rsidRPr="00042AE5" w:rsidRDefault="002550BE" w:rsidP="00042AE5">
      <w:r w:rsidRPr="00042AE5">
        <w:t>Workforce recruitment and retention along with training and development was a recurring theme in the feedback, with several providers stating that the DSW Cost Model does not consider the increased cost of these activities.</w:t>
      </w:r>
    </w:p>
    <w:p w14:paraId="17AEE34E" w14:textId="263DB217" w:rsidR="002550BE" w:rsidRPr="00294E33" w:rsidRDefault="002550BE" w:rsidP="00042AE5">
      <w:pPr>
        <w:rPr>
          <w:b/>
          <w:bCs/>
          <w:u w:val="single"/>
        </w:rPr>
      </w:pPr>
      <w:r w:rsidRPr="00294E33">
        <w:rPr>
          <w:b/>
          <w:bCs/>
          <w:u w:val="single"/>
        </w:rPr>
        <w:t>Provider peak bodies</w:t>
      </w:r>
    </w:p>
    <w:p w14:paraId="2E1627C6" w14:textId="5B82CC1E" w:rsidR="00746B26" w:rsidRDefault="002550BE" w:rsidP="00746B26">
      <w:r w:rsidRPr="00042AE5">
        <w:t xml:space="preserve">A Financial and Workforce Benchmarking </w:t>
      </w:r>
      <w:r w:rsidR="00746B26">
        <w:t xml:space="preserve">was </w:t>
      </w:r>
      <w:r w:rsidRPr="00042AE5">
        <w:t>conducted by Ability Roundtable with 2</w:t>
      </w:r>
      <w:r w:rsidR="00746B26">
        <w:t>4</w:t>
      </w:r>
      <w:r w:rsidRPr="00042AE5">
        <w:t xml:space="preserve"> </w:t>
      </w:r>
      <w:r w:rsidRPr="006F001B">
        <w:t>DSW provider organisations</w:t>
      </w:r>
      <w:r w:rsidR="00746B26" w:rsidRPr="006F001B">
        <w:t xml:space="preserve">, noting not all respondents answered every question available in the survey. Thus, the useable sample size was slightly smaller on each topic (SCHADS Award changes, COVID impacts, and Quality, Safeguarding and Compliance costs). Albeit the total sample of providers is small, their collective revenue in 2022 was over $2.7 billion, with the average respondent reporting an operating loss of 3.7% in 2022.  </w:t>
      </w:r>
    </w:p>
    <w:p w14:paraId="43DD8692" w14:textId="55FD2658" w:rsidR="009C3586" w:rsidRPr="006F001B" w:rsidRDefault="009C3586" w:rsidP="00746B26">
      <w:r>
        <w:rPr>
          <w:rStyle w:val="normaltextrun"/>
          <w:rFonts w:cs="Arial"/>
          <w:szCs w:val="22"/>
        </w:rPr>
        <w:t xml:space="preserve">Data captured in the benchmarking also </w:t>
      </w:r>
      <w:r>
        <w:rPr>
          <w:rStyle w:val="normaltextrun"/>
          <w:rFonts w:cs="Arial"/>
          <w:color w:val="000000"/>
          <w:szCs w:val="22"/>
          <w:shd w:val="clear" w:color="auto" w:fill="FFFFFF"/>
        </w:rPr>
        <w:t xml:space="preserve">indicates that the estimated impact of SCHADS Award changes on provider costs, </w:t>
      </w:r>
      <w:r w:rsidR="00E53375">
        <w:rPr>
          <w:rStyle w:val="normaltextrun"/>
          <w:rFonts w:cs="Arial"/>
          <w:color w:val="000000"/>
          <w:szCs w:val="22"/>
          <w:shd w:val="clear" w:color="auto" w:fill="FFFFFF"/>
        </w:rPr>
        <w:t xml:space="preserve">was </w:t>
      </w:r>
      <w:r>
        <w:rPr>
          <w:rStyle w:val="normaltextrun"/>
          <w:rFonts w:cs="Arial"/>
          <w:color w:val="000000"/>
          <w:szCs w:val="22"/>
          <w:shd w:val="clear" w:color="auto" w:fill="FFFFFF"/>
        </w:rPr>
        <w:t xml:space="preserve">on average is </w:t>
      </w:r>
      <w:r>
        <w:rPr>
          <w:rStyle w:val="findhit"/>
          <w:rFonts w:cs="Arial"/>
          <w:color w:val="000000"/>
          <w:szCs w:val="22"/>
          <w:shd w:val="clear" w:color="auto" w:fill="FFFFFF"/>
        </w:rPr>
        <w:t>1.5%</w:t>
      </w:r>
      <w:r>
        <w:rPr>
          <w:rStyle w:val="normaltextrun"/>
          <w:rFonts w:cs="Arial"/>
          <w:color w:val="000000"/>
          <w:szCs w:val="22"/>
          <w:shd w:val="clear" w:color="auto" w:fill="FFFFFF"/>
        </w:rPr>
        <w:t xml:space="preserve"> of total cost</w:t>
      </w:r>
      <w:r w:rsidR="00E53375">
        <w:rPr>
          <w:rStyle w:val="normaltextrun"/>
          <w:rFonts w:cs="Arial"/>
          <w:color w:val="000000"/>
          <w:szCs w:val="22"/>
          <w:shd w:val="clear" w:color="auto" w:fill="FFFFFF"/>
        </w:rPr>
        <w:t>s</w:t>
      </w:r>
      <w:r>
        <w:rPr>
          <w:rStyle w:val="normaltextrun"/>
          <w:rFonts w:cs="Arial"/>
          <w:color w:val="000000"/>
          <w:szCs w:val="22"/>
          <w:shd w:val="clear" w:color="auto" w:fill="FFFFFF"/>
        </w:rPr>
        <w:t>.</w:t>
      </w:r>
      <w:r>
        <w:rPr>
          <w:rStyle w:val="eop"/>
          <w:rFonts w:cs="Arial"/>
          <w:color w:val="000000"/>
          <w:szCs w:val="22"/>
          <w:shd w:val="clear" w:color="auto" w:fill="FFFFFF"/>
        </w:rPr>
        <w:t> </w:t>
      </w:r>
    </w:p>
    <w:p w14:paraId="55769E11" w14:textId="4D41C468" w:rsidR="002550BE" w:rsidRPr="00042AE5" w:rsidRDefault="002550BE" w:rsidP="00042AE5">
      <w:r w:rsidRPr="00042AE5">
        <w:t>The Australian</w:t>
      </w:r>
      <w:r w:rsidR="007224B6">
        <w:t xml:space="preserve"> Services</w:t>
      </w:r>
      <w:r w:rsidRPr="00042AE5">
        <w:t xml:space="preserve"> Union also addressed training and workforce development: </w:t>
      </w:r>
    </w:p>
    <w:p w14:paraId="4A9C8414" w14:textId="74CDF08A" w:rsidR="002550BE" w:rsidRPr="007224B6" w:rsidRDefault="002550BE" w:rsidP="007224B6">
      <w:pPr>
        <w:ind w:left="720"/>
        <w:rPr>
          <w:i/>
          <w:iCs/>
        </w:rPr>
      </w:pPr>
      <w:r w:rsidRPr="007224B6">
        <w:rPr>
          <w:i/>
          <w:iCs/>
        </w:rPr>
        <w:lastRenderedPageBreak/>
        <w:t>The NDIS DSW Cost Model has had significant consequences for training and development in the sector and for the capacity of providers to participate actively in providing a high standard of training and supervision. There have been cutbacks in the time allocated for training; team meetings have all but disappeared; supervision has been severely curtailed; and large numbers of casual workers are being newly employed with almost no supervision at all.</w:t>
      </w:r>
    </w:p>
    <w:p w14:paraId="67AB3EA0" w14:textId="72DBDB4B" w:rsidR="002550BE" w:rsidRPr="007224B6" w:rsidRDefault="002550BE" w:rsidP="00042AE5">
      <w:r w:rsidRPr="00042AE5">
        <w:t xml:space="preserve">Increased competition and staff mobility had contributed to the difficulty in attracting skilled staff under the SCHADS award. This was </w:t>
      </w:r>
      <w:r w:rsidR="007224B6">
        <w:t xml:space="preserve">suggested to have been </w:t>
      </w:r>
      <w:r w:rsidRPr="00042AE5">
        <w:t xml:space="preserve">intensified </w:t>
      </w:r>
      <w:r w:rsidR="006F001B">
        <w:t>i</w:t>
      </w:r>
      <w:r w:rsidRPr="00042AE5">
        <w:t>n thin markets and rural and regional areas.</w:t>
      </w:r>
      <w:bookmarkEnd w:id="148"/>
      <w:r w:rsidRPr="00042AE5">
        <w:t xml:space="preserve"> </w:t>
      </w:r>
    </w:p>
    <w:p w14:paraId="2F8E770A" w14:textId="23E74D31" w:rsidR="002550BE" w:rsidRPr="007224B6" w:rsidRDefault="002550BE" w:rsidP="002550BE">
      <w:pPr>
        <w:rPr>
          <w:rFonts w:asciiTheme="majorHAnsi" w:hAnsiTheme="majorHAnsi" w:cstheme="majorHAnsi"/>
          <w:b/>
          <w:bCs/>
          <w:szCs w:val="22"/>
          <w:u w:val="single"/>
        </w:rPr>
      </w:pPr>
      <w:r w:rsidRPr="007224B6">
        <w:rPr>
          <w:rFonts w:asciiTheme="majorHAnsi" w:hAnsiTheme="majorHAnsi" w:cstheme="majorHAnsi"/>
          <w:b/>
          <w:bCs/>
          <w:szCs w:val="22"/>
          <w:u w:val="single"/>
        </w:rPr>
        <w:t>Participants</w:t>
      </w:r>
    </w:p>
    <w:p w14:paraId="5A060862" w14:textId="0469C365" w:rsidR="002550BE" w:rsidRPr="00042AE5" w:rsidRDefault="002550BE" w:rsidP="00042AE5">
      <w:pPr>
        <w:rPr>
          <w:rFonts w:asciiTheme="majorHAnsi" w:hAnsiTheme="majorHAnsi" w:cstheme="majorHAnsi"/>
          <w:szCs w:val="22"/>
        </w:rPr>
      </w:pPr>
      <w:r w:rsidRPr="00042AE5">
        <w:rPr>
          <w:rFonts w:asciiTheme="majorHAnsi" w:hAnsiTheme="majorHAnsi" w:cstheme="majorHAnsi"/>
          <w:szCs w:val="22"/>
        </w:rPr>
        <w:t>Several participants or their</w:t>
      </w:r>
      <w:r w:rsidR="00195B7F">
        <w:rPr>
          <w:rFonts w:asciiTheme="majorHAnsi" w:hAnsiTheme="majorHAnsi" w:cstheme="majorHAnsi"/>
          <w:szCs w:val="22"/>
        </w:rPr>
        <w:t xml:space="preserve"> representatives</w:t>
      </w:r>
      <w:r w:rsidRPr="00042AE5">
        <w:rPr>
          <w:rFonts w:asciiTheme="majorHAnsi" w:hAnsiTheme="majorHAnsi" w:cstheme="majorHAnsi"/>
          <w:szCs w:val="22"/>
        </w:rPr>
        <w:t xml:space="preserve"> felt that there was a wide variance of skills among support workers even though they were paid at the same rate. </w:t>
      </w:r>
    </w:p>
    <w:p w14:paraId="27E48D86" w14:textId="77E5A2B1"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The 7</w:t>
      </w:r>
      <w:r w:rsidR="007224B6">
        <w:rPr>
          <w:rFonts w:asciiTheme="majorHAnsi" w:hAnsiTheme="majorHAnsi" w:cstheme="majorHAnsi"/>
          <w:szCs w:val="22"/>
        </w:rPr>
        <w:t>-</w:t>
      </w:r>
      <w:r w:rsidRPr="00CC1EF9">
        <w:rPr>
          <w:rFonts w:asciiTheme="majorHAnsi" w:hAnsiTheme="majorHAnsi" w:cstheme="majorHAnsi"/>
          <w:szCs w:val="22"/>
        </w:rPr>
        <w:t xml:space="preserve">day cancellation rules were also of concern for some providers and participants alike. When appointments are cancelled, there are additional costs to the provider through overtime and the casual loadings. </w:t>
      </w:r>
    </w:p>
    <w:p w14:paraId="06160A60" w14:textId="77777777" w:rsidR="002550BE" w:rsidRPr="00CC1EF9" w:rsidRDefault="002550BE" w:rsidP="00042AE5">
      <w:pPr>
        <w:rPr>
          <w:rFonts w:asciiTheme="majorHAnsi" w:hAnsiTheme="majorHAnsi" w:cstheme="majorHAnsi"/>
          <w:szCs w:val="22"/>
        </w:rPr>
      </w:pPr>
      <w:r w:rsidRPr="00CC1EF9">
        <w:rPr>
          <w:rFonts w:asciiTheme="majorHAnsi" w:hAnsiTheme="majorHAnsi" w:cstheme="majorHAnsi"/>
          <w:szCs w:val="22"/>
        </w:rPr>
        <w:t>A participant said:</w:t>
      </w:r>
    </w:p>
    <w:p w14:paraId="57C04B2C" w14:textId="00639248" w:rsidR="00866035" w:rsidRPr="00ED16DA" w:rsidRDefault="002550BE" w:rsidP="00ED16DA">
      <w:pPr>
        <w:ind w:left="720"/>
        <w:rPr>
          <w:rFonts w:asciiTheme="majorHAnsi" w:hAnsiTheme="majorHAnsi" w:cstheme="majorHAnsi"/>
          <w:szCs w:val="22"/>
        </w:rPr>
      </w:pPr>
      <w:r w:rsidRPr="007224B6">
        <w:rPr>
          <w:i/>
          <w:iCs/>
        </w:rPr>
        <w:t>I lost a good support worker because the hospital kept altering their appointments on</w:t>
      </w:r>
      <w:r w:rsidR="007224B6" w:rsidRPr="007224B6">
        <w:rPr>
          <w:i/>
          <w:iCs/>
        </w:rPr>
        <w:t xml:space="preserve"> </w:t>
      </w:r>
      <w:r w:rsidRPr="007224B6">
        <w:rPr>
          <w:i/>
          <w:iCs/>
        </w:rPr>
        <w:t>me which in turn messed with her own timetable until she was essentially required to seek other more reliable work.</w:t>
      </w:r>
      <w:bookmarkEnd w:id="150"/>
    </w:p>
    <w:p w14:paraId="1B09D2D1" w14:textId="19EA976F" w:rsidR="002550BE" w:rsidRPr="009C5190" w:rsidRDefault="002550BE" w:rsidP="009C6680">
      <w:pPr>
        <w:pStyle w:val="Heading3"/>
      </w:pPr>
      <w:r w:rsidRPr="009C6680">
        <w:rPr>
          <w:rStyle w:val="normaltextrun"/>
        </w:rPr>
        <w:t>Impact</w:t>
      </w:r>
      <w:r w:rsidRPr="009C5190">
        <w:t xml:space="preserve"> of COVID</w:t>
      </w:r>
    </w:p>
    <w:p w14:paraId="62E96C66" w14:textId="1A704252" w:rsidR="002550BE" w:rsidRPr="00042AE5" w:rsidRDefault="002550BE" w:rsidP="00042AE5">
      <w:r w:rsidRPr="00042AE5">
        <w:t>COVID has continued in the past year to create challenges for some providers. This includes costs due to increased absenteeism. It was reported that agency staff and additional casual staff are required to backfill shifts and that sick leave was being exhausted. This is exacerbated for providers of Supported Independent Living and Specialised Disability Accommodation.</w:t>
      </w:r>
    </w:p>
    <w:p w14:paraId="33EE036F" w14:textId="6CECFC84" w:rsidR="002550BE" w:rsidRPr="00042AE5" w:rsidRDefault="002550BE" w:rsidP="00042AE5">
      <w:r w:rsidRPr="00042AE5">
        <w:t xml:space="preserve">Several providers mentioned the ongoing cost of staff training, infection control methods and the maintenance of PPE stockpiles are difficult to account for under the DSW Cost Model. Furthermore, cancellations due to COVID were said to have increased. </w:t>
      </w:r>
    </w:p>
    <w:p w14:paraId="0D462698" w14:textId="16DD6C85" w:rsidR="002550BE" w:rsidRPr="00042AE5" w:rsidRDefault="002550BE" w:rsidP="00042AE5">
      <w:r w:rsidRPr="00042AE5">
        <w:t>Other providers reported that COVID costs had been absorbed into current business arrangements. The Australian Psychosocial Alliance stated that overall, their members had reported a reduction in COVID</w:t>
      </w:r>
      <w:r w:rsidR="001C1823">
        <w:t xml:space="preserve"> </w:t>
      </w:r>
      <w:r w:rsidRPr="00042AE5">
        <w:t>associated costs over the past six months. However, there remained an overhead burden in planning COVID responses across all areas of a business.</w:t>
      </w:r>
    </w:p>
    <w:p w14:paraId="4A00F514" w14:textId="742484AC" w:rsidR="002550BE" w:rsidRPr="009C5190" w:rsidRDefault="002550BE" w:rsidP="009C6680">
      <w:pPr>
        <w:pStyle w:val="Heading3"/>
      </w:pPr>
      <w:r w:rsidRPr="009C6680">
        <w:rPr>
          <w:rStyle w:val="normaltextrun"/>
        </w:rPr>
        <w:t>Impact</w:t>
      </w:r>
      <w:r w:rsidRPr="009C5190">
        <w:t xml:space="preserve"> of Aged Care </w:t>
      </w:r>
      <w:r w:rsidR="00C42857">
        <w:rPr>
          <w:b w:val="0"/>
          <w:bCs w:val="0"/>
        </w:rPr>
        <w:t>A</w:t>
      </w:r>
      <w:r w:rsidRPr="009C5190">
        <w:t>ward increases</w:t>
      </w:r>
    </w:p>
    <w:p w14:paraId="6602FFF6" w14:textId="6660DF87" w:rsidR="002550BE" w:rsidRPr="00042AE5" w:rsidRDefault="002550BE" w:rsidP="00042AE5">
      <w:pPr>
        <w:rPr>
          <w:rFonts w:asciiTheme="majorHAnsi" w:hAnsiTheme="majorHAnsi" w:cstheme="majorHAnsi"/>
          <w:szCs w:val="22"/>
        </w:rPr>
      </w:pPr>
      <w:r w:rsidRPr="00042AE5">
        <w:t xml:space="preserve">Some providers feel that increases to the Aged Care </w:t>
      </w:r>
      <w:r w:rsidR="00C42857">
        <w:t>A</w:t>
      </w:r>
      <w:r w:rsidRPr="00042AE5">
        <w:t xml:space="preserve">ward will not have a direct impact on the disability workforce demands and costs. One provider of both </w:t>
      </w:r>
      <w:r w:rsidRPr="00CC1EF9">
        <w:rPr>
          <w:rFonts w:asciiTheme="majorHAnsi" w:hAnsiTheme="majorHAnsi" w:cstheme="majorHAnsi"/>
          <w:szCs w:val="22"/>
        </w:rPr>
        <w:t xml:space="preserve">aged care and disability support services stated: </w:t>
      </w:r>
    </w:p>
    <w:p w14:paraId="6D7B2E75" w14:textId="1F1F5AE3" w:rsidR="002550BE" w:rsidRPr="00CC1EF9" w:rsidRDefault="002550BE" w:rsidP="006449E8">
      <w:pPr>
        <w:ind w:left="576"/>
        <w:rPr>
          <w:rFonts w:asciiTheme="majorHAnsi" w:hAnsiTheme="majorHAnsi" w:cstheme="majorHAnsi"/>
          <w:szCs w:val="22"/>
        </w:rPr>
      </w:pPr>
      <w:r w:rsidRPr="00832295">
        <w:rPr>
          <w:rFonts w:asciiTheme="majorHAnsi" w:hAnsiTheme="majorHAnsi" w:cstheme="majorHAnsi"/>
          <w:i/>
          <w:iCs/>
          <w:szCs w:val="22"/>
        </w:rPr>
        <w:t>We do not anticipate there will be any marked shift of disability support staff wanting to exit to Aged Care services.</w:t>
      </w:r>
    </w:p>
    <w:p w14:paraId="29B23006" w14:textId="77777777" w:rsidR="002550BE" w:rsidRPr="00932AAC" w:rsidRDefault="002550BE" w:rsidP="00D9646F">
      <w:pPr>
        <w:pStyle w:val="Heading3"/>
        <w:rPr>
          <w:rStyle w:val="normaltextrun"/>
        </w:rPr>
      </w:pPr>
      <w:r w:rsidRPr="00932AAC">
        <w:rPr>
          <w:rStyle w:val="normaltextrun"/>
        </w:rPr>
        <w:lastRenderedPageBreak/>
        <w:t xml:space="preserve">Therapy supports </w:t>
      </w:r>
    </w:p>
    <w:p w14:paraId="33E910D9" w14:textId="0DFF82D0" w:rsidR="002550BE" w:rsidRPr="00CC1EF9" w:rsidRDefault="002550BE" w:rsidP="00832295">
      <w:pPr>
        <w:rPr>
          <w:rFonts w:asciiTheme="majorHAnsi" w:hAnsiTheme="majorHAnsi" w:cstheme="majorHAnsi"/>
          <w:szCs w:val="22"/>
        </w:rPr>
      </w:pPr>
      <w:r w:rsidRPr="00CC1EF9">
        <w:rPr>
          <w:rFonts w:asciiTheme="majorHAnsi" w:hAnsiTheme="majorHAnsi" w:cstheme="majorHAnsi"/>
          <w:szCs w:val="22"/>
        </w:rPr>
        <w:t>There were 173 submissions related to Therapy supports. These were received from all stakeholder groups including, providers of both therapy and other supports, plan managers and other workers/employees, participants and/or their</w:t>
      </w:r>
      <w:r w:rsidR="00195B7F">
        <w:rPr>
          <w:rFonts w:asciiTheme="majorHAnsi" w:hAnsiTheme="majorHAnsi" w:cstheme="majorHAnsi"/>
          <w:szCs w:val="22"/>
        </w:rPr>
        <w:t xml:space="preserve"> representatives</w:t>
      </w:r>
      <w:r w:rsidRPr="00CC1EF9">
        <w:rPr>
          <w:rFonts w:asciiTheme="majorHAnsi" w:hAnsiTheme="majorHAnsi" w:cstheme="majorHAnsi"/>
          <w:szCs w:val="22"/>
        </w:rPr>
        <w:t xml:space="preserve">, provider peak bodies, professional bodies, an advocacy </w:t>
      </w:r>
      <w:r w:rsidR="00832295" w:rsidRPr="00CC1EF9">
        <w:rPr>
          <w:rFonts w:asciiTheme="majorHAnsi" w:hAnsiTheme="majorHAnsi" w:cstheme="majorHAnsi"/>
          <w:szCs w:val="22"/>
        </w:rPr>
        <w:t>group,</w:t>
      </w:r>
      <w:r w:rsidRPr="00CC1EF9">
        <w:rPr>
          <w:rFonts w:asciiTheme="majorHAnsi" w:hAnsiTheme="majorHAnsi" w:cstheme="majorHAnsi"/>
          <w:szCs w:val="22"/>
        </w:rPr>
        <w:t xml:space="preserve"> and a government organisation.</w:t>
      </w:r>
    </w:p>
    <w:p w14:paraId="0F38374B" w14:textId="68E7EFF2" w:rsidR="002550BE" w:rsidRPr="00832295" w:rsidRDefault="002550BE" w:rsidP="00832295">
      <w:pPr>
        <w:rPr>
          <w:rFonts w:asciiTheme="majorHAnsi" w:hAnsiTheme="majorHAnsi" w:cstheme="majorHAnsi"/>
          <w:b/>
          <w:bCs/>
          <w:szCs w:val="22"/>
          <w:u w:val="single"/>
        </w:rPr>
      </w:pPr>
      <w:bookmarkStart w:id="152" w:name="_Hlk133933411"/>
      <w:r w:rsidRPr="00832295">
        <w:rPr>
          <w:rFonts w:asciiTheme="majorHAnsi" w:hAnsiTheme="majorHAnsi" w:cstheme="majorHAnsi"/>
          <w:b/>
          <w:bCs/>
          <w:szCs w:val="22"/>
          <w:u w:val="single"/>
        </w:rPr>
        <w:t>Providers</w:t>
      </w:r>
    </w:p>
    <w:p w14:paraId="7AADDF48" w14:textId="77777777" w:rsidR="002550BE" w:rsidRPr="00832295" w:rsidRDefault="002550BE" w:rsidP="002550BE">
      <w:r w:rsidRPr="00832295">
        <w:t>Many providers claim the hourly rate for therapy services has not increased for three years and the cost of living has increased significantly, resulting in a rise in operational costs, rising material costs, and other associated costs. Time spent on administration, audit and liaising with support coordinators, families, and carers of participants is under-costed, and administration costs around intake are high but not claimable. There is the added problem of staff shortages with ongoing issues in retention and recruitment across the labour market in general.</w:t>
      </w:r>
    </w:p>
    <w:p w14:paraId="09C88C48" w14:textId="4163A7A6" w:rsidR="002550BE" w:rsidRPr="00832295" w:rsidRDefault="002550BE" w:rsidP="002550BE">
      <w:r w:rsidRPr="00832295">
        <w:t>Some providers argued that they charge a higher price for NDIS participants than non-NDIS clients due to the greater complexity in assisting them. On the other hand, some claimed there is no difference between the rates charged to NDIS and non-NDIS clients.</w:t>
      </w:r>
      <w:r w:rsidR="00832295">
        <w:t xml:space="preserve"> </w:t>
      </w:r>
      <w:r w:rsidRPr="00832295">
        <w:t>A provider stated:</w:t>
      </w:r>
    </w:p>
    <w:p w14:paraId="6DBA5CA0" w14:textId="174E1B81" w:rsidR="002550BE" w:rsidRPr="00832295" w:rsidRDefault="002550BE" w:rsidP="00832295">
      <w:pPr>
        <w:ind w:left="720"/>
        <w:rPr>
          <w:i/>
          <w:iCs/>
        </w:rPr>
      </w:pPr>
      <w:r w:rsidRPr="00832295">
        <w:rPr>
          <w:i/>
          <w:iCs/>
        </w:rPr>
        <w:t>Our pricing rates for NDIS participants is slightly higher when compared to non-NDIS participants $150 p</w:t>
      </w:r>
      <w:r w:rsidR="00442964">
        <w:rPr>
          <w:i/>
          <w:iCs/>
        </w:rPr>
        <w:t xml:space="preserve">er </w:t>
      </w:r>
      <w:r w:rsidRPr="00832295">
        <w:rPr>
          <w:i/>
          <w:iCs/>
        </w:rPr>
        <w:t>h</w:t>
      </w:r>
      <w:r w:rsidR="00442964">
        <w:rPr>
          <w:i/>
          <w:iCs/>
        </w:rPr>
        <w:t>our</w:t>
      </w:r>
      <w:r w:rsidRPr="00832295">
        <w:rPr>
          <w:i/>
          <w:iCs/>
        </w:rPr>
        <w:t xml:space="preserve"> however does not consider travel and the increased complexity clients with disability versus private clientele.</w:t>
      </w:r>
    </w:p>
    <w:p w14:paraId="2180685A" w14:textId="77777777" w:rsidR="002550BE" w:rsidRPr="00832295" w:rsidRDefault="002550BE" w:rsidP="002550BE">
      <w:r w:rsidRPr="00832295">
        <w:t>Several providers who responded stated that they charge NDIS price limits for exercise physiotherapy is less than other comparable schemes and stated that the NDIS price limit should be increased in line with other types of therapies.</w:t>
      </w:r>
    </w:p>
    <w:p w14:paraId="563012D8" w14:textId="7F4C0DC6" w:rsidR="002550BE" w:rsidRPr="00832295" w:rsidRDefault="01F9D924" w:rsidP="002550BE">
      <w:r>
        <w:t xml:space="preserve">Varying responses were received from providers regarding the proportion of therapy revenue that is derived from NDIS compared to other funding sources, ranging from 5% to 100%. </w:t>
      </w:r>
      <w:r w:rsidR="11633C7D">
        <w:t>Many</w:t>
      </w:r>
      <w:r>
        <w:t xml:space="preserve"> providers reported </w:t>
      </w:r>
      <w:bookmarkStart w:id="153" w:name="_Int_k8gKUQQz"/>
      <w:r>
        <w:t>approximately 80-95</w:t>
      </w:r>
      <w:bookmarkEnd w:id="153"/>
      <w:r>
        <w:t>% of their revenue comes from NDIS participants, however, there are some providers who reported lower percentages, such as 5%, 20% or 33%. Providers of children supports were amongst those that reported 100%, whilst a psychologist reported as little as 5-10% comes from NDIS funding. The range in percentages highlights the diversity of therapy supports and the different ways in which providers rely on NDIS funding to support their services. Other sources of provider’s funding include private funding, MBS, My Aged Care and iCare.</w:t>
      </w:r>
    </w:p>
    <w:p w14:paraId="0D4FD39F" w14:textId="7373D43C" w:rsidR="002550BE" w:rsidRPr="00832295" w:rsidRDefault="002550BE" w:rsidP="00832295">
      <w:pPr>
        <w:rPr>
          <w:rFonts w:asciiTheme="majorHAnsi" w:hAnsiTheme="majorHAnsi" w:cstheme="majorHAnsi"/>
          <w:b/>
          <w:bCs/>
          <w:szCs w:val="22"/>
          <w:u w:val="single"/>
        </w:rPr>
      </w:pPr>
      <w:r w:rsidRPr="00832295">
        <w:rPr>
          <w:rFonts w:asciiTheme="majorHAnsi" w:hAnsiTheme="majorHAnsi" w:cstheme="majorHAnsi"/>
          <w:b/>
          <w:bCs/>
          <w:szCs w:val="22"/>
          <w:u w:val="single"/>
        </w:rPr>
        <w:t xml:space="preserve">Provider </w:t>
      </w:r>
      <w:r w:rsidR="00062971">
        <w:rPr>
          <w:rFonts w:asciiTheme="majorHAnsi" w:hAnsiTheme="majorHAnsi" w:cstheme="majorHAnsi"/>
          <w:b/>
          <w:bCs/>
          <w:szCs w:val="22"/>
          <w:u w:val="single"/>
        </w:rPr>
        <w:t>p</w:t>
      </w:r>
      <w:r w:rsidRPr="00832295">
        <w:rPr>
          <w:rFonts w:asciiTheme="majorHAnsi" w:hAnsiTheme="majorHAnsi" w:cstheme="majorHAnsi"/>
          <w:b/>
          <w:bCs/>
          <w:szCs w:val="22"/>
          <w:u w:val="single"/>
        </w:rPr>
        <w:t xml:space="preserve">eak </w:t>
      </w:r>
      <w:r w:rsidR="00062971">
        <w:rPr>
          <w:rFonts w:asciiTheme="majorHAnsi" w:hAnsiTheme="majorHAnsi" w:cstheme="majorHAnsi"/>
          <w:b/>
          <w:bCs/>
          <w:szCs w:val="22"/>
          <w:u w:val="single"/>
        </w:rPr>
        <w:t>b</w:t>
      </w:r>
      <w:r w:rsidRPr="00832295">
        <w:rPr>
          <w:rFonts w:asciiTheme="majorHAnsi" w:hAnsiTheme="majorHAnsi" w:cstheme="majorHAnsi"/>
          <w:b/>
          <w:bCs/>
          <w:szCs w:val="22"/>
          <w:u w:val="single"/>
        </w:rPr>
        <w:t>odies</w:t>
      </w:r>
    </w:p>
    <w:p w14:paraId="4A76247F" w14:textId="5EEFB2E5" w:rsidR="002550BE" w:rsidRPr="00832295" w:rsidRDefault="002550BE" w:rsidP="002550BE">
      <w:r w:rsidRPr="00832295">
        <w:t xml:space="preserve">A major submission on the pricing arrangements for therapy supports was received from Ability Roundtable. They provided a report from Deloitte Access Economics who, in partnership with 13 participating organisations, updated their Allied Health Cost Model. The participating organisations collectively represent around 20% of NDIS therapy supports revenue. It is important to note that the providers in this study have a significantly different cost structure to </w:t>
      </w:r>
      <w:r w:rsidR="00FF76AD">
        <w:t xml:space="preserve">many other </w:t>
      </w:r>
      <w:r w:rsidRPr="00832295">
        <w:t>therapy providers, who are typically much smaller.</w:t>
      </w:r>
    </w:p>
    <w:p w14:paraId="6A22106E" w14:textId="7B89E157" w:rsidR="002550BE" w:rsidRPr="00CC1EF9" w:rsidRDefault="2E1A7215" w:rsidP="24862EB2">
      <w:pPr>
        <w:rPr>
          <w:rStyle w:val="normaltextrun"/>
          <w:rFonts w:asciiTheme="majorHAnsi" w:eastAsiaTheme="majorEastAsia" w:hAnsiTheme="majorHAnsi" w:cstheme="majorBidi"/>
        </w:rPr>
      </w:pPr>
      <w:r>
        <w:t xml:space="preserve">Their Cost Model (as </w:t>
      </w:r>
      <w:bookmarkStart w:id="154" w:name="_Int_HlP74ieX"/>
      <w:r>
        <w:t>at</w:t>
      </w:r>
      <w:bookmarkEnd w:id="154"/>
      <w:r>
        <w:t xml:space="preserve"> 31 December 2022) identifies the baseline costs of service delivery for therapy supports under the NDIS, with a particular focus on large clinical training organisations. The report also draws on data from the Ability Roundtable’s Allied Health benchmarking group. </w:t>
      </w:r>
      <w:r w:rsidR="6C15219C">
        <w:fldChar w:fldCharType="begin"/>
      </w:r>
      <w:r w:rsidR="6C15219C">
        <w:instrText>REF _Ref134303424</w:instrText>
      </w:r>
      <w:r w:rsidR="6C15219C">
        <w:fldChar w:fldCharType="separate"/>
      </w:r>
      <w:r w:rsidR="00D64E4C">
        <w:t xml:space="preserve">Figure </w:t>
      </w:r>
      <w:r w:rsidR="00D64E4C">
        <w:rPr>
          <w:noProof/>
        </w:rPr>
        <w:t>34</w:t>
      </w:r>
      <w:r w:rsidR="6C15219C">
        <w:fldChar w:fldCharType="end"/>
      </w:r>
      <w:r w:rsidR="468615DE">
        <w:t xml:space="preserve"> </w:t>
      </w:r>
      <w:r>
        <w:t>provides some detail of the cost modelling undertaken by Deloitte Access Economics.</w:t>
      </w:r>
    </w:p>
    <w:p w14:paraId="042FB984" w14:textId="37AB2F96" w:rsidR="003D4E72" w:rsidRDefault="003D4E72" w:rsidP="003D4E72">
      <w:pPr>
        <w:pStyle w:val="Caption"/>
      </w:pPr>
      <w:bookmarkStart w:id="155" w:name="_Ref134303424"/>
      <w:r>
        <w:lastRenderedPageBreak/>
        <w:t xml:space="preserve">Figure </w:t>
      </w:r>
      <w:r>
        <w:fldChar w:fldCharType="begin"/>
      </w:r>
      <w:r>
        <w:instrText>SEQ Figure \* ARABIC</w:instrText>
      </w:r>
      <w:r>
        <w:fldChar w:fldCharType="separate"/>
      </w:r>
      <w:r w:rsidR="00D64E4C">
        <w:rPr>
          <w:noProof/>
        </w:rPr>
        <w:t>34</w:t>
      </w:r>
      <w:r>
        <w:fldChar w:fldCharType="end"/>
      </w:r>
      <w:bookmarkEnd w:id="155"/>
      <w:r>
        <w:t xml:space="preserve">: </w:t>
      </w:r>
      <w:r w:rsidRPr="00382C74">
        <w:t>Deloitte access economics estimated cost per hour of allied health services under the NDIS, 2021 (left hand side) compared to 2022 (right hand side)</w:t>
      </w:r>
    </w:p>
    <w:p w14:paraId="37DD3B88" w14:textId="77777777" w:rsidR="002550BE" w:rsidRPr="00CC1EF9" w:rsidRDefault="002550BE" w:rsidP="002550BE">
      <w:pPr>
        <w:jc w:val="center"/>
        <w:rPr>
          <w:rFonts w:asciiTheme="majorHAnsi" w:eastAsiaTheme="majorEastAsia" w:hAnsiTheme="majorHAnsi" w:cstheme="majorHAnsi"/>
          <w:color w:val="000000"/>
          <w:szCs w:val="22"/>
        </w:rPr>
      </w:pPr>
      <w:r w:rsidRPr="00CC1EF9">
        <w:rPr>
          <w:rFonts w:asciiTheme="majorHAnsi" w:hAnsiTheme="majorHAnsi" w:cstheme="majorHAnsi"/>
          <w:noProof/>
          <w:szCs w:val="22"/>
        </w:rPr>
        <w:drawing>
          <wp:inline distT="0" distB="0" distL="0" distR="0" wp14:anchorId="3CACF3A0" wp14:editId="0A7BEAE6">
            <wp:extent cx="3861822" cy="2560323"/>
            <wp:effectExtent l="0" t="0" r="5715" b="0"/>
            <wp:docPr id="12" name="Picture 12" descr="FIGURE 34: DELOITTE ACCESS ECONOMICS ESTIMATED COST PER HOUR OF ALLIED HEALTH SERVICES UNDER THE NDIS, 2021 (LEFT HAND SIDE) COMPARED TO 2022 (RIGHT HAND SIDE)&#10;&#10;The key findings of the Deloitte Access Economics Report include: &#10;At an overall level, the Cost Model shows that the fully loaded cost of service delivery in 2022 increased by approximately 3.7% for the four major allied health disciplines (excluding psychology) and 4.7% for psychology. &#10;&#10;Labour-related costs increased by 15% for the four major allied health disciplines and 12% for psychology, primarily attributed to growth in wages and salary oncosts and investment in recruitment and training of new staff. &#10;&#10;Overhead costs increased by 11% across all major allied health disciplines, primarily driven by growth in IT costs, HR costs and quality compliance costs. &#10;&#10;To offset these impacts, providers found savings through operational efficiencies with improved utilisation rates, reduced spend on non-labour costs such as training and supervision, and back-office restructur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34: DELOITTE ACCESS ECONOMICS ESTIMATED COST PER HOUR OF ALLIED HEALTH SERVICES UNDER THE NDIS, 2021 (LEFT HAND SIDE) COMPARED TO 2022 (RIGHT HAND SIDE)&#10;&#10;The key findings of the Deloitte Access Economics Report include: &#10;At an overall level, the Cost Model shows that the fully loaded cost of service delivery in 2022 increased by approximately 3.7% for the four major allied health disciplines (excluding psychology) and 4.7% for psychology. &#10;&#10;Labour-related costs increased by 15% for the four major allied health disciplines and 12% for psychology, primarily attributed to growth in wages and salary oncosts and investment in recruitment and training of new staff. &#10;&#10;Overhead costs increased by 11% across all major allied health disciplines, primarily driven by growth in IT costs, HR costs and quality compliance costs. &#10;&#10;To offset these impacts, providers found savings through operational efficiencies with improved utilisation rates, reduced spend on non-labour costs such as training and supervision, and back-office restructures. &#10;&#10;"/>
                    <pic:cNvPicPr/>
                  </pic:nvPicPr>
                  <pic:blipFill rotWithShape="1">
                    <a:blip r:embed="rId52"/>
                    <a:srcRect l="1617" r="1225" b="17006"/>
                    <a:stretch/>
                  </pic:blipFill>
                  <pic:spPr bwMode="auto">
                    <a:xfrm>
                      <a:off x="0" y="0"/>
                      <a:ext cx="3861822" cy="2560323"/>
                    </a:xfrm>
                    <a:prstGeom prst="rect">
                      <a:avLst/>
                    </a:prstGeom>
                    <a:ln>
                      <a:noFill/>
                    </a:ln>
                    <a:extLst>
                      <a:ext uri="{53640926-AAD7-44D8-BBD7-CCE9431645EC}">
                        <a14:shadowObscured xmlns:a14="http://schemas.microsoft.com/office/drawing/2010/main"/>
                      </a:ext>
                    </a:extLst>
                  </pic:spPr>
                </pic:pic>
              </a:graphicData>
            </a:graphic>
          </wp:inline>
        </w:drawing>
      </w:r>
    </w:p>
    <w:p w14:paraId="3D4195A4" w14:textId="77777777" w:rsidR="002550BE" w:rsidRPr="009C0AF6" w:rsidRDefault="002550BE" w:rsidP="00ED75AB">
      <w:pPr>
        <w:rPr>
          <w:rFonts w:eastAsiaTheme="majorEastAsia" w:cs="Arial"/>
          <w:b/>
          <w:i/>
          <w:color w:val="000000"/>
          <w:sz w:val="16"/>
          <w:szCs w:val="16"/>
        </w:rPr>
      </w:pPr>
      <w:r w:rsidRPr="009C0AF6">
        <w:rPr>
          <w:rFonts w:eastAsiaTheme="majorEastAsia" w:cs="Arial"/>
          <w:b/>
          <w:i/>
          <w:color w:val="000000"/>
          <w:sz w:val="16"/>
          <w:szCs w:val="16"/>
        </w:rPr>
        <w:t>Source: Deloitte Access Economics estimates based on information provided by the 13 organisations surveyed</w:t>
      </w:r>
    </w:p>
    <w:p w14:paraId="18168820" w14:textId="77777777" w:rsidR="002550BE" w:rsidRPr="00ED75AB" w:rsidRDefault="002550BE" w:rsidP="00ED75AB">
      <w:pPr>
        <w:rPr>
          <w:sz w:val="16"/>
          <w:szCs w:val="16"/>
        </w:rPr>
      </w:pPr>
      <w:r w:rsidRPr="00ED75AB">
        <w:rPr>
          <w:sz w:val="16"/>
          <w:szCs w:val="16"/>
        </w:rPr>
        <w:t xml:space="preserve">Notes: Four major allied health disciplines (excluding psychology) are the weighted average of social worker, speech pathologist, occupational </w:t>
      </w:r>
      <w:proofErr w:type="gramStart"/>
      <w:r w:rsidRPr="00ED75AB">
        <w:rPr>
          <w:sz w:val="16"/>
          <w:szCs w:val="16"/>
        </w:rPr>
        <w:t>therapist</w:t>
      </w:r>
      <w:proofErr w:type="gramEnd"/>
      <w:r w:rsidRPr="00ED75AB">
        <w:rPr>
          <w:sz w:val="16"/>
          <w:szCs w:val="16"/>
        </w:rPr>
        <w:t xml:space="preserve"> and physiotherapist. *2022-23 price limits are the calculated weighted average price limit for each group based on the location and allied health disciplines of organisations within the sample, using NDIS Pricing Arrangements and Price Limits 2022-23.</w:t>
      </w:r>
    </w:p>
    <w:p w14:paraId="3370FB68" w14:textId="77777777" w:rsidR="002550BE" w:rsidRPr="00ED75AB" w:rsidRDefault="002550BE" w:rsidP="002550BE">
      <w:r w:rsidRPr="00ED75AB">
        <w:t xml:space="preserve">The key findings of the Deloitte Access Economics Report include: </w:t>
      </w:r>
    </w:p>
    <w:p w14:paraId="10699F13" w14:textId="77777777" w:rsidR="002550BE" w:rsidRPr="00ED75AB" w:rsidRDefault="002550BE" w:rsidP="00F317CA">
      <w:pPr>
        <w:pStyle w:val="ListParagraph"/>
        <w:numPr>
          <w:ilvl w:val="0"/>
          <w:numId w:val="15"/>
        </w:numPr>
      </w:pPr>
      <w:r w:rsidRPr="00ED75AB">
        <w:t xml:space="preserve">At an overall level, the Cost Model shows that the fully loaded cost of service delivery in 2022 increased by approximately 3.7% for the four major allied health disciplines (excluding psychology) and 4.7% for psychology. </w:t>
      </w:r>
    </w:p>
    <w:p w14:paraId="3F084AA8" w14:textId="77777777" w:rsidR="002550BE" w:rsidRPr="00ED75AB" w:rsidRDefault="002550BE" w:rsidP="00F317CA">
      <w:pPr>
        <w:pStyle w:val="ListParagraph"/>
        <w:numPr>
          <w:ilvl w:val="0"/>
          <w:numId w:val="15"/>
        </w:numPr>
      </w:pPr>
      <w:r w:rsidRPr="00ED75AB">
        <w:t xml:space="preserve">Labour-related costs increased by 15% for the four major allied health disciplines and 12% for psychology, primarily attributed to growth in wages and salary oncosts and investment in recruitment and training of new staff. </w:t>
      </w:r>
    </w:p>
    <w:p w14:paraId="3C24F60F" w14:textId="77777777" w:rsidR="002550BE" w:rsidRPr="00ED75AB" w:rsidRDefault="002550BE" w:rsidP="00F317CA">
      <w:pPr>
        <w:pStyle w:val="ListParagraph"/>
        <w:numPr>
          <w:ilvl w:val="0"/>
          <w:numId w:val="15"/>
        </w:numPr>
      </w:pPr>
      <w:r w:rsidRPr="00ED75AB">
        <w:t xml:space="preserve">Overhead costs increased by 11% across all major allied health disciplines, primarily driven by growth in IT costs, HR costs and quality compliance costs. </w:t>
      </w:r>
    </w:p>
    <w:p w14:paraId="71006DEB" w14:textId="77777777" w:rsidR="002550BE" w:rsidRPr="00ED75AB" w:rsidRDefault="002550BE" w:rsidP="00F317CA">
      <w:pPr>
        <w:pStyle w:val="ListParagraph"/>
        <w:numPr>
          <w:ilvl w:val="0"/>
          <w:numId w:val="15"/>
        </w:numPr>
      </w:pPr>
      <w:r w:rsidRPr="00ED75AB">
        <w:t xml:space="preserve">To offset these impacts, providers found savings through operational efficiencies with improved utilisation rates, reduced spend on non-labour costs such as training and supervision, and back-office restructures. </w:t>
      </w:r>
    </w:p>
    <w:p w14:paraId="3885D3B9" w14:textId="36AB5975" w:rsidR="002550BE" w:rsidRPr="00ED75AB" w:rsidRDefault="001033E0" w:rsidP="00F71488">
      <w:pPr>
        <w:ind w:left="60"/>
      </w:pPr>
      <w:r>
        <w:t>Most</w:t>
      </w:r>
      <w:r w:rsidR="002550BE" w:rsidRPr="00ED75AB">
        <w:t xml:space="preserve"> providers surveyed </w:t>
      </w:r>
      <w:r w:rsidR="003A23C3">
        <w:t xml:space="preserve">suggest they are </w:t>
      </w:r>
      <w:r w:rsidR="00117C78">
        <w:t xml:space="preserve">unable to break even as they are </w:t>
      </w:r>
      <w:r w:rsidR="002550BE" w:rsidRPr="00ED75AB">
        <w:t>operat</w:t>
      </w:r>
      <w:r w:rsidR="003A23C3">
        <w:t>ing at cost</w:t>
      </w:r>
      <w:r w:rsidR="00D45DA3">
        <w:t xml:space="preserve">s </w:t>
      </w:r>
      <w:r w:rsidR="00117C78">
        <w:t xml:space="preserve">above </w:t>
      </w:r>
      <w:r w:rsidR="002550BE" w:rsidRPr="00ED75AB">
        <w:t xml:space="preserve">the current NDIS prices limits for therapy supports in 2022. </w:t>
      </w:r>
    </w:p>
    <w:p w14:paraId="011823B9" w14:textId="77777777" w:rsidR="002550BE" w:rsidRPr="00ED75AB" w:rsidRDefault="002550BE" w:rsidP="002550BE">
      <w:r w:rsidRPr="00ED75AB">
        <w:t>A peak body for early childhood intervention stated unfunded activities that are not billable include child protection referrals, involvement in subpoenas and family law court proceedings and mandatory reporting requirements.</w:t>
      </w:r>
    </w:p>
    <w:p w14:paraId="161F1693" w14:textId="40C58339" w:rsidR="002550BE" w:rsidRPr="00ED75AB" w:rsidRDefault="002550BE" w:rsidP="002550BE">
      <w:r w:rsidRPr="00ED75AB">
        <w:t>Based on a small survey conducted by the National Disability Services (NDS), there are significant price gaps between NDIS price limits and the real costs of service delivery in various support categories.</w:t>
      </w:r>
      <w:r w:rsidR="00F71488">
        <w:t xml:space="preserve"> They mentioned:</w:t>
      </w:r>
    </w:p>
    <w:p w14:paraId="41B1B8E1" w14:textId="31305611" w:rsidR="002550BE" w:rsidRPr="00F71488" w:rsidRDefault="01F9D924" w:rsidP="24862EB2">
      <w:pPr>
        <w:ind w:left="720"/>
        <w:rPr>
          <w:i/>
          <w:iCs/>
        </w:rPr>
      </w:pPr>
      <w:r w:rsidRPr="24862EB2">
        <w:rPr>
          <w:i/>
          <w:iCs/>
        </w:rPr>
        <w:t>The</w:t>
      </w:r>
      <w:r w:rsidR="17B786C7" w:rsidRPr="24862EB2">
        <w:rPr>
          <w:i/>
          <w:iCs/>
        </w:rPr>
        <w:t xml:space="preserve"> </w:t>
      </w:r>
      <w:r w:rsidRPr="24862EB2">
        <w:rPr>
          <w:i/>
          <w:iCs/>
        </w:rPr>
        <w:t xml:space="preserve">NDS State of the Sector </w:t>
      </w:r>
      <w:r w:rsidR="64A8B965" w:rsidRPr="24862EB2">
        <w:rPr>
          <w:i/>
          <w:iCs/>
        </w:rPr>
        <w:t xml:space="preserve">(2022) </w:t>
      </w:r>
      <w:r w:rsidRPr="24862EB2">
        <w:rPr>
          <w:i/>
          <w:iCs/>
        </w:rPr>
        <w:t xml:space="preserve">report based on our Annual Market Survey shows that the past year has been a difficult one for providers. Operating conditions </w:t>
      </w:r>
      <w:r w:rsidRPr="24862EB2">
        <w:rPr>
          <w:i/>
          <w:iCs/>
        </w:rPr>
        <w:lastRenderedPageBreak/>
        <w:t xml:space="preserve">have </w:t>
      </w:r>
      <w:bookmarkStart w:id="156" w:name="_Int_PsJ8G1Ck"/>
      <w:r w:rsidRPr="24862EB2">
        <w:rPr>
          <w:i/>
          <w:iCs/>
        </w:rPr>
        <w:t>generally worsened</w:t>
      </w:r>
      <w:bookmarkEnd w:id="156"/>
      <w:r w:rsidRPr="24862EB2">
        <w:rPr>
          <w:i/>
          <w:iCs/>
        </w:rPr>
        <w:t>, and less than half of those responding to the Annual Market Survey recorded a surplus in the previous year.</w:t>
      </w:r>
    </w:p>
    <w:p w14:paraId="5A0E6CE9" w14:textId="3DA1F9D5" w:rsidR="002550BE" w:rsidRPr="00ED75AB" w:rsidRDefault="002550BE" w:rsidP="00ED75AB">
      <w:pPr>
        <w:rPr>
          <w:b/>
          <w:bCs/>
          <w:u w:val="single"/>
        </w:rPr>
      </w:pPr>
      <w:r w:rsidRPr="00ED75AB">
        <w:rPr>
          <w:b/>
          <w:bCs/>
          <w:u w:val="single"/>
        </w:rPr>
        <w:t xml:space="preserve">Professional </w:t>
      </w:r>
      <w:r w:rsidR="00062971">
        <w:rPr>
          <w:b/>
          <w:bCs/>
          <w:u w:val="single"/>
        </w:rPr>
        <w:t>b</w:t>
      </w:r>
      <w:r w:rsidRPr="00ED75AB">
        <w:rPr>
          <w:b/>
          <w:bCs/>
          <w:u w:val="single"/>
        </w:rPr>
        <w:t>odies</w:t>
      </w:r>
    </w:p>
    <w:p w14:paraId="76750EA4" w14:textId="2B685DB5" w:rsidR="002550BE" w:rsidRPr="00ED75AB" w:rsidRDefault="002550BE" w:rsidP="002550BE">
      <w:r w:rsidRPr="00ED75AB">
        <w:t xml:space="preserve">Several professional bodies reported pricing arrangements for therapeutic supports under the NDIS are not reflective of true costs for providers especially when considering inflation, workforce shortages, impact of COVID and NDIS client complexity. These costs are felt more acutely in rural and regional areas due to factors such as competition around wages, housing shortages and increased costs of travel and consumables. </w:t>
      </w:r>
    </w:p>
    <w:p w14:paraId="03BFAE48" w14:textId="09FA39EC" w:rsidR="002550BE" w:rsidRPr="00ED75AB" w:rsidRDefault="002550BE" w:rsidP="002550BE">
      <w:r w:rsidRPr="00ED75AB">
        <w:t xml:space="preserve">Many professional bodies suggested the increase in NDIS therapy support payments may be the result of increasing provider numbers and participants having more knowledge, </w:t>
      </w:r>
      <w:proofErr w:type="gramStart"/>
      <w:r w:rsidRPr="00ED75AB">
        <w:t>choice</w:t>
      </w:r>
      <w:proofErr w:type="gramEnd"/>
      <w:r w:rsidRPr="00ED75AB">
        <w:t xml:space="preserve"> and control over how they invest their funds. NDIS providers often provide unpaid or underpaid labour to subsidise a participant</w:t>
      </w:r>
      <w:r w:rsidR="002B0448">
        <w:t>’</w:t>
      </w:r>
      <w:r w:rsidRPr="00ED75AB">
        <w:t>s plan, which can impact their business and result in higher costs.</w:t>
      </w:r>
    </w:p>
    <w:p w14:paraId="6B8DA7A4" w14:textId="77777777" w:rsidR="002550BE" w:rsidRPr="00ED75AB" w:rsidRDefault="002550BE" w:rsidP="002550BE">
      <w:r w:rsidRPr="00ED75AB">
        <w:t>Allied Health Professions Australia (AHPA), who represents some 200,000 allied health professionals, stated data recently gathered from more than 700 speech pathologists, showed that less than a quarter report charging a higher rate for NDIS participants, with the majority charging all clients the same fee. Some therapy providers, particularly physiotherapists, report charging non-NDIS clients a higher fee, as it reflects the true costs of the service. The reasons given for charging higher fees include the complexity of the supports being offered, the level of skill involved and experience of the provider, and additional supervision and professional development requirements. Their submission states:</w:t>
      </w:r>
    </w:p>
    <w:p w14:paraId="34653437" w14:textId="77777777" w:rsidR="002550BE" w:rsidRPr="00F71488" w:rsidRDefault="002550BE" w:rsidP="00F71488">
      <w:pPr>
        <w:ind w:left="720"/>
        <w:rPr>
          <w:i/>
          <w:iCs/>
        </w:rPr>
      </w:pPr>
      <w:r w:rsidRPr="00F71488">
        <w:rPr>
          <w:i/>
          <w:iCs/>
        </w:rPr>
        <w:t>Therapy providers are overwhelmingly de-registering and choosing to see only self-managed and plan-managed clients due to the untenable burden.</w:t>
      </w:r>
    </w:p>
    <w:p w14:paraId="299102B7" w14:textId="77777777" w:rsidR="002550BE" w:rsidRPr="00F71488" w:rsidRDefault="002550BE" w:rsidP="00F71488">
      <w:pPr>
        <w:ind w:left="720"/>
        <w:rPr>
          <w:i/>
          <w:iCs/>
        </w:rPr>
      </w:pPr>
      <w:r w:rsidRPr="00F71488">
        <w:rPr>
          <w:i/>
          <w:iCs/>
        </w:rPr>
        <w:t>Of those who are not registered, just under 95% indicated that they were not intending to register.</w:t>
      </w:r>
    </w:p>
    <w:p w14:paraId="3B21ED10" w14:textId="272A9A62" w:rsidR="002550BE" w:rsidRPr="00ED75AB" w:rsidRDefault="002550BE" w:rsidP="002550BE">
      <w:r w:rsidRPr="00ED75AB">
        <w:t>This was concurred by another peak body Speech Patholog</w:t>
      </w:r>
      <w:r w:rsidR="0038115E">
        <w:t>y</w:t>
      </w:r>
      <w:r w:rsidRPr="00ED75AB">
        <w:t xml:space="preserve"> Australia who also stated for those who do have differentiated prices, this was frequently referred to in terms of offering a discount to people and families who are unable to access any funding, and for whom therapy would therefore be out of reach.</w:t>
      </w:r>
    </w:p>
    <w:p w14:paraId="1F905CB3" w14:textId="1B6A30A7" w:rsidR="002550BE" w:rsidRPr="00ED75AB" w:rsidRDefault="1CDB4B63" w:rsidP="002550BE">
      <w:r>
        <w:t xml:space="preserve">The </w:t>
      </w:r>
      <w:r w:rsidRPr="24862EB2">
        <w:rPr>
          <w:rStyle w:val="normaltextrun"/>
          <w:rFonts w:eastAsiaTheme="majorEastAsia" w:cs="Arial"/>
        </w:rPr>
        <w:t>Australian Association of Psychologists Incorporated</w:t>
      </w:r>
      <w:r w:rsidR="01F9D924">
        <w:t xml:space="preserve"> performed a survey in November 2022, with results indicating there has been a significant increase in demand for services in the disability sector. The psychologists’ recommended fees are </w:t>
      </w:r>
      <w:bookmarkStart w:id="157" w:name="_Int_1PVE9H4J"/>
      <w:r w:rsidR="01F9D924">
        <w:t>considerably higher</w:t>
      </w:r>
      <w:bookmarkEnd w:id="157"/>
      <w:r w:rsidR="01F9D924">
        <w:t xml:space="preserve"> than the price caps for NDIS therapy items, suggesting that psychology is funded at levels that are low, given the education, training, and business costs associated with registration and practice as a psychologist.</w:t>
      </w:r>
    </w:p>
    <w:p w14:paraId="0041095C" w14:textId="54F7C9CF" w:rsidR="002550BE" w:rsidRPr="00ED75AB" w:rsidRDefault="0096194D" w:rsidP="002550BE">
      <w:r w:rsidRPr="0096194D">
        <w:t xml:space="preserve">Australian, New Zealand and Asian Creative Arts Therapies Association </w:t>
      </w:r>
      <w:r>
        <w:t>(ANZACATA), a</w:t>
      </w:r>
      <w:r w:rsidR="002550BE" w:rsidRPr="00ED75AB">
        <w:t xml:space="preserve"> professional body on creative arts therapies</w:t>
      </w:r>
      <w:r>
        <w:t>,</w:t>
      </w:r>
      <w:r w:rsidR="002550BE" w:rsidRPr="00ED75AB">
        <w:t xml:space="preserve"> stated that group Art Therapy services under the NDIS is not viable due to the use of more materials, time spent writing more case notes, and the expertise required to facilitate and keep participants safe. The episodic nature of psycho-social disability and its impact on service provision also poses a challenge as participants often have irregular attendance patterns, making it hard to support regular work conditions and contracts and attract staff.</w:t>
      </w:r>
    </w:p>
    <w:p w14:paraId="5A10C917" w14:textId="7FF849A0" w:rsidR="002550BE" w:rsidRPr="00801613" w:rsidRDefault="002550BE" w:rsidP="00ED75AB">
      <w:pPr>
        <w:rPr>
          <w:b/>
          <w:bCs/>
          <w:u w:val="single"/>
        </w:rPr>
      </w:pPr>
      <w:r w:rsidRPr="00801613">
        <w:rPr>
          <w:b/>
          <w:bCs/>
          <w:u w:val="single"/>
        </w:rPr>
        <w:t>Participants</w:t>
      </w:r>
    </w:p>
    <w:p w14:paraId="50FF59D0" w14:textId="68F49886" w:rsidR="002550BE" w:rsidRPr="00ED75AB" w:rsidRDefault="002550BE" w:rsidP="002550BE">
      <w:r w:rsidRPr="00ED75AB">
        <w:lastRenderedPageBreak/>
        <w:t xml:space="preserve">More than half of the participants that responded stated they are charged more than </w:t>
      </w:r>
      <w:r w:rsidR="007C4745" w:rsidRPr="00ED75AB">
        <w:t>non-NDIS</w:t>
      </w:r>
      <w:r w:rsidRPr="00ED75AB">
        <w:t xml:space="preserve"> clients by their providers. A participant who receives supports from both Disability Support Workers and Therapists responded:</w:t>
      </w:r>
    </w:p>
    <w:p w14:paraId="6F255C59" w14:textId="77777777" w:rsidR="002550BE" w:rsidRPr="00F71488" w:rsidRDefault="002550BE" w:rsidP="00F71488">
      <w:pPr>
        <w:ind w:left="720"/>
        <w:rPr>
          <w:i/>
          <w:iCs/>
        </w:rPr>
      </w:pPr>
      <w:r w:rsidRPr="00F71488">
        <w:rPr>
          <w:i/>
          <w:iCs/>
        </w:rPr>
        <w:t xml:space="preserve">However, regarding therapy </w:t>
      </w:r>
      <w:proofErr w:type="gramStart"/>
      <w:r w:rsidRPr="00F71488">
        <w:rPr>
          <w:i/>
          <w:iCs/>
        </w:rPr>
        <w:t>supports, as soon as</w:t>
      </w:r>
      <w:proofErr w:type="gramEnd"/>
      <w:r w:rsidRPr="00F71488">
        <w:rPr>
          <w:i/>
          <w:iCs/>
        </w:rPr>
        <w:t xml:space="preserve"> you advise the provider you are NDIS client you automatically get charged the maximum NDIS price no matter which provider I went to ask about cost per hour of service.</w:t>
      </w:r>
    </w:p>
    <w:p w14:paraId="0754AFBB" w14:textId="77777777" w:rsidR="002550BE" w:rsidRPr="00F71488" w:rsidRDefault="002550BE" w:rsidP="00F71488">
      <w:pPr>
        <w:ind w:left="720"/>
        <w:rPr>
          <w:i/>
          <w:iCs/>
        </w:rPr>
      </w:pPr>
      <w:r w:rsidRPr="00F71488">
        <w:rPr>
          <w:i/>
          <w:iCs/>
        </w:rPr>
        <w:t>Meanwhile members of the public who are not NDIS clients receiving the same length of time and service for a Physiotherapist or Exercise Physiologist are charged less than myself.</w:t>
      </w:r>
    </w:p>
    <w:p w14:paraId="56E653E7" w14:textId="5CA32DB2" w:rsidR="002550BE" w:rsidRPr="00ED75AB" w:rsidRDefault="002550BE" w:rsidP="002550BE">
      <w:r w:rsidRPr="00ED75AB">
        <w:t>Whilst another, who was self-managed, stated that now they are plan</w:t>
      </w:r>
      <w:r w:rsidR="00CD495E">
        <w:t>-</w:t>
      </w:r>
      <w:r w:rsidRPr="00ED75AB">
        <w:t xml:space="preserve">managed they are charged double the hourly rate for podiatry and physiotherapy sessions under the </w:t>
      </w:r>
      <w:r w:rsidR="00CD495E" w:rsidRPr="00ED75AB">
        <w:t>plan</w:t>
      </w:r>
      <w:r w:rsidR="00CD495E">
        <w:t>-</w:t>
      </w:r>
      <w:r w:rsidR="00CD495E" w:rsidRPr="00ED75AB">
        <w:t>managed</w:t>
      </w:r>
      <w:r w:rsidRPr="00ED75AB">
        <w:t xml:space="preserve"> system.</w:t>
      </w:r>
    </w:p>
    <w:p w14:paraId="5D2D9CE2" w14:textId="77777777" w:rsidR="002550BE" w:rsidRPr="00ED75AB" w:rsidRDefault="002550BE" w:rsidP="002550BE">
      <w:r w:rsidRPr="00ED75AB">
        <w:t>A respondent suggested not to increase the maximum amount an Occupational Therapist can charge for their service as the respondent believes Occupational Therapists are currently overcharging.</w:t>
      </w:r>
    </w:p>
    <w:p w14:paraId="39E86D62" w14:textId="77777777" w:rsidR="002550BE" w:rsidRPr="00ED75AB" w:rsidRDefault="002550BE" w:rsidP="002550BE">
      <w:r w:rsidRPr="00ED75AB">
        <w:t>Another participant’s response follows:</w:t>
      </w:r>
    </w:p>
    <w:p w14:paraId="24B915EE" w14:textId="77777777" w:rsidR="002550BE" w:rsidRPr="00801613" w:rsidRDefault="002550BE" w:rsidP="00801613">
      <w:pPr>
        <w:ind w:left="720"/>
        <w:rPr>
          <w:i/>
          <w:iCs/>
        </w:rPr>
      </w:pPr>
      <w:r w:rsidRPr="00801613">
        <w:rPr>
          <w:i/>
          <w:iCs/>
        </w:rPr>
        <w:t>NDIS Participants are forced to pay higher prices than other customers/patients because providers tend to charge the maximum price limit. Regrettably, this is what happens when demand for services exceeds the supply of providers so that there is no competition among providers for services to Participants and no incentive to charge them less than the NDIS Pricing Arrangements and Price Limits stipulated maximum amounts.</w:t>
      </w:r>
    </w:p>
    <w:p w14:paraId="6B8B1051" w14:textId="5F8CC888" w:rsidR="002550BE" w:rsidRPr="00801613" w:rsidRDefault="002550BE" w:rsidP="00ED75AB">
      <w:pPr>
        <w:rPr>
          <w:b/>
          <w:bCs/>
          <w:u w:val="single"/>
        </w:rPr>
      </w:pPr>
      <w:r w:rsidRPr="00801613">
        <w:rPr>
          <w:b/>
          <w:bCs/>
          <w:u w:val="single"/>
        </w:rPr>
        <w:t xml:space="preserve">Advocacy </w:t>
      </w:r>
      <w:r w:rsidR="00062971">
        <w:rPr>
          <w:b/>
          <w:bCs/>
          <w:u w:val="single"/>
        </w:rPr>
        <w:t>g</w:t>
      </w:r>
      <w:r w:rsidRPr="00801613">
        <w:rPr>
          <w:b/>
          <w:bCs/>
          <w:u w:val="single"/>
        </w:rPr>
        <w:t>roups</w:t>
      </w:r>
    </w:p>
    <w:p w14:paraId="1778FD26" w14:textId="7B8700F0" w:rsidR="00F71488" w:rsidRPr="00ED75AB" w:rsidRDefault="002550BE" w:rsidP="00ED75AB">
      <w:r w:rsidRPr="00ED75AB">
        <w:t>An advocacy group stated the current pricing system for therapy services is inconsistent and does not align with the true costs of hiring allied health professionals. Providers may also face increased after-hours staffing costs and travel expenses for clients in rural and remote locations, which are not currently covered under the NDIS. This, coupled with increased administrative requirements, has led to an increased workload for providers.</w:t>
      </w:r>
      <w:bookmarkEnd w:id="152"/>
    </w:p>
    <w:p w14:paraId="0DB10207" w14:textId="00882FC4" w:rsidR="002550BE" w:rsidRPr="003D1161" w:rsidRDefault="002550BE" w:rsidP="00D9646F">
      <w:pPr>
        <w:pStyle w:val="Heading3"/>
      </w:pPr>
      <w:r w:rsidRPr="003D1161">
        <w:rPr>
          <w:rStyle w:val="normaltextrun"/>
        </w:rPr>
        <w:t xml:space="preserve">Support coordination </w:t>
      </w:r>
    </w:p>
    <w:p w14:paraId="5AA77BE4" w14:textId="7D4B4866" w:rsidR="002550BE" w:rsidRPr="00801613" w:rsidRDefault="002550BE" w:rsidP="00801613">
      <w:r w:rsidRPr="00801613">
        <w:t xml:space="preserve">A total of </w:t>
      </w:r>
      <w:r w:rsidR="008153C5">
        <w:t>99</w:t>
      </w:r>
      <w:r w:rsidRPr="00801613">
        <w:t xml:space="preserve"> submissions addressed </w:t>
      </w:r>
      <w:r w:rsidR="0049595E">
        <w:t>support coordination</w:t>
      </w:r>
      <w:r w:rsidRPr="00801613">
        <w:t xml:space="preserve">. Submissions were made by participants, providers, plan managers, employees/workers, provider peak bodies and an advocacy group. </w:t>
      </w:r>
    </w:p>
    <w:p w14:paraId="6648C041" w14:textId="15F5934F" w:rsidR="002550BE" w:rsidRPr="00801613" w:rsidRDefault="002550BE" w:rsidP="002550BE">
      <w:pPr>
        <w:rPr>
          <w:b/>
          <w:bCs/>
          <w:u w:val="single"/>
        </w:rPr>
      </w:pPr>
      <w:r w:rsidRPr="00801613">
        <w:rPr>
          <w:b/>
          <w:bCs/>
          <w:u w:val="single"/>
        </w:rPr>
        <w:t>Providers</w:t>
      </w:r>
    </w:p>
    <w:p w14:paraId="10046312" w14:textId="519F57EF" w:rsidR="002550BE" w:rsidRPr="00801613" w:rsidRDefault="002550BE" w:rsidP="002550BE">
      <w:r w:rsidRPr="00801613">
        <w:t xml:space="preserve">A common theme raised by providers is the lack of price limit increase in </w:t>
      </w:r>
      <w:r w:rsidR="0049595E">
        <w:t>support coordination</w:t>
      </w:r>
      <w:r w:rsidRPr="00801613">
        <w:t xml:space="preserve"> level 2 and 3 by the NDIA, combined with SCHADS Award increases have reduced margins for providers prompting considerations on the financial sustainability for their businesses.</w:t>
      </w:r>
    </w:p>
    <w:p w14:paraId="13595AC5" w14:textId="2E6506FD" w:rsidR="002550BE" w:rsidRPr="00801613" w:rsidRDefault="002550BE" w:rsidP="002550BE">
      <w:r w:rsidRPr="00801613">
        <w:t>Cost increases, such as Workcover, registration, audits, portable long service leave, COVI</w:t>
      </w:r>
      <w:r w:rsidR="001C1823">
        <w:t>D</w:t>
      </w:r>
      <w:r w:rsidRPr="00801613">
        <w:t xml:space="preserve"> related leave, superannuation, </w:t>
      </w:r>
      <w:proofErr w:type="gramStart"/>
      <w:r w:rsidRPr="00801613">
        <w:t>utilities</w:t>
      </w:r>
      <w:proofErr w:type="gramEnd"/>
      <w:r w:rsidRPr="00801613">
        <w:t xml:space="preserve"> and rent are all impacting support coordination’s sustainability amongst providers.</w:t>
      </w:r>
    </w:p>
    <w:p w14:paraId="65FBF801" w14:textId="6076B0E3" w:rsidR="002550BE" w:rsidRPr="00801613" w:rsidRDefault="002550BE" w:rsidP="002550BE">
      <w:r w:rsidRPr="00801613">
        <w:t xml:space="preserve">In addition, the pricing model does not adequately consider the fragmented nature of support coordination. Unbillable hours spent on phone calls, emails, invoicing, and filing are </w:t>
      </w:r>
      <w:r w:rsidRPr="00801613">
        <w:lastRenderedPageBreak/>
        <w:t>impacting providers, with an average of 20 hours of unpaid work per week.</w:t>
      </w:r>
      <w:r w:rsidR="00231317">
        <w:t xml:space="preserve"> One provider</w:t>
      </w:r>
      <w:r w:rsidR="00437119">
        <w:t xml:space="preserve"> suggested they:</w:t>
      </w:r>
      <w:r w:rsidR="00231317">
        <w:t xml:space="preserve"> </w:t>
      </w:r>
    </w:p>
    <w:p w14:paraId="7EF1C697" w14:textId="446CDFB0" w:rsidR="002550BE" w:rsidRPr="00231317" w:rsidRDefault="002550BE" w:rsidP="00231317">
      <w:pPr>
        <w:ind w:left="720"/>
        <w:rPr>
          <w:i/>
          <w:iCs/>
        </w:rPr>
      </w:pPr>
      <w:r w:rsidRPr="00231317">
        <w:rPr>
          <w:i/>
          <w:iCs/>
        </w:rPr>
        <w:t>work on average 20 hours of paid work per week, with another 20 hours of unpaid work, which is spent on the following activities: Phone calls, emails, invoicing, and filing. Travel time is not claimed but is an expense incurred by the provider (up to 6 of the 20 additional hours per week). </w:t>
      </w:r>
    </w:p>
    <w:p w14:paraId="28222A97" w14:textId="7D20B474" w:rsidR="002550BE" w:rsidRPr="00801613" w:rsidRDefault="002550BE" w:rsidP="00801613">
      <w:r w:rsidRPr="00801613">
        <w:t xml:space="preserve">Support </w:t>
      </w:r>
      <w:r w:rsidR="0049595E">
        <w:t>coordinator</w:t>
      </w:r>
      <w:r w:rsidRPr="00801613">
        <w:t xml:space="preserve">s also </w:t>
      </w:r>
      <w:r w:rsidR="00231317">
        <w:t xml:space="preserve">suggested they </w:t>
      </w:r>
      <w:r w:rsidRPr="00801613">
        <w:t xml:space="preserve">undertake unfunded work following the death of a participant, including the administrative work associated with gathering information, returning </w:t>
      </w:r>
      <w:proofErr w:type="gramStart"/>
      <w:r w:rsidRPr="00801613">
        <w:t>equipment</w:t>
      </w:r>
      <w:proofErr w:type="gramEnd"/>
      <w:r w:rsidRPr="00801613">
        <w:t xml:space="preserve"> and completing forms. Submission asked whether these services can be claimed. This is currently being </w:t>
      </w:r>
      <w:r w:rsidR="001033E0" w:rsidRPr="00801613">
        <w:t>investigated</w:t>
      </w:r>
      <w:r w:rsidRPr="00801613">
        <w:t xml:space="preserve"> by the NDIA. </w:t>
      </w:r>
    </w:p>
    <w:p w14:paraId="41C8B8E0" w14:textId="562D0A86" w:rsidR="002550BE" w:rsidRPr="00801613" w:rsidRDefault="002550BE" w:rsidP="002550BE">
      <w:r w:rsidRPr="00801613">
        <w:t xml:space="preserve">Providers raised that further investment in </w:t>
      </w:r>
      <w:r w:rsidR="0049595E">
        <w:t>support coordination</w:t>
      </w:r>
      <w:r w:rsidRPr="00801613">
        <w:t xml:space="preserve"> can be made by the NDIA. Some poor standards of service in support coordination may result in potential fraud. Other concerns are that some participants are not receiving necessary supports either due to limited hours in their plan for more complex needs or through ineffective operators.</w:t>
      </w:r>
      <w:r w:rsidR="00F71488">
        <w:t xml:space="preserve"> One provided suggested:</w:t>
      </w:r>
    </w:p>
    <w:p w14:paraId="7A870634" w14:textId="0C826D05" w:rsidR="002550BE" w:rsidRPr="00F71488" w:rsidRDefault="01F9D924" w:rsidP="24862EB2">
      <w:pPr>
        <w:ind w:left="720"/>
        <w:rPr>
          <w:i/>
          <w:iCs/>
        </w:rPr>
      </w:pPr>
      <w:r w:rsidRPr="24862EB2">
        <w:rPr>
          <w:i/>
          <w:iCs/>
        </w:rPr>
        <w:t xml:space="preserve">When participants </w:t>
      </w:r>
      <w:bookmarkStart w:id="158" w:name="_Int_WY7pJPqP"/>
      <w:r w:rsidRPr="24862EB2">
        <w:rPr>
          <w:i/>
          <w:iCs/>
        </w:rPr>
        <w:t>don’t</w:t>
      </w:r>
      <w:bookmarkEnd w:id="158"/>
      <w:r w:rsidRPr="24862EB2">
        <w:rPr>
          <w:i/>
          <w:iCs/>
        </w:rPr>
        <w:t xml:space="preserve"> have support coordination built into their plans, they rely on service delivery and plan management to answer their questions around NDIS funding.</w:t>
      </w:r>
    </w:p>
    <w:p w14:paraId="290600BD" w14:textId="3D2C41D2" w:rsidR="002550BE" w:rsidRPr="00801613" w:rsidRDefault="002550BE" w:rsidP="002550BE">
      <w:r w:rsidRPr="00801613">
        <w:t xml:space="preserve">High turnover, the ability to attract and retain staff has been a challenge for </w:t>
      </w:r>
      <w:r w:rsidR="0049595E">
        <w:t>support coordination</w:t>
      </w:r>
      <w:r w:rsidRPr="00801613">
        <w:t xml:space="preserve"> and the price limit has not increased since 2020 whilst all other organisational costs have increased. An increase in the unit price is suggested to continue the high-quality support.</w:t>
      </w:r>
    </w:p>
    <w:p w14:paraId="66571246" w14:textId="4C083F17" w:rsidR="002550BE" w:rsidRPr="00437119" w:rsidRDefault="002550BE" w:rsidP="002550BE">
      <w:pPr>
        <w:rPr>
          <w:b/>
          <w:bCs/>
          <w:u w:val="single"/>
        </w:rPr>
      </w:pPr>
      <w:r w:rsidRPr="00437119">
        <w:rPr>
          <w:b/>
          <w:bCs/>
          <w:u w:val="single"/>
        </w:rPr>
        <w:t>Participants</w:t>
      </w:r>
    </w:p>
    <w:p w14:paraId="3564E970" w14:textId="41A1768B" w:rsidR="002550BE" w:rsidRPr="00801613" w:rsidRDefault="002550BE" w:rsidP="002550BE">
      <w:r w:rsidRPr="00801613">
        <w:t xml:space="preserve">A theme echoed by both participant and provider is the need for more standards in the provision of </w:t>
      </w:r>
      <w:r w:rsidR="0049595E">
        <w:t>support coordination</w:t>
      </w:r>
      <w:r w:rsidRPr="00801613">
        <w:t xml:space="preserve">. The clarity of role of </w:t>
      </w:r>
      <w:r w:rsidR="0049595E">
        <w:t>support coordinator</w:t>
      </w:r>
      <w:r w:rsidRPr="00801613">
        <w:t xml:space="preserve"> compared to a </w:t>
      </w:r>
      <w:r w:rsidR="002B1CDA">
        <w:t>p</w:t>
      </w:r>
      <w:r w:rsidRPr="00801613">
        <w:t xml:space="preserve">lan </w:t>
      </w:r>
      <w:r w:rsidR="002B1CDA">
        <w:t>m</w:t>
      </w:r>
      <w:r w:rsidRPr="00801613">
        <w:t>anager was a recurring theme since the last APR and one which may be considered by the NDIS Review.</w:t>
      </w:r>
      <w:r w:rsidR="00F71488">
        <w:t xml:space="preserve"> One participant suggested:</w:t>
      </w:r>
    </w:p>
    <w:p w14:paraId="2B58D677" w14:textId="256984ED" w:rsidR="00197133" w:rsidRPr="00197133" w:rsidRDefault="002550BE" w:rsidP="00FC5139">
      <w:pPr>
        <w:ind w:left="576"/>
        <w:rPr>
          <w:rStyle w:val="normaltextrun"/>
          <w:i/>
          <w:iCs/>
        </w:rPr>
      </w:pPr>
      <w:r w:rsidRPr="00F71488">
        <w:rPr>
          <w:i/>
          <w:iCs/>
        </w:rPr>
        <w:t xml:space="preserve">Support </w:t>
      </w:r>
      <w:r w:rsidR="0049595E">
        <w:rPr>
          <w:i/>
          <w:iCs/>
        </w:rPr>
        <w:t>coordinator</w:t>
      </w:r>
      <w:r w:rsidRPr="00F71488">
        <w:rPr>
          <w:i/>
          <w:iCs/>
        </w:rPr>
        <w:t>s must have experience, they must be appropriately qualified and registered accordingly (or with a relevant professional body). They should not be given as much money as they do.</w:t>
      </w:r>
    </w:p>
    <w:p w14:paraId="63F46DFD" w14:textId="1F56B64F" w:rsidR="002550BE" w:rsidRPr="009A6B1E" w:rsidRDefault="002550BE" w:rsidP="00D9646F">
      <w:pPr>
        <w:pStyle w:val="Heading3"/>
      </w:pPr>
      <w:r w:rsidRPr="009A6B1E">
        <w:rPr>
          <w:rStyle w:val="normaltextrun"/>
        </w:rPr>
        <w:t xml:space="preserve">Plan management supports </w:t>
      </w:r>
    </w:p>
    <w:p w14:paraId="4CFC94B0" w14:textId="33B470F7" w:rsidR="002550BE" w:rsidRPr="00437119" w:rsidRDefault="002550BE" w:rsidP="00437119">
      <w:r w:rsidRPr="00437119">
        <w:t>In total, 8</w:t>
      </w:r>
      <w:r w:rsidR="008153C5">
        <w:t>1</w:t>
      </w:r>
      <w:r w:rsidRPr="00437119">
        <w:t xml:space="preserve"> submissions addressed </w:t>
      </w:r>
      <w:r w:rsidR="002B1CDA">
        <w:t>plan management</w:t>
      </w:r>
      <w:r w:rsidRPr="00437119">
        <w:t xml:space="preserve"> supports. These were received from providers of plan management supports, providers of other supports, plan managers and other workers/employees, participants as well as an advocacy group and two provider peak bodies.</w:t>
      </w:r>
    </w:p>
    <w:p w14:paraId="10E10EA3" w14:textId="56568894" w:rsidR="002550BE" w:rsidRPr="00197133" w:rsidRDefault="002550BE" w:rsidP="00437119">
      <w:pPr>
        <w:rPr>
          <w:b/>
          <w:bCs/>
          <w:u w:val="single"/>
        </w:rPr>
      </w:pPr>
      <w:r w:rsidRPr="00197133">
        <w:rPr>
          <w:b/>
          <w:bCs/>
          <w:u w:val="single"/>
        </w:rPr>
        <w:t>Providers</w:t>
      </w:r>
    </w:p>
    <w:p w14:paraId="55ED261C" w14:textId="53038986" w:rsidR="002550BE" w:rsidRPr="00437119" w:rsidRDefault="002550BE" w:rsidP="00437119">
      <w:r w:rsidRPr="00437119">
        <w:t xml:space="preserve">Plan management providers reported that the biggest cost drivers have been due to increased participant and provider communication and invoicing. Labour costs also contributed to the increase in costs including increased wages, superannuation and long service leave, compliance and registration costs, </w:t>
      </w:r>
      <w:proofErr w:type="gramStart"/>
      <w:r w:rsidRPr="00437119">
        <w:t>training</w:t>
      </w:r>
      <w:proofErr w:type="gramEnd"/>
      <w:r w:rsidRPr="00437119">
        <w:t xml:space="preserve"> and IT.  </w:t>
      </w:r>
    </w:p>
    <w:p w14:paraId="05DBD931" w14:textId="77777777" w:rsidR="002550BE" w:rsidRPr="00437119" w:rsidRDefault="002550BE" w:rsidP="002550BE">
      <w:r w:rsidRPr="00437119">
        <w:t>One provider stated:</w:t>
      </w:r>
    </w:p>
    <w:p w14:paraId="5E27D82F" w14:textId="6C152F2F" w:rsidR="002550BE" w:rsidRPr="00197133" w:rsidRDefault="002550BE" w:rsidP="00197133">
      <w:pPr>
        <w:ind w:left="720"/>
        <w:rPr>
          <w:i/>
          <w:iCs/>
        </w:rPr>
      </w:pPr>
      <w:r w:rsidRPr="00197133">
        <w:rPr>
          <w:i/>
          <w:iCs/>
        </w:rPr>
        <w:lastRenderedPageBreak/>
        <w:t xml:space="preserve">The fact that the fees we receive from NDIS for providing </w:t>
      </w:r>
      <w:r w:rsidR="0049595E">
        <w:rPr>
          <w:i/>
          <w:iCs/>
        </w:rPr>
        <w:t>plan management</w:t>
      </w:r>
      <w:r w:rsidRPr="00197133">
        <w:rPr>
          <w:i/>
          <w:iCs/>
        </w:rPr>
        <w:t xml:space="preserve"> services have not increased for the past couple of years, along with the corresponding increased costs of providing service has resulted in a real reduction of available funds each year for direct service. </w:t>
      </w:r>
    </w:p>
    <w:p w14:paraId="399D636F" w14:textId="627BBD11" w:rsidR="002550BE" w:rsidRPr="00437119" w:rsidRDefault="002550BE" w:rsidP="00437119">
      <w:r w:rsidRPr="00437119">
        <w:t xml:space="preserve">Some providers detailed the work required by </w:t>
      </w:r>
      <w:r w:rsidR="002B1CDA">
        <w:t>plan manager</w:t>
      </w:r>
      <w:r w:rsidRPr="00437119">
        <w:t xml:space="preserve">s and the challenges of an increased demand in services. This involves briefing participants/carers and support coordinators in understanding and applying NDIS price guidelines. They also report that participants with complex and diverse physical and mental health needs tend to require more time in dealing with their NDIS claims issues. </w:t>
      </w:r>
    </w:p>
    <w:p w14:paraId="1E7F3F17" w14:textId="1A4F48F5" w:rsidR="002550BE" w:rsidRPr="00437119" w:rsidRDefault="002550BE" w:rsidP="00437119">
      <w:r w:rsidRPr="00437119">
        <w:t>Spinal Cord Injuries Australia reported:</w:t>
      </w:r>
    </w:p>
    <w:p w14:paraId="3D1880D7" w14:textId="392DB206" w:rsidR="002550BE" w:rsidRPr="00CB669D" w:rsidRDefault="002550BE" w:rsidP="00CB669D">
      <w:pPr>
        <w:ind w:left="720"/>
        <w:rPr>
          <w:i/>
          <w:iCs/>
        </w:rPr>
      </w:pPr>
      <w:r w:rsidRPr="00197133">
        <w:rPr>
          <w:i/>
          <w:iCs/>
        </w:rPr>
        <w:t xml:space="preserve">The current pricing structure does not adequately cover the increased time required to manage complex clients, leading to higher levels of staffing. </w:t>
      </w:r>
      <w:r w:rsidR="002B1CDA">
        <w:rPr>
          <w:i/>
          <w:iCs/>
        </w:rPr>
        <w:t>Plan manager</w:t>
      </w:r>
      <w:r w:rsidRPr="00197133">
        <w:rPr>
          <w:i/>
          <w:iCs/>
        </w:rPr>
        <w:t>s are required to implement plans, process invoices, provide budget reports, assist in gathering information for planning meetings, and ensure prompt payments to service providers. The increase in invoice requests has led to the employment of additional resources in frontline and support staff as well as technology.</w:t>
      </w:r>
    </w:p>
    <w:p w14:paraId="394E8889" w14:textId="6EA70281" w:rsidR="002550BE" w:rsidRPr="00437119" w:rsidRDefault="002550BE" w:rsidP="00437119">
      <w:r w:rsidRPr="00437119">
        <w:t xml:space="preserve">Like providers of other support services, </w:t>
      </w:r>
      <w:r w:rsidR="002B1CDA">
        <w:t>plan manager</w:t>
      </w:r>
      <w:r w:rsidRPr="00437119">
        <w:t>s are finding it increasingly difficult to attract and retain suitable staff. They also reported an increase in competition among providers which impacts the ability to recruit qualified staff. In some cases, maturing client tenure has led to increased service expectations. High staff turnover was also reported by several providers with the Australian Workers Union stating:</w:t>
      </w:r>
    </w:p>
    <w:p w14:paraId="5B53BC00" w14:textId="5A6B09C1" w:rsidR="002550BE" w:rsidRPr="00CB669D" w:rsidRDefault="002550BE" w:rsidP="00CB669D">
      <w:pPr>
        <w:ind w:left="720"/>
        <w:rPr>
          <w:i/>
          <w:iCs/>
        </w:rPr>
      </w:pPr>
      <w:r w:rsidRPr="00CB669D">
        <w:rPr>
          <w:i/>
          <w:iCs/>
        </w:rPr>
        <w:t>The DSW industry is characterised by short term</w:t>
      </w:r>
      <w:r w:rsidR="002B0448" w:rsidRPr="00CB669D">
        <w:rPr>
          <w:i/>
          <w:iCs/>
        </w:rPr>
        <w:t xml:space="preserve"> </w:t>
      </w:r>
      <w:r w:rsidRPr="00CB669D">
        <w:rPr>
          <w:i/>
          <w:iCs/>
        </w:rPr>
        <w:t>tenure with multiple employers but, paradoxically, long-term service within the industry. This contributes to staff turnover.</w:t>
      </w:r>
    </w:p>
    <w:p w14:paraId="20C3C45A" w14:textId="3F3B4480" w:rsidR="002550BE" w:rsidRPr="00437119" w:rsidRDefault="002550BE" w:rsidP="00437119">
      <w:r w:rsidRPr="00437119">
        <w:t xml:space="preserve">A provider of </w:t>
      </w:r>
      <w:r w:rsidR="00CB669D">
        <w:t>p</w:t>
      </w:r>
      <w:r w:rsidRPr="00437119">
        <w:t xml:space="preserve">lan management supports stated: </w:t>
      </w:r>
    </w:p>
    <w:p w14:paraId="53C3C1CB" w14:textId="6AF6144D" w:rsidR="002550BE" w:rsidRPr="00CB669D" w:rsidRDefault="002550BE" w:rsidP="00CB669D">
      <w:pPr>
        <w:ind w:left="720"/>
        <w:rPr>
          <w:i/>
          <w:iCs/>
        </w:rPr>
      </w:pPr>
      <w:r w:rsidRPr="00CB669D">
        <w:rPr>
          <w:i/>
          <w:iCs/>
        </w:rPr>
        <w:t xml:space="preserve">Plan </w:t>
      </w:r>
      <w:r w:rsidR="0049595E">
        <w:rPr>
          <w:i/>
          <w:iCs/>
        </w:rPr>
        <w:t>management</w:t>
      </w:r>
      <w:r w:rsidRPr="00CB669D">
        <w:rPr>
          <w:i/>
          <w:iCs/>
        </w:rPr>
        <w:t xml:space="preserve"> is not a skill set easily found in the existing job market. Although it is primarily a clerical function, we have found that it takes a </w:t>
      </w:r>
      <w:r w:rsidR="002B1CDA">
        <w:rPr>
          <w:i/>
          <w:iCs/>
        </w:rPr>
        <w:t>plan manager</w:t>
      </w:r>
      <w:r w:rsidRPr="00CB669D">
        <w:rPr>
          <w:i/>
          <w:iCs/>
        </w:rPr>
        <w:t xml:space="preserve"> 3 months to 6 months to acquire enough NDIS knowledge to enable the application of the NDIS price guide to be effective.  </w:t>
      </w:r>
    </w:p>
    <w:p w14:paraId="17EE72EC" w14:textId="65E5F55F" w:rsidR="002550BE" w:rsidRPr="00437119" w:rsidRDefault="002550BE" w:rsidP="002550BE">
      <w:r w:rsidRPr="00437119">
        <w:t xml:space="preserve">Changes to set up fees were also addressed by some respondents, particularly regarding the 12-month duration of participant plans and the automatic extension arrangement. Some providers reported that the workload per participant has increased when setting up plans and that additional work is created when a participant completes their current plan, and a renewed plan is in place. It was said that </w:t>
      </w:r>
      <w:r w:rsidR="002B1CDA">
        <w:t>plan manager</w:t>
      </w:r>
      <w:r w:rsidRPr="00437119">
        <w:t xml:space="preserve">s are not notified when a review occurs and sometimes, the participant is not aware of the new plan. This creates delays in processing invoices and supports. </w:t>
      </w:r>
      <w:r w:rsidR="002B1CDA">
        <w:t>Plan manager</w:t>
      </w:r>
      <w:r w:rsidRPr="00437119">
        <w:t xml:space="preserve">s reported that invoice payment could be slow, with some claims taking months to be processed. </w:t>
      </w:r>
    </w:p>
    <w:p w14:paraId="31BB89F9" w14:textId="0C672094" w:rsidR="002550BE" w:rsidRPr="00437119" w:rsidRDefault="002550BE" w:rsidP="002550BE">
      <w:r w:rsidRPr="00437119">
        <w:t xml:space="preserve">Plan managers felt there was no recognition of the work involved in preparing larger plans, especially if those plans involve Supported Independent Living or Specialist Disability Accommodation. They felt that there could be an excessive amount of invoicing for some participants. </w:t>
      </w:r>
      <w:r w:rsidR="002B1CDA">
        <w:t>Plan manager</w:t>
      </w:r>
      <w:r w:rsidRPr="00437119">
        <w:t xml:space="preserve">s also said that they do not have the authority to control the ad hoc supports that participants request and only learn of them when an invoice is received. </w:t>
      </w:r>
    </w:p>
    <w:p w14:paraId="02A8DED1" w14:textId="3F8FCC8F" w:rsidR="002550BE" w:rsidRPr="00437119" w:rsidRDefault="002550BE" w:rsidP="002550BE">
      <w:r w:rsidRPr="00437119">
        <w:t xml:space="preserve">Providers reported IT and software issues and the time it took to resolve issues. There were also increased training demands not only in systems and software and verification requirements, but on how to manage and detect potential instances of fraud, responding to </w:t>
      </w:r>
      <w:r w:rsidRPr="00437119">
        <w:lastRenderedPageBreak/>
        <w:t xml:space="preserve">customer conflicts of interest and responding to privacy related matters. In addition, training is needed to maintain certification in first aid and mental health first aid, understanding child safety indicators, cultural awareness training and training in NDIS processes and the NDIS Pricing Arrangements and Price Limits framework. Several </w:t>
      </w:r>
      <w:r w:rsidR="002B1CDA">
        <w:t>plan management</w:t>
      </w:r>
      <w:r w:rsidRPr="00437119">
        <w:t xml:space="preserve"> providers noted they would like clearer guidelines on the role of </w:t>
      </w:r>
      <w:r w:rsidR="002B1CDA">
        <w:t>plan manager</w:t>
      </w:r>
      <w:r w:rsidRPr="00437119">
        <w:t xml:space="preserve">s to assist in reducing administrative burden as well as help in the understanding of fraud prevention. More clearly defined roles for </w:t>
      </w:r>
      <w:r w:rsidR="002B1CDA">
        <w:t>plan manager</w:t>
      </w:r>
      <w:r w:rsidRPr="00437119">
        <w:t xml:space="preserve">s may be in scope of the NDIS Review. </w:t>
      </w:r>
    </w:p>
    <w:p w14:paraId="2378A4BC" w14:textId="09A34A33" w:rsidR="002550BE" w:rsidRPr="00CB669D" w:rsidRDefault="002550BE" w:rsidP="00437119">
      <w:pPr>
        <w:rPr>
          <w:b/>
          <w:bCs/>
          <w:u w:val="single"/>
        </w:rPr>
      </w:pPr>
      <w:r w:rsidRPr="00CB669D">
        <w:rPr>
          <w:b/>
          <w:bCs/>
          <w:u w:val="single"/>
        </w:rPr>
        <w:t>Participants</w:t>
      </w:r>
    </w:p>
    <w:p w14:paraId="66548B9A" w14:textId="2EC7E97B" w:rsidR="002550BE" w:rsidRPr="00437119" w:rsidRDefault="002550BE" w:rsidP="00437119">
      <w:r w:rsidRPr="00437119">
        <w:t xml:space="preserve">One participant, who was previously self-managed, stated that the fee for group therapy doubled with the introduction of a </w:t>
      </w:r>
      <w:r w:rsidR="002B1CDA">
        <w:t>plan manager</w:t>
      </w:r>
      <w:r w:rsidRPr="00437119">
        <w:t>. They also felt they lost the independence in running their own affairs. The participant stated:</w:t>
      </w:r>
    </w:p>
    <w:p w14:paraId="547C727A" w14:textId="43EF566E" w:rsidR="002550BE" w:rsidRPr="00CB669D" w:rsidRDefault="002550BE" w:rsidP="00CB669D">
      <w:pPr>
        <w:ind w:left="720"/>
        <w:rPr>
          <w:i/>
          <w:iCs/>
        </w:rPr>
      </w:pPr>
      <w:r w:rsidRPr="00CB669D">
        <w:rPr>
          <w:i/>
          <w:iCs/>
        </w:rPr>
        <w:t xml:space="preserve">My physiotherapist charged me $50 to be a part of a group hydrotherapy session when I self-managed my NDIS plan. This group included aged care and injury recovery clients. It was held in a sectioned off part of the pool.  Now that my plan has a </w:t>
      </w:r>
      <w:r w:rsidR="002B1CDA">
        <w:rPr>
          <w:i/>
          <w:iCs/>
        </w:rPr>
        <w:t>plan manager</w:t>
      </w:r>
      <w:r w:rsidRPr="00CB669D">
        <w:rPr>
          <w:i/>
          <w:iCs/>
        </w:rPr>
        <w:t>, the group hydrotherapy session is just NDIS clients, is in the public side of the pool, and now costs my NDIS Plan $100.</w:t>
      </w:r>
    </w:p>
    <w:p w14:paraId="5BB4CB61" w14:textId="26D5EE45" w:rsidR="002550BE" w:rsidRPr="00437119" w:rsidRDefault="002550BE" w:rsidP="00437119">
      <w:r w:rsidRPr="00437119">
        <w:t>This participant also believed that Plan reviews should take place over a longer period to ‘make for a smoother and more timely running of the NDIS plan’</w:t>
      </w:r>
      <w:r w:rsidR="00125484">
        <w:t>:</w:t>
      </w:r>
    </w:p>
    <w:p w14:paraId="7F2305E0" w14:textId="033C9E86" w:rsidR="000944AF" w:rsidRPr="000944AF" w:rsidRDefault="002550BE" w:rsidP="00FC5139">
      <w:pPr>
        <w:ind w:left="576"/>
      </w:pPr>
      <w:r w:rsidRPr="00CB669D">
        <w:rPr>
          <w:i/>
          <w:iCs/>
        </w:rPr>
        <w:t xml:space="preserve">Plan Reviews could include a meeting between the NDIS participant, family/carers, the Local Area Co-ordinator, the Occupational </w:t>
      </w:r>
      <w:proofErr w:type="gramStart"/>
      <w:r w:rsidRPr="00CB669D">
        <w:rPr>
          <w:i/>
          <w:iCs/>
        </w:rPr>
        <w:t>Therapist</w:t>
      </w:r>
      <w:proofErr w:type="gramEnd"/>
      <w:r w:rsidRPr="00CB669D">
        <w:rPr>
          <w:i/>
          <w:iCs/>
        </w:rPr>
        <w:t xml:space="preserve"> and the NDIS so the plan is comprehensive and meets all needs of the person with the disability. To save time and money, these meetings could happen via the internet. </w:t>
      </w:r>
    </w:p>
    <w:p w14:paraId="6C6A23F9" w14:textId="1C6D4C0C" w:rsidR="002550BE" w:rsidRPr="00D84844" w:rsidRDefault="002550BE" w:rsidP="00D9646F">
      <w:pPr>
        <w:pStyle w:val="Heading3"/>
      </w:pPr>
      <w:r w:rsidRPr="00D84844">
        <w:rPr>
          <w:rStyle w:val="normaltextrun"/>
        </w:rPr>
        <w:t>Other commentary</w:t>
      </w:r>
    </w:p>
    <w:p w14:paraId="3EF303C3" w14:textId="564AC4B4" w:rsidR="002550BE" w:rsidRPr="009C5190" w:rsidRDefault="002550BE" w:rsidP="009C5190">
      <w:pPr>
        <w:rPr>
          <w:u w:val="single"/>
        </w:rPr>
      </w:pPr>
      <w:r w:rsidRPr="009C5190">
        <w:rPr>
          <w:b/>
          <w:u w:val="single"/>
        </w:rPr>
        <w:t>Providers  </w:t>
      </w:r>
    </w:p>
    <w:p w14:paraId="0BE436DF" w14:textId="77777777" w:rsidR="002550BE" w:rsidRPr="009C5190" w:rsidRDefault="002550BE" w:rsidP="002550BE">
      <w:r w:rsidRPr="009C5190">
        <w:t xml:space="preserve">Travel continues to be a commonly raised topic across stakeholders. Concerns were raised by providers around the cost of travel increasing, particularly in regional and remote areas. </w:t>
      </w:r>
    </w:p>
    <w:p w14:paraId="4D19B31F" w14:textId="77777777" w:rsidR="002550BE" w:rsidRPr="009C5190" w:rsidRDefault="002550BE" w:rsidP="002550BE">
      <w:r w:rsidRPr="009C5190">
        <w:t xml:space="preserve">One provider queried that the Modified Monash Model (MMM) classification often does not reflect the actual distance travelled. This leads to situations where potentially travel is undertaken but is unable to be claimed due to NDIS pricing arrangements but is still an expense incurred by the provider. </w:t>
      </w:r>
    </w:p>
    <w:p w14:paraId="6DF9893F" w14:textId="77777777" w:rsidR="002550BE" w:rsidRPr="009C5190" w:rsidRDefault="002550BE" w:rsidP="002550BE">
      <w:r w:rsidRPr="009C5190">
        <w:t>Nexus Support Coordination provided an example, suggesting consideration be given to remote areas surrounded by very remote areas:</w:t>
      </w:r>
    </w:p>
    <w:p w14:paraId="19131FB0" w14:textId="77777777" w:rsidR="002550BE" w:rsidRPr="009C5190" w:rsidRDefault="01F9D924" w:rsidP="24862EB2">
      <w:pPr>
        <w:ind w:left="720"/>
        <w:rPr>
          <w:i/>
          <w:iCs/>
        </w:rPr>
      </w:pPr>
      <w:r w:rsidRPr="24862EB2">
        <w:rPr>
          <w:i/>
          <w:iCs/>
        </w:rPr>
        <w:t xml:space="preserve">For example, Geraldton (MMM3) has been given the NDIS MMM 6 Rating purely based on only being surrounded by Remote (MMM6) areas. Geraldton is a large regional centre with a population of </w:t>
      </w:r>
      <w:bookmarkStart w:id="159" w:name="_Int_Pepp9bZK"/>
      <w:r w:rsidRPr="24862EB2">
        <w:rPr>
          <w:i/>
          <w:iCs/>
        </w:rPr>
        <w:t>nearly 40,000</w:t>
      </w:r>
      <w:bookmarkEnd w:id="159"/>
      <w:r w:rsidRPr="24862EB2">
        <w:rPr>
          <w:i/>
          <w:iCs/>
        </w:rPr>
        <w:t xml:space="preserve"> and only around 4 hours’ drive to travel the 420km between Perth and Geraldton. In comparison, Karratha has an estimated population of 22,000, although this figure varies significantly given the transient nature of the town. Karratha is over 1,530km drive or a 2-hour flight from Perth. This covers significant stretches of Very Remote areas and requires 2 days drive when avoiding travelling at night due to livestock and fatigue. The flights have been capped due to the WA State Government’s Regional Airfare Zone Cap with $299 per person one way. These capped flights only exist for </w:t>
      </w:r>
      <w:bookmarkStart w:id="160" w:name="_Int_ROpBfi9D"/>
      <w:proofErr w:type="gramStart"/>
      <w:r w:rsidRPr="24862EB2">
        <w:rPr>
          <w:i/>
          <w:iCs/>
        </w:rPr>
        <w:t>local residents</w:t>
      </w:r>
      <w:bookmarkEnd w:id="160"/>
      <w:proofErr w:type="gramEnd"/>
      <w:r w:rsidRPr="24862EB2">
        <w:rPr>
          <w:i/>
          <w:iCs/>
        </w:rPr>
        <w:t xml:space="preserve">, so even </w:t>
      </w:r>
      <w:r w:rsidRPr="24862EB2">
        <w:rPr>
          <w:i/>
          <w:iCs/>
        </w:rPr>
        <w:lastRenderedPageBreak/>
        <w:t xml:space="preserve">if the NDIA was trying to build the therapy services market, the sheer cost of flights to get to the northwest is not affordable. </w:t>
      </w:r>
    </w:p>
    <w:p w14:paraId="0DB368B3" w14:textId="77777777" w:rsidR="002550BE" w:rsidRPr="009C5190" w:rsidRDefault="002550BE" w:rsidP="002550BE">
      <w:r w:rsidRPr="009C5190">
        <w:t>Another provider raised concerns that NDIS processes and systems can lead to barriers in claiming, such as the time it takes for plan reviews/renewals or how plans have been built.</w:t>
      </w:r>
    </w:p>
    <w:p w14:paraId="36C452A0" w14:textId="7023E32D" w:rsidR="002550BE" w:rsidRPr="009C5190" w:rsidRDefault="002550BE" w:rsidP="002550BE">
      <w:r w:rsidRPr="009C5190">
        <w:t>There were concerns raised by a few providers over participants</w:t>
      </w:r>
      <w:r w:rsidR="00195B7F">
        <w:t xml:space="preserve"> and their representatives</w:t>
      </w:r>
      <w:r w:rsidRPr="009C5190">
        <w:t xml:space="preserve"> who are self-managing NDIS funds around getting paid in a timely manner for supports delivered.</w:t>
      </w:r>
    </w:p>
    <w:p w14:paraId="24A2956D" w14:textId="7FB0344C" w:rsidR="002550BE" w:rsidRPr="009C5190" w:rsidRDefault="002550BE" w:rsidP="009C5190">
      <w:pPr>
        <w:rPr>
          <w:b/>
          <w:bCs/>
          <w:u w:val="single"/>
        </w:rPr>
      </w:pPr>
      <w:r w:rsidRPr="009C5190">
        <w:rPr>
          <w:b/>
          <w:bCs/>
          <w:u w:val="single"/>
        </w:rPr>
        <w:t xml:space="preserve">Provider </w:t>
      </w:r>
      <w:r w:rsidR="00062971">
        <w:rPr>
          <w:b/>
          <w:bCs/>
          <w:u w:val="single"/>
        </w:rPr>
        <w:t>p</w:t>
      </w:r>
      <w:r w:rsidRPr="009C5190">
        <w:rPr>
          <w:b/>
          <w:bCs/>
          <w:u w:val="single"/>
        </w:rPr>
        <w:t xml:space="preserve">eak </w:t>
      </w:r>
      <w:r w:rsidR="00062971">
        <w:rPr>
          <w:b/>
          <w:bCs/>
          <w:u w:val="single"/>
        </w:rPr>
        <w:t>b</w:t>
      </w:r>
      <w:r w:rsidRPr="009C5190">
        <w:rPr>
          <w:b/>
          <w:bCs/>
          <w:u w:val="single"/>
        </w:rPr>
        <w:t>odies </w:t>
      </w:r>
    </w:p>
    <w:p w14:paraId="0C4B2D26" w14:textId="77777777" w:rsidR="002550BE" w:rsidRPr="009C5190" w:rsidRDefault="002550BE" w:rsidP="002550BE">
      <w:r w:rsidRPr="009C5190">
        <w:t xml:space="preserve">Ability Roundtable provided a submission around Supported Independent Living (SIL) supports from their benchmarking survey, with one of the main concerns raised around vacancy management. The submission by Ability Roundtable reported that from their benchmarking survey: </w:t>
      </w:r>
    </w:p>
    <w:p w14:paraId="3B0FC746" w14:textId="77777777" w:rsidR="002550BE" w:rsidRPr="009C5190" w:rsidRDefault="002550BE" w:rsidP="009C5190">
      <w:pPr>
        <w:ind w:left="720"/>
        <w:rPr>
          <w:i/>
          <w:iCs/>
        </w:rPr>
      </w:pPr>
      <w:r w:rsidRPr="009C5190">
        <w:rPr>
          <w:i/>
          <w:iCs/>
        </w:rPr>
        <w:t>This reveals a startling increase in SIL vacancies over the past two years, with vacancies increasing from a median of 7.3% to 10% in 2021-22 (see Figure 2.1). This trend therefore highlights a growing problem of lost accommodation options for SIL participants as well as lost revenue generation opportunities for service providers annually.</w:t>
      </w:r>
    </w:p>
    <w:p w14:paraId="675C924F" w14:textId="25D35334" w:rsidR="002550BE" w:rsidRPr="003266A7" w:rsidRDefault="002550BE" w:rsidP="009C5190">
      <w:pPr>
        <w:rPr>
          <w:b/>
          <w:bCs/>
          <w:u w:val="single"/>
        </w:rPr>
      </w:pPr>
      <w:r w:rsidRPr="003266A7">
        <w:rPr>
          <w:b/>
          <w:bCs/>
          <w:u w:val="single"/>
        </w:rPr>
        <w:t xml:space="preserve">Professional </w:t>
      </w:r>
      <w:r w:rsidR="00062971">
        <w:rPr>
          <w:b/>
          <w:bCs/>
          <w:u w:val="single"/>
        </w:rPr>
        <w:t>b</w:t>
      </w:r>
      <w:r w:rsidRPr="003266A7">
        <w:rPr>
          <w:b/>
          <w:bCs/>
          <w:u w:val="single"/>
        </w:rPr>
        <w:t>odies </w:t>
      </w:r>
    </w:p>
    <w:p w14:paraId="70857ACC" w14:textId="77777777" w:rsidR="003548C1" w:rsidRDefault="20E542AF" w:rsidP="002550BE">
      <w:r>
        <w:t xml:space="preserve">NDIS price limits being inclusive of </w:t>
      </w:r>
      <w:bookmarkStart w:id="161" w:name="_Int_ucDP4edR"/>
      <w:r>
        <w:t>GST</w:t>
      </w:r>
      <w:bookmarkEnd w:id="161"/>
      <w:r>
        <w:t xml:space="preserve"> had a few professional bodies raising concerns around this</w:t>
      </w:r>
      <w:r w:rsidR="2B94B8EE">
        <w:t xml:space="preserve"> including Exercise and Sport Scientists Australia (ESSA)</w:t>
      </w:r>
      <w:r>
        <w:t xml:space="preserve">. </w:t>
      </w:r>
    </w:p>
    <w:p w14:paraId="6565BE48" w14:textId="4E38B506" w:rsidR="002550BE" w:rsidRPr="009C5190" w:rsidRDefault="002550BE" w:rsidP="002550BE">
      <w:r w:rsidRPr="009C5190">
        <w:t>ANZACATA’s submissions raised that:</w:t>
      </w:r>
    </w:p>
    <w:p w14:paraId="0B41CB58" w14:textId="77777777" w:rsidR="002550BE" w:rsidRPr="009C5190" w:rsidRDefault="002550BE" w:rsidP="009C5190">
      <w:pPr>
        <w:ind w:left="720"/>
        <w:rPr>
          <w:i/>
          <w:iCs/>
        </w:rPr>
      </w:pPr>
      <w:r w:rsidRPr="009C5190">
        <w:rPr>
          <w:i/>
          <w:iCs/>
        </w:rPr>
        <w:t>Services such as Art Therapy have the same price limits as Audiology, Dietitians, Physiotherapy, and Social Work services in the NDIS Therapy Supports. However, the supply of their services is GST taxable and is included in the price limit. This decreases the effective hourly rate that ANZACATA members earn.</w:t>
      </w:r>
    </w:p>
    <w:p w14:paraId="762293C1" w14:textId="77777777" w:rsidR="002550BE" w:rsidRPr="009C5190" w:rsidRDefault="002550BE" w:rsidP="002550BE">
      <w:r w:rsidRPr="009C5190">
        <w:t>Suggesting that:</w:t>
      </w:r>
    </w:p>
    <w:p w14:paraId="278B5A70" w14:textId="22BE3E71" w:rsidR="002550BE" w:rsidRPr="009C5190" w:rsidRDefault="002550BE" w:rsidP="009C5190">
      <w:pPr>
        <w:ind w:left="720"/>
        <w:rPr>
          <w:i/>
          <w:iCs/>
        </w:rPr>
      </w:pPr>
      <w:r w:rsidRPr="009C5190">
        <w:rPr>
          <w:i/>
          <w:iCs/>
        </w:rPr>
        <w:t xml:space="preserve">The NDIS Annual Pricing Review 2021-2022 final report recognised the problem and recommended an </w:t>
      </w:r>
      <w:r w:rsidR="002B0448">
        <w:rPr>
          <w:i/>
          <w:iCs/>
        </w:rPr>
        <w:t>“</w:t>
      </w:r>
      <w:r w:rsidRPr="009C5190">
        <w:rPr>
          <w:i/>
          <w:iCs/>
        </w:rPr>
        <w:t>off-plan</w:t>
      </w:r>
      <w:r w:rsidR="002B0448">
        <w:rPr>
          <w:i/>
          <w:iCs/>
        </w:rPr>
        <w:t>”</w:t>
      </w:r>
      <w:r w:rsidRPr="009C5190">
        <w:rPr>
          <w:i/>
          <w:iCs/>
        </w:rPr>
        <w:t xml:space="preserve"> GST payment approach to ensure the NDIS price limits are set GST-exclusive</w:t>
      </w:r>
    </w:p>
    <w:p w14:paraId="28192FF7" w14:textId="77777777" w:rsidR="002550BE" w:rsidRPr="009C5190" w:rsidRDefault="002550BE" w:rsidP="002550BE">
      <w:r w:rsidRPr="009C5190">
        <w:t>There were suggestions raised that NDIS price limits should consider the increased measures taken to bolster cyber security scheme-wide as well ongoing system transition to PACE.</w:t>
      </w:r>
    </w:p>
    <w:p w14:paraId="6951CFD3" w14:textId="6B8AE6B1" w:rsidR="002550BE" w:rsidRPr="009C5190" w:rsidRDefault="002550BE" w:rsidP="002550BE">
      <w:r w:rsidRPr="009C5190">
        <w:t xml:space="preserve">Another stakeholder raised concerns that is a need for greater clarity around participant plans and funding, particularly </w:t>
      </w:r>
      <w:r w:rsidR="001033E0" w:rsidRPr="009C5190">
        <w:t>regarding</w:t>
      </w:r>
      <w:r w:rsidRPr="009C5190">
        <w:t xml:space="preserve"> non-face to face, travel, and cancellations, to avoid tensions and misunderstandings between both parties (providers and participants). </w:t>
      </w:r>
    </w:p>
    <w:p w14:paraId="029EBB3B" w14:textId="5CE2565D" w:rsidR="002550BE" w:rsidRPr="009C5190" w:rsidRDefault="002550BE" w:rsidP="009C5190">
      <w:pPr>
        <w:rPr>
          <w:b/>
          <w:bCs/>
          <w:u w:val="single"/>
        </w:rPr>
      </w:pPr>
      <w:r w:rsidRPr="009C5190">
        <w:rPr>
          <w:b/>
          <w:bCs/>
          <w:u w:val="single"/>
        </w:rPr>
        <w:t>Participants </w:t>
      </w:r>
    </w:p>
    <w:p w14:paraId="1E81774A" w14:textId="77777777" w:rsidR="002550BE" w:rsidRPr="009C5190" w:rsidRDefault="002550BE" w:rsidP="002550BE">
      <w:r w:rsidRPr="009C5190">
        <w:t>A participant raised concerns over the NDIS pricing arrangements for provider travel report-writing, suggesting current arrangements were too high and negatively impacting plan budgets.</w:t>
      </w:r>
    </w:p>
    <w:p w14:paraId="67CA15D8" w14:textId="77777777" w:rsidR="002550BE" w:rsidRPr="009C5190" w:rsidRDefault="002550BE" w:rsidP="002550BE">
      <w:r w:rsidRPr="009C5190">
        <w:t>One participant suggested that the NDIS pricing arrangements and price limits document is a useful resource for them, but they have difficulty navigating it:</w:t>
      </w:r>
    </w:p>
    <w:p w14:paraId="0D01265B" w14:textId="0FD9FFFF" w:rsidR="002550BE" w:rsidRPr="009C5190" w:rsidRDefault="2E1A7215" w:rsidP="24862EB2">
      <w:pPr>
        <w:ind w:left="720"/>
        <w:rPr>
          <w:i/>
          <w:iCs/>
        </w:rPr>
      </w:pPr>
      <w:r w:rsidRPr="24862EB2">
        <w:rPr>
          <w:i/>
          <w:iCs/>
        </w:rPr>
        <w:lastRenderedPageBreak/>
        <w:t xml:space="preserve">As someone who is blind and needs to use a screen reader app to read digital content, I have found the NDIS price limits document difficult to navigate. As a self-managed </w:t>
      </w:r>
      <w:bookmarkStart w:id="162" w:name="_Int_PmelgEvN"/>
      <w:proofErr w:type="gramStart"/>
      <w:r w:rsidRPr="24862EB2">
        <w:rPr>
          <w:i/>
          <w:iCs/>
        </w:rPr>
        <w:t>participant</w:t>
      </w:r>
      <w:bookmarkEnd w:id="162"/>
      <w:proofErr w:type="gramEnd"/>
      <w:r w:rsidRPr="24862EB2">
        <w:rPr>
          <w:i/>
          <w:iCs/>
        </w:rPr>
        <w:t xml:space="preserve"> I am not subject to the pricing caps, but it is nevertheless useful to consult the current pricing caps in the NDIS marketplace.</w:t>
      </w:r>
    </w:p>
    <w:p w14:paraId="00291F72" w14:textId="77777777" w:rsidR="002550BE" w:rsidRPr="009C5190" w:rsidRDefault="002550BE" w:rsidP="002550BE">
      <w:r w:rsidRPr="009C5190">
        <w:t>Another participant also suggested that the NDIA should consider that competitive markets may not be feasible for all supports, and some regulatory mechanisms should remain.</w:t>
      </w:r>
    </w:p>
    <w:p w14:paraId="67BAB364" w14:textId="77777777" w:rsidR="009C5190" w:rsidRDefault="009C5190" w:rsidP="002550BE">
      <w:pPr>
        <w:sectPr w:rsidR="009C5190" w:rsidSect="00E208B3">
          <w:pgSz w:w="11907" w:h="16839" w:code="9"/>
          <w:pgMar w:top="1080" w:right="1440" w:bottom="1276" w:left="1440" w:header="709" w:footer="709" w:gutter="0"/>
          <w:cols w:space="708"/>
          <w:docGrid w:linePitch="360"/>
        </w:sectPr>
      </w:pPr>
    </w:p>
    <w:p w14:paraId="6C7AEB7E" w14:textId="77777777" w:rsidR="00795CAD" w:rsidRPr="00BD0E87" w:rsidRDefault="00A96EF8" w:rsidP="009C6680">
      <w:pPr>
        <w:pStyle w:val="Heading2"/>
        <w:numPr>
          <w:ilvl w:val="0"/>
          <w:numId w:val="0"/>
        </w:numPr>
        <w:ind w:left="432" w:hanging="432"/>
      </w:pPr>
      <w:r w:rsidRPr="00BD0E87">
        <w:lastRenderedPageBreak/>
        <w:t>Appendix B</w:t>
      </w:r>
      <w:r w:rsidR="000D3F5A" w:rsidRPr="00BD0E87">
        <w:t xml:space="preserve"> –</w:t>
      </w:r>
      <w:r w:rsidR="00BC4079" w:rsidRPr="00BD0E87">
        <w:t xml:space="preserve"> </w:t>
      </w:r>
      <w:r w:rsidR="000D3F5A" w:rsidRPr="00BD0E87">
        <w:t xml:space="preserve">Domestic </w:t>
      </w:r>
      <w:r w:rsidR="00BD274B" w:rsidRPr="00BD0E87">
        <w:t xml:space="preserve">and </w:t>
      </w:r>
      <w:r w:rsidR="00985F73" w:rsidRPr="00BD0E87">
        <w:t>f</w:t>
      </w:r>
      <w:r w:rsidR="00BD274B" w:rsidRPr="00BD0E87">
        <w:t xml:space="preserve">amily </w:t>
      </w:r>
      <w:r w:rsidR="00985F73" w:rsidRPr="00BD0E87">
        <w:t>v</w:t>
      </w:r>
      <w:r w:rsidR="000D3F5A" w:rsidRPr="00BD0E87">
        <w:t>iolence</w:t>
      </w:r>
    </w:p>
    <w:p w14:paraId="5C7839A2" w14:textId="68C9B141" w:rsidR="000D3F5A" w:rsidRPr="00BD0E87" w:rsidRDefault="002035FD" w:rsidP="00D9646F">
      <w:pPr>
        <w:pStyle w:val="Heading3"/>
      </w:pPr>
      <w:r>
        <w:t>10.</w:t>
      </w:r>
      <w:r w:rsidRPr="00FC2250">
        <w:t>1</w:t>
      </w:r>
      <w:r w:rsidRPr="00FC2250">
        <w:tab/>
      </w:r>
      <w:r>
        <w:t>R</w:t>
      </w:r>
      <w:r w:rsidR="00BD274B" w:rsidRPr="00BD0E87">
        <w:t>esearch</w:t>
      </w:r>
    </w:p>
    <w:p w14:paraId="3F1E5659" w14:textId="0C4515EB" w:rsidR="000D3F5A" w:rsidRPr="005C55D5" w:rsidRDefault="1F863F3C" w:rsidP="19AAF43B">
      <w:pPr>
        <w:rPr>
          <w:rFonts w:asciiTheme="majorHAnsi" w:hAnsiTheme="majorHAnsi" w:cstheme="majorBidi"/>
        </w:rPr>
      </w:pPr>
      <w:r w:rsidRPr="24862EB2">
        <w:rPr>
          <w:rFonts w:asciiTheme="majorHAnsi" w:hAnsiTheme="majorHAnsi" w:cstheme="majorBidi"/>
        </w:rPr>
        <w:t>Australian Bureau of Statistics’ (</w:t>
      </w:r>
      <w:r w:rsidR="57EA3EE9" w:rsidRPr="24862EB2">
        <w:rPr>
          <w:rFonts w:asciiTheme="majorHAnsi" w:hAnsiTheme="majorHAnsi" w:cstheme="majorBidi"/>
        </w:rPr>
        <w:t>ABS’s</w:t>
      </w:r>
      <w:r w:rsidRPr="24862EB2">
        <w:rPr>
          <w:rFonts w:asciiTheme="majorHAnsi" w:hAnsiTheme="majorHAnsi" w:cstheme="majorBidi"/>
        </w:rPr>
        <w:t>)</w:t>
      </w:r>
      <w:r w:rsidR="57EA3EE9" w:rsidRPr="24862EB2">
        <w:rPr>
          <w:rFonts w:asciiTheme="majorHAnsi" w:hAnsiTheme="majorHAnsi" w:cstheme="majorBidi"/>
        </w:rPr>
        <w:t xml:space="preserve"> Personal Safety Report (2021)</w:t>
      </w:r>
      <w:r w:rsidR="00C320FE">
        <w:rPr>
          <w:rStyle w:val="FootnoteReference"/>
          <w:rFonts w:asciiTheme="majorHAnsi" w:hAnsiTheme="majorHAnsi" w:cstheme="majorBidi"/>
        </w:rPr>
        <w:footnoteReference w:id="32"/>
      </w:r>
      <w:r w:rsidR="57EA3EE9" w:rsidRPr="24862EB2">
        <w:rPr>
          <w:rFonts w:asciiTheme="majorHAnsi" w:hAnsiTheme="majorHAnsi" w:cstheme="majorBidi"/>
        </w:rPr>
        <w:t xml:space="preserve"> provides insights into the prevalence of domestic violence and/or emotional abuse in Australia. The data shows that in the 12 months before the survey</w:t>
      </w:r>
      <w:r w:rsidRPr="24862EB2">
        <w:rPr>
          <w:rFonts w:asciiTheme="majorHAnsi" w:hAnsiTheme="majorHAnsi" w:cstheme="majorBidi"/>
        </w:rPr>
        <w:t>,</w:t>
      </w:r>
      <w:r w:rsidR="57EA3EE9" w:rsidRPr="24862EB2">
        <w:rPr>
          <w:rFonts w:asciiTheme="majorHAnsi" w:hAnsiTheme="majorHAnsi" w:cstheme="majorBidi"/>
        </w:rPr>
        <w:t xml:space="preserve"> </w:t>
      </w:r>
      <w:r w:rsidR="57EA3EE9" w:rsidRPr="24862EB2">
        <w:rPr>
          <w:rFonts w:asciiTheme="majorHAnsi" w:hAnsiTheme="majorHAnsi" w:cstheme="majorBidi"/>
          <w:b/>
          <w:bCs/>
        </w:rPr>
        <w:t>5.0% of women and 2.6% of men</w:t>
      </w:r>
      <w:r w:rsidR="57EA3EE9" w:rsidRPr="24862EB2">
        <w:rPr>
          <w:rFonts w:asciiTheme="majorHAnsi" w:hAnsiTheme="majorHAnsi" w:cstheme="majorBidi"/>
        </w:rPr>
        <w:t xml:space="preserve"> experienced violence or emotional abuse or economic abuse by a cohabiting partner.</w:t>
      </w:r>
      <w:r w:rsidR="00C320FE">
        <w:rPr>
          <w:rStyle w:val="FootnoteReference"/>
          <w:rFonts w:asciiTheme="majorHAnsi" w:hAnsiTheme="majorHAnsi" w:cstheme="majorBidi"/>
        </w:rPr>
        <w:footnoteReference w:id="33"/>
      </w:r>
    </w:p>
    <w:p w14:paraId="09E37A17" w14:textId="0A3219BC" w:rsidR="000D3F5A" w:rsidRPr="00455C66" w:rsidRDefault="000D3F5A" w:rsidP="000D3F5A">
      <w:pPr>
        <w:rPr>
          <w:rFonts w:asciiTheme="majorHAnsi" w:eastAsia="Calibri" w:hAnsiTheme="majorHAnsi" w:cstheme="majorHAnsi"/>
          <w:szCs w:val="22"/>
          <w:lang w:val="en-US"/>
        </w:rPr>
      </w:pPr>
      <w:r>
        <w:rPr>
          <w:rFonts w:asciiTheme="majorHAnsi" w:eastAsia="Calibri" w:hAnsiTheme="majorHAnsi" w:cstheme="majorHAnsi"/>
          <w:szCs w:val="22"/>
          <w:lang w:val="en-US"/>
        </w:rPr>
        <w:fldChar w:fldCharType="begin"/>
      </w:r>
      <w:r>
        <w:rPr>
          <w:rFonts w:asciiTheme="majorHAnsi" w:eastAsia="Calibri" w:hAnsiTheme="majorHAnsi" w:cstheme="majorHAnsi"/>
          <w:szCs w:val="22"/>
          <w:lang w:val="en-US"/>
        </w:rPr>
        <w:instrText xml:space="preserve"> REF _Ref134299213 </w:instrText>
      </w:r>
      <w:r>
        <w:rPr>
          <w:rFonts w:asciiTheme="majorHAnsi" w:eastAsia="Calibri" w:hAnsiTheme="majorHAnsi" w:cstheme="majorHAnsi"/>
          <w:szCs w:val="22"/>
          <w:lang w:val="en-US"/>
        </w:rPr>
        <w:fldChar w:fldCharType="separate"/>
      </w:r>
      <w:r w:rsidR="00D64E4C">
        <w:t xml:space="preserve">Table </w:t>
      </w:r>
      <w:r w:rsidR="00D64E4C">
        <w:rPr>
          <w:noProof/>
        </w:rPr>
        <w:t>15</w:t>
      </w:r>
      <w:r>
        <w:rPr>
          <w:rFonts w:asciiTheme="majorHAnsi" w:eastAsia="Calibri" w:hAnsiTheme="majorHAnsi" w:cstheme="majorHAnsi"/>
          <w:szCs w:val="22"/>
          <w:lang w:val="en-US"/>
        </w:rPr>
        <w:fldChar w:fldCharType="end"/>
      </w:r>
      <w:r>
        <w:rPr>
          <w:rFonts w:asciiTheme="majorHAnsi" w:eastAsia="Calibri" w:hAnsiTheme="majorHAnsi" w:cstheme="majorHAnsi"/>
          <w:szCs w:val="22"/>
          <w:lang w:val="en-US"/>
        </w:rPr>
        <w:t xml:space="preserve"> </w:t>
      </w:r>
      <w:r w:rsidRPr="00455C66">
        <w:rPr>
          <w:rFonts w:asciiTheme="majorHAnsi" w:eastAsia="Calibri" w:hAnsiTheme="majorHAnsi" w:cstheme="majorHAnsi"/>
          <w:szCs w:val="22"/>
          <w:lang w:val="en-US"/>
        </w:rPr>
        <w:t xml:space="preserve">provides a summary of surveys on the current </w:t>
      </w:r>
      <w:proofErr w:type="spellStart"/>
      <w:r w:rsidRPr="00455C66" w:rsidDel="002B0448">
        <w:rPr>
          <w:rFonts w:asciiTheme="majorHAnsi" w:eastAsia="Calibri" w:hAnsiTheme="majorHAnsi" w:cstheme="majorHAnsi"/>
          <w:szCs w:val="22"/>
          <w:lang w:val="en-US"/>
        </w:rPr>
        <w:t>utili</w:t>
      </w:r>
      <w:r w:rsidDel="002B0448">
        <w:rPr>
          <w:rFonts w:asciiTheme="majorHAnsi" w:eastAsia="Calibri" w:hAnsiTheme="majorHAnsi" w:cstheme="majorHAnsi"/>
          <w:szCs w:val="22"/>
          <w:lang w:val="en-US"/>
        </w:rPr>
        <w:t>s</w:t>
      </w:r>
      <w:r w:rsidRPr="00455C66" w:rsidDel="002B0448">
        <w:rPr>
          <w:rFonts w:asciiTheme="majorHAnsi" w:eastAsia="Calibri" w:hAnsiTheme="majorHAnsi" w:cstheme="majorHAnsi"/>
          <w:szCs w:val="22"/>
          <w:lang w:val="en-US"/>
        </w:rPr>
        <w:t>ation</w:t>
      </w:r>
      <w:proofErr w:type="spellEnd"/>
      <w:r w:rsidRPr="00455C66">
        <w:rPr>
          <w:rFonts w:asciiTheme="majorHAnsi" w:eastAsia="Calibri" w:hAnsiTheme="majorHAnsi" w:cstheme="majorHAnsi"/>
          <w:szCs w:val="22"/>
          <w:lang w:val="en-US"/>
        </w:rPr>
        <w:t xml:space="preserve"> of domestic violence leave in Australian companies with existing family and domestic violence leave entitlements. </w:t>
      </w:r>
    </w:p>
    <w:p w14:paraId="76CF768E" w14:textId="046AFF55" w:rsidR="000D3F5A" w:rsidRDefault="000D3F5A" w:rsidP="000D3F5A">
      <w:pPr>
        <w:pStyle w:val="Caption"/>
      </w:pPr>
      <w:bookmarkStart w:id="163" w:name="_Ref134299213"/>
      <w:r>
        <w:t xml:space="preserve">Table </w:t>
      </w:r>
      <w:r>
        <w:fldChar w:fldCharType="begin"/>
      </w:r>
      <w:r>
        <w:instrText>SEQ Table \* ARABIC</w:instrText>
      </w:r>
      <w:r>
        <w:fldChar w:fldCharType="separate"/>
      </w:r>
      <w:r w:rsidR="00D64E4C">
        <w:rPr>
          <w:noProof/>
        </w:rPr>
        <w:t>15</w:t>
      </w:r>
      <w:r>
        <w:fldChar w:fldCharType="end"/>
      </w:r>
      <w:bookmarkEnd w:id="163"/>
      <w:r>
        <w:t>: Current Utilisation of Domestic Violence Leave</w:t>
      </w:r>
    </w:p>
    <w:tbl>
      <w:tblPr>
        <w:tblStyle w:val="GridTable4-Accent12"/>
        <w:tblW w:w="9015" w:type="dxa"/>
        <w:tblInd w:w="5" w:type="dxa"/>
        <w:tblLayout w:type="fixed"/>
        <w:tblLook w:val="04A0" w:firstRow="1" w:lastRow="0" w:firstColumn="1" w:lastColumn="0" w:noHBand="0" w:noVBand="1"/>
        <w:tblCaption w:val="TABLE 15: CURRENT UTILISATION OF DOMESTIC VIOLENCE LEAVE"/>
        <w:tblDescription w:val="The table provides an overview of studies that have explore the current utilisation of domestic violence leave take up. This includes studies done by the Fair Work Commission the Bank of Queensland, the WA government, the Victorian government, and the New Zealand government. Utilisation of domestic violence leave ranges from 0.05% of employees to 0.5% of employees. "/>
      </w:tblPr>
      <w:tblGrid>
        <w:gridCol w:w="2387"/>
        <w:gridCol w:w="2430"/>
        <w:gridCol w:w="2099"/>
        <w:gridCol w:w="2099"/>
      </w:tblGrid>
      <w:tr w:rsidR="000D3F5A" w:rsidRPr="00263ECE" w14:paraId="73B62FFD" w14:textId="77777777" w:rsidTr="002919A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4F1E58" w:themeColor="accent1" w:themeShade="BF"/>
              <w:left w:val="single" w:sz="4" w:space="0" w:color="4F1E58" w:themeColor="accent1" w:themeShade="BF"/>
              <w:bottom w:val="single" w:sz="4" w:space="0" w:color="4F1E58" w:themeColor="accent1" w:themeShade="BF"/>
              <w:right w:val="single" w:sz="6" w:space="0" w:color="4F1E58" w:themeColor="accent1" w:themeShade="BF"/>
            </w:tcBorders>
          </w:tcPr>
          <w:p w14:paraId="10041A41"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Company (Year of survey)</w:t>
            </w:r>
          </w:p>
        </w:tc>
        <w:tc>
          <w:tcPr>
            <w:tcW w:w="0"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086FDC0D" w14:textId="77777777" w:rsidR="000D3F5A" w:rsidRPr="00263ECE" w:rsidRDefault="000D3F5A" w:rsidP="005A678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Unique aspects of survey</w:t>
            </w:r>
          </w:p>
        </w:tc>
        <w:tc>
          <w:tcPr>
            <w:tcW w:w="0" w:type="dxa"/>
            <w:tcBorders>
              <w:top w:val="single" w:sz="4" w:space="0" w:color="4F1E58" w:themeColor="accent1" w:themeShade="BF"/>
              <w:left w:val="single" w:sz="6" w:space="0" w:color="4F1E58" w:themeColor="accent1" w:themeShade="BF"/>
              <w:bottom w:val="single" w:sz="4" w:space="0" w:color="4F1E58" w:themeColor="accent1" w:themeShade="BF"/>
              <w:right w:val="single" w:sz="6" w:space="0" w:color="4F1E58" w:themeColor="accent1" w:themeShade="BF"/>
            </w:tcBorders>
          </w:tcPr>
          <w:p w14:paraId="4659872F" w14:textId="77777777" w:rsidR="000D3F5A" w:rsidRPr="00263ECE" w:rsidRDefault="000D3F5A" w:rsidP="005A678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Average leave usage by employees</w:t>
            </w:r>
          </w:p>
        </w:tc>
        <w:tc>
          <w:tcPr>
            <w:tcW w:w="0" w:type="dxa"/>
            <w:tcBorders>
              <w:top w:val="single" w:sz="4" w:space="0" w:color="4F1E58" w:themeColor="accent1" w:themeShade="BF"/>
              <w:left w:val="single" w:sz="6" w:space="0" w:color="4F1E58" w:themeColor="accent1" w:themeShade="BF"/>
              <w:bottom w:val="single" w:sz="4" w:space="0" w:color="4F1E58" w:themeColor="accent1" w:themeShade="BF"/>
              <w:right w:val="single" w:sz="4" w:space="0" w:color="4F1E58" w:themeColor="accent1" w:themeShade="BF"/>
            </w:tcBorders>
          </w:tcPr>
          <w:p w14:paraId="73A3F335" w14:textId="77777777" w:rsidR="000D3F5A" w:rsidRPr="00263ECE" w:rsidRDefault="000D3F5A" w:rsidP="005A6787">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Other Data</w:t>
            </w:r>
          </w:p>
        </w:tc>
      </w:tr>
      <w:tr w:rsidR="000D3F5A" w:rsidRPr="00263ECE" w14:paraId="7E7A5B92" w14:textId="77777777" w:rsidTr="002919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dxa"/>
            <w:tcBorders>
              <w:top w:val="single" w:sz="4" w:space="0" w:color="4F1E58" w:themeColor="accent1" w:themeShade="BF"/>
            </w:tcBorders>
          </w:tcPr>
          <w:p w14:paraId="2F5BE0F1"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Fair Work Commission (2021)</w:t>
            </w:r>
          </w:p>
        </w:tc>
        <w:tc>
          <w:tcPr>
            <w:tcW w:w="2430" w:type="dxa"/>
            <w:tcBorders>
              <w:top w:val="single" w:sz="4" w:space="0" w:color="4F1E58" w:themeColor="accent1" w:themeShade="BF"/>
            </w:tcBorders>
          </w:tcPr>
          <w:p w14:paraId="72D143E8"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Survey of employers across multiple industries in 2021</w:t>
            </w:r>
          </w:p>
        </w:tc>
        <w:tc>
          <w:tcPr>
            <w:tcW w:w="2099" w:type="dxa"/>
            <w:tcBorders>
              <w:top w:val="single" w:sz="4" w:space="0" w:color="4F1E58" w:themeColor="accent1" w:themeShade="BF"/>
            </w:tcBorders>
          </w:tcPr>
          <w:p w14:paraId="61270A9F" w14:textId="72D6EE65"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0.05</w:t>
            </w:r>
            <w:r w:rsidR="002B0448">
              <w:rPr>
                <w:rFonts w:asciiTheme="majorHAnsi" w:eastAsia="Calibri" w:hAnsiTheme="majorHAnsi" w:cstheme="majorHAnsi"/>
                <w:sz w:val="18"/>
                <w:szCs w:val="18"/>
                <w:lang w:val="en-US"/>
              </w:rPr>
              <w:t>%</w:t>
            </w:r>
            <w:r w:rsidRPr="00263ECE">
              <w:rPr>
                <w:rFonts w:asciiTheme="majorHAnsi" w:eastAsia="Calibri" w:hAnsiTheme="majorHAnsi" w:cstheme="majorHAnsi"/>
                <w:sz w:val="18"/>
                <w:szCs w:val="18"/>
                <w:lang w:val="en-US"/>
              </w:rPr>
              <w:t xml:space="preserve"> of employees</w:t>
            </w:r>
          </w:p>
        </w:tc>
        <w:tc>
          <w:tcPr>
            <w:tcW w:w="2099" w:type="dxa"/>
            <w:tcBorders>
              <w:top w:val="single" w:sz="4" w:space="0" w:color="4F1E58" w:themeColor="accent1" w:themeShade="BF"/>
            </w:tcBorders>
          </w:tcPr>
          <w:p w14:paraId="31CF72F8"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 xml:space="preserve">7.3 employers responded that they had provided DV </w:t>
            </w:r>
            <w:r w:rsidRPr="00263ECE">
              <w:rPr>
                <w:rFonts w:asciiTheme="majorHAnsi" w:eastAsia="Calibri" w:hAnsiTheme="majorHAnsi" w:cstheme="majorHAnsi"/>
                <w:i/>
                <w:iCs/>
                <w:sz w:val="18"/>
                <w:szCs w:val="18"/>
                <w:lang w:val="en-US"/>
              </w:rPr>
              <w:t>unpaid</w:t>
            </w:r>
            <w:r w:rsidRPr="00263ECE">
              <w:rPr>
                <w:rFonts w:asciiTheme="majorHAnsi" w:eastAsia="Calibri" w:hAnsiTheme="majorHAnsi" w:cstheme="majorHAnsi"/>
                <w:sz w:val="18"/>
                <w:szCs w:val="18"/>
                <w:lang w:val="en-US"/>
              </w:rPr>
              <w:t xml:space="preserve"> leave in the past 12 months to at least one employee</w:t>
            </w:r>
          </w:p>
        </w:tc>
      </w:tr>
      <w:tr w:rsidR="000D3F5A" w:rsidRPr="00263ECE" w14:paraId="7E4F8763" w14:textId="77777777" w:rsidTr="005A6787">
        <w:trPr>
          <w:trHeight w:val="300"/>
        </w:trPr>
        <w:tc>
          <w:tcPr>
            <w:cnfStyle w:val="001000000000" w:firstRow="0" w:lastRow="0" w:firstColumn="1" w:lastColumn="0" w:oddVBand="0" w:evenVBand="0" w:oddHBand="0" w:evenHBand="0" w:firstRowFirstColumn="0" w:firstRowLastColumn="0" w:lastRowFirstColumn="0" w:lastRowLastColumn="0"/>
            <w:tcW w:w="2387" w:type="dxa"/>
          </w:tcPr>
          <w:p w14:paraId="3717FB2F"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Bank of Queensland (2021)</w:t>
            </w:r>
          </w:p>
        </w:tc>
        <w:tc>
          <w:tcPr>
            <w:tcW w:w="2430" w:type="dxa"/>
          </w:tcPr>
          <w:p w14:paraId="2E0BF964" w14:textId="77777777"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856 employees are entitled to 10 days of paid and 10 days of unpaid leave</w:t>
            </w:r>
          </w:p>
        </w:tc>
        <w:tc>
          <w:tcPr>
            <w:tcW w:w="2099" w:type="dxa"/>
          </w:tcPr>
          <w:p w14:paraId="1C6B3777" w14:textId="3A847FB8"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Over the 3 years from 2018-2021, 21 employees had taken up the leave (2.5</w:t>
            </w:r>
            <w:r w:rsidR="005D157E">
              <w:rPr>
                <w:rFonts w:asciiTheme="majorHAnsi" w:eastAsia="Calibri" w:hAnsiTheme="majorHAnsi" w:cstheme="majorHAnsi"/>
                <w:sz w:val="18"/>
                <w:szCs w:val="18"/>
                <w:lang w:val="en-US"/>
              </w:rPr>
              <w:t>%</w:t>
            </w:r>
            <w:r w:rsidRPr="00263ECE">
              <w:rPr>
                <w:rFonts w:asciiTheme="majorHAnsi" w:eastAsia="Calibri" w:hAnsiTheme="majorHAnsi" w:cstheme="majorHAnsi"/>
                <w:sz w:val="18"/>
                <w:szCs w:val="18"/>
                <w:lang w:val="en-US"/>
              </w:rPr>
              <w:t xml:space="preserve"> of employees or 0.8 per cent of employees per year)</w:t>
            </w:r>
          </w:p>
        </w:tc>
        <w:tc>
          <w:tcPr>
            <w:tcW w:w="2099" w:type="dxa"/>
          </w:tcPr>
          <w:p w14:paraId="583B844E" w14:textId="77777777"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3 days was the average number of days claimed with only one employee claiming the full 10 days.</w:t>
            </w:r>
          </w:p>
        </w:tc>
      </w:tr>
      <w:tr w:rsidR="000D3F5A" w:rsidRPr="00263ECE" w14:paraId="29A1465D" w14:textId="77777777" w:rsidTr="005A67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dxa"/>
          </w:tcPr>
          <w:p w14:paraId="4C09E61D"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Western Australian Government (2021)</w:t>
            </w:r>
          </w:p>
        </w:tc>
        <w:tc>
          <w:tcPr>
            <w:tcW w:w="2430" w:type="dxa"/>
          </w:tcPr>
          <w:p w14:paraId="32CDB7D5"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155,000 staff in the government were entitled up to 10 days of paid leave and 2 days of unpaid leave</w:t>
            </w:r>
          </w:p>
        </w:tc>
        <w:tc>
          <w:tcPr>
            <w:tcW w:w="2099" w:type="dxa"/>
          </w:tcPr>
          <w:p w14:paraId="1912434B" w14:textId="08248665"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0.5</w:t>
            </w:r>
            <w:r w:rsidR="005D157E">
              <w:rPr>
                <w:rFonts w:asciiTheme="majorHAnsi" w:eastAsia="Calibri" w:hAnsiTheme="majorHAnsi" w:cstheme="majorHAnsi"/>
                <w:sz w:val="18"/>
                <w:szCs w:val="18"/>
                <w:lang w:val="en-US"/>
              </w:rPr>
              <w:t>%</w:t>
            </w:r>
            <w:r w:rsidRPr="00263ECE">
              <w:rPr>
                <w:rFonts w:asciiTheme="majorHAnsi" w:eastAsia="Calibri" w:hAnsiTheme="majorHAnsi" w:cstheme="majorHAnsi"/>
                <w:sz w:val="18"/>
                <w:szCs w:val="18"/>
                <w:lang w:val="en-US"/>
              </w:rPr>
              <w:t xml:space="preserve"> of employees took up some form of leave</w:t>
            </w:r>
          </w:p>
        </w:tc>
        <w:tc>
          <w:tcPr>
            <w:tcW w:w="2099" w:type="dxa"/>
          </w:tcPr>
          <w:p w14:paraId="6CAC50B6"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In the 12 months from August 2020 to August 2021, a total of 869 days of leave was taken by all employees</w:t>
            </w:r>
          </w:p>
        </w:tc>
      </w:tr>
      <w:tr w:rsidR="000D3F5A" w:rsidRPr="00263ECE" w14:paraId="31051A96" w14:textId="77777777" w:rsidTr="005A6787">
        <w:trPr>
          <w:trHeight w:val="300"/>
        </w:trPr>
        <w:tc>
          <w:tcPr>
            <w:cnfStyle w:val="001000000000" w:firstRow="0" w:lastRow="0" w:firstColumn="1" w:lastColumn="0" w:oddVBand="0" w:evenVBand="0" w:oddHBand="0" w:evenHBand="0" w:firstRowFirstColumn="0" w:firstRowLastColumn="0" w:lastRowFirstColumn="0" w:lastRowLastColumn="0"/>
            <w:tcW w:w="2387" w:type="dxa"/>
          </w:tcPr>
          <w:p w14:paraId="2B151529"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Victorian Government (2022)</w:t>
            </w:r>
          </w:p>
        </w:tc>
        <w:tc>
          <w:tcPr>
            <w:tcW w:w="2430" w:type="dxa"/>
          </w:tcPr>
          <w:p w14:paraId="62D98249" w14:textId="77777777"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Up to 20 days of paid domestic violence leave is provided to all employees</w:t>
            </w:r>
          </w:p>
        </w:tc>
        <w:tc>
          <w:tcPr>
            <w:tcW w:w="2099" w:type="dxa"/>
          </w:tcPr>
          <w:p w14:paraId="4D6813CB" w14:textId="7C448E47"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0.3</w:t>
            </w:r>
            <w:r w:rsidR="005D157E">
              <w:rPr>
                <w:rFonts w:asciiTheme="majorHAnsi" w:eastAsia="Calibri" w:hAnsiTheme="majorHAnsi" w:cstheme="majorHAnsi"/>
                <w:sz w:val="18"/>
                <w:szCs w:val="18"/>
                <w:lang w:val="en-US"/>
              </w:rPr>
              <w:t>%</w:t>
            </w:r>
            <w:r w:rsidRPr="00263ECE">
              <w:rPr>
                <w:rFonts w:asciiTheme="majorHAnsi" w:eastAsia="Calibri" w:hAnsiTheme="majorHAnsi" w:cstheme="majorHAnsi"/>
                <w:sz w:val="18"/>
                <w:szCs w:val="18"/>
                <w:lang w:val="en-US"/>
              </w:rPr>
              <w:t xml:space="preserve"> of employees took up some DV leave</w:t>
            </w:r>
          </w:p>
        </w:tc>
        <w:tc>
          <w:tcPr>
            <w:tcW w:w="2099" w:type="dxa"/>
          </w:tcPr>
          <w:p w14:paraId="2CCC3474" w14:textId="77777777" w:rsidR="000D3F5A" w:rsidRPr="00263ECE" w:rsidRDefault="000D3F5A" w:rsidP="005A678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An average of 8.56 out of the total 20 days of leave was taken</w:t>
            </w:r>
          </w:p>
        </w:tc>
      </w:tr>
      <w:tr w:rsidR="000D3F5A" w:rsidRPr="00263ECE" w14:paraId="1D6E1330" w14:textId="77777777" w:rsidTr="005A67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7" w:type="dxa"/>
          </w:tcPr>
          <w:p w14:paraId="2BD9BB2B" w14:textId="77777777" w:rsidR="000D3F5A" w:rsidRPr="00263ECE" w:rsidRDefault="000D3F5A" w:rsidP="005A6787">
            <w:pPr>
              <w:jc w:val="center"/>
              <w:rPr>
                <w:rFonts w:asciiTheme="majorHAnsi" w:hAnsiTheme="majorHAnsi" w:cstheme="majorHAnsi"/>
                <w:sz w:val="18"/>
                <w:szCs w:val="18"/>
              </w:rPr>
            </w:pPr>
            <w:r w:rsidRPr="00263ECE">
              <w:rPr>
                <w:rFonts w:asciiTheme="majorHAnsi" w:eastAsia="Calibri" w:hAnsiTheme="majorHAnsi" w:cstheme="majorHAnsi"/>
                <w:sz w:val="18"/>
                <w:szCs w:val="18"/>
                <w:lang w:val="en-US"/>
              </w:rPr>
              <w:t>New Zealand Government Survey (2021)</w:t>
            </w:r>
          </w:p>
        </w:tc>
        <w:tc>
          <w:tcPr>
            <w:tcW w:w="2430" w:type="dxa"/>
          </w:tcPr>
          <w:p w14:paraId="5AEE2FD2"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The New Zealand government has legislated domestic violence leave for a couple of years. An informal survey of 19,000 employees was taken in 2021 to assess the take up rate of the leave.</w:t>
            </w:r>
          </w:p>
        </w:tc>
        <w:tc>
          <w:tcPr>
            <w:tcW w:w="2099" w:type="dxa"/>
          </w:tcPr>
          <w:p w14:paraId="7EAD64E6" w14:textId="6D1345D5"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0.5</w:t>
            </w:r>
            <w:r w:rsidR="005D157E">
              <w:rPr>
                <w:rFonts w:asciiTheme="majorHAnsi" w:eastAsia="Calibri" w:hAnsiTheme="majorHAnsi" w:cstheme="majorHAnsi"/>
                <w:sz w:val="18"/>
                <w:szCs w:val="18"/>
                <w:lang w:val="en-US"/>
              </w:rPr>
              <w:t>%</w:t>
            </w:r>
            <w:r w:rsidRPr="00263ECE">
              <w:rPr>
                <w:rFonts w:asciiTheme="majorHAnsi" w:eastAsia="Calibri" w:hAnsiTheme="majorHAnsi" w:cstheme="majorHAnsi"/>
                <w:sz w:val="18"/>
                <w:szCs w:val="18"/>
                <w:lang w:val="en-US"/>
              </w:rPr>
              <w:t xml:space="preserve"> of employees took up some form of the leave</w:t>
            </w:r>
          </w:p>
        </w:tc>
        <w:tc>
          <w:tcPr>
            <w:tcW w:w="2099" w:type="dxa"/>
          </w:tcPr>
          <w:p w14:paraId="5D04D50C" w14:textId="77777777" w:rsidR="000D3F5A" w:rsidRPr="00263ECE" w:rsidRDefault="000D3F5A" w:rsidP="005A678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263ECE">
              <w:rPr>
                <w:rFonts w:asciiTheme="majorHAnsi" w:eastAsia="Calibri" w:hAnsiTheme="majorHAnsi" w:cstheme="majorHAnsi"/>
                <w:sz w:val="18"/>
                <w:szCs w:val="18"/>
                <w:lang w:val="en-US"/>
              </w:rPr>
              <w:t>The average usage was under 5 days out of the 10 days that each employee was eligible for.</w:t>
            </w:r>
          </w:p>
        </w:tc>
      </w:tr>
    </w:tbl>
    <w:p w14:paraId="22E2EC82" w14:textId="77777777" w:rsidR="000D3F5A" w:rsidRPr="009C0AF6" w:rsidRDefault="000D3F5A" w:rsidP="00635F9C">
      <w:pPr>
        <w:spacing w:before="60" w:after="60" w:line="240" w:lineRule="atLeast"/>
        <w:rPr>
          <w:rFonts w:asciiTheme="majorHAnsi" w:eastAsia="Calibri" w:hAnsiTheme="majorHAnsi" w:cstheme="majorHAnsi"/>
          <w:b/>
          <w:i/>
          <w:sz w:val="16"/>
          <w:szCs w:val="16"/>
        </w:rPr>
      </w:pPr>
      <w:r w:rsidRPr="009C0AF6">
        <w:rPr>
          <w:rFonts w:asciiTheme="majorHAnsi" w:eastAsia="Calibri" w:hAnsiTheme="majorHAnsi" w:cstheme="majorHAnsi"/>
          <w:b/>
          <w:i/>
          <w:sz w:val="16"/>
          <w:szCs w:val="16"/>
        </w:rPr>
        <w:t>Source: Fair Work Commission (Domestic and violence leave review 2021) published 16 May 2022, DVFREE</w:t>
      </w:r>
    </w:p>
    <w:p w14:paraId="1BC82EF3" w14:textId="7DE1E618" w:rsidR="000D3F5A" w:rsidRDefault="57EA3EE9" w:rsidP="24862EB2">
      <w:pPr>
        <w:rPr>
          <w:rFonts w:asciiTheme="majorHAnsi" w:eastAsia="Calibri" w:hAnsiTheme="majorHAnsi" w:cstheme="majorBidi"/>
          <w:lang w:val="en-US"/>
        </w:rPr>
        <w:sectPr w:rsidR="000D3F5A" w:rsidSect="00E208B3">
          <w:endnotePr>
            <w:numFmt w:val="decimal"/>
            <w:numRestart w:val="eachSect"/>
          </w:endnotePr>
          <w:pgSz w:w="11907" w:h="16839" w:code="9"/>
          <w:pgMar w:top="1080" w:right="1440" w:bottom="1276" w:left="1440" w:header="709" w:footer="709" w:gutter="0"/>
          <w:cols w:space="708"/>
          <w:docGrid w:linePitch="360"/>
        </w:sectPr>
      </w:pPr>
      <w:r w:rsidRPr="24862EB2">
        <w:rPr>
          <w:rFonts w:asciiTheme="majorHAnsi" w:eastAsia="Calibri" w:hAnsiTheme="majorHAnsi" w:cstheme="majorBidi"/>
          <w:lang w:val="en-US"/>
        </w:rPr>
        <w:t>Stanford (2016)</w:t>
      </w:r>
      <w:r w:rsidR="00C320FE">
        <w:rPr>
          <w:rStyle w:val="FootnoteReference"/>
          <w:rFonts w:asciiTheme="majorHAnsi" w:eastAsia="Calibri" w:hAnsiTheme="majorHAnsi" w:cstheme="majorBidi"/>
          <w:lang w:val="en-US"/>
        </w:rPr>
        <w:footnoteReference w:id="34"/>
      </w:r>
      <w:r w:rsidRPr="24862EB2">
        <w:rPr>
          <w:rFonts w:asciiTheme="majorHAnsi" w:eastAsia="Calibri" w:hAnsiTheme="majorHAnsi" w:cstheme="majorBidi"/>
          <w:lang w:val="en-US"/>
        </w:rPr>
        <w:t xml:space="preserve"> conducted a study that estimated the likelihood of taking leave if a person is experiencing violence or abuse to be </w:t>
      </w:r>
      <w:bookmarkStart w:id="164" w:name="_Int_yDoxKx4e"/>
      <w:r w:rsidRPr="24862EB2">
        <w:rPr>
          <w:rFonts w:asciiTheme="majorHAnsi" w:eastAsia="Calibri" w:hAnsiTheme="majorHAnsi" w:cstheme="majorBidi"/>
          <w:lang w:val="en-US"/>
        </w:rPr>
        <w:t>approximately 53.8%</w:t>
      </w:r>
      <w:bookmarkEnd w:id="164"/>
      <w:r w:rsidRPr="24862EB2">
        <w:rPr>
          <w:rFonts w:asciiTheme="majorHAnsi" w:eastAsia="Calibri" w:hAnsiTheme="majorHAnsi" w:cstheme="majorBidi"/>
          <w:lang w:val="en-US"/>
        </w:rPr>
        <w:t xml:space="preserve"> for women and 29.3% for men. A potential reason provided was that for the </w:t>
      </w:r>
      <w:r w:rsidR="23425FC2" w:rsidRPr="24862EB2">
        <w:rPr>
          <w:rFonts w:asciiTheme="majorHAnsi" w:eastAsia="Calibri" w:hAnsiTheme="majorHAnsi" w:cstheme="majorBidi"/>
          <w:lang w:val="en-US"/>
        </w:rPr>
        <w:t>companies</w:t>
      </w:r>
      <w:r w:rsidRPr="24862EB2">
        <w:rPr>
          <w:rFonts w:asciiTheme="majorHAnsi" w:eastAsia="Calibri" w:hAnsiTheme="majorHAnsi" w:cstheme="majorBidi"/>
          <w:lang w:val="en-US"/>
        </w:rPr>
        <w:t xml:space="preserve"> surveyed, domestic violence and </w:t>
      </w:r>
      <w:r w:rsidRPr="24862EB2">
        <w:rPr>
          <w:rFonts w:asciiTheme="majorHAnsi" w:eastAsia="Calibri" w:hAnsiTheme="majorHAnsi" w:cstheme="majorBidi"/>
          <w:lang w:val="en-US"/>
        </w:rPr>
        <w:lastRenderedPageBreak/>
        <w:t xml:space="preserve">family leave might not have been widely known or understood by all employees, or there may have been a stigma associated with the use of </w:t>
      </w:r>
      <w:bookmarkStart w:id="165" w:name="_Int_9z3Fm22X"/>
      <w:r w:rsidRPr="24862EB2">
        <w:rPr>
          <w:rFonts w:asciiTheme="majorHAnsi" w:eastAsia="Calibri" w:hAnsiTheme="majorHAnsi" w:cstheme="majorBidi"/>
          <w:lang w:val="en-US"/>
        </w:rPr>
        <w:t>the leave</w:t>
      </w:r>
      <w:bookmarkEnd w:id="165"/>
      <w:r w:rsidRPr="24862EB2">
        <w:rPr>
          <w:rFonts w:asciiTheme="majorHAnsi" w:eastAsia="Calibri" w:hAnsiTheme="majorHAnsi" w:cstheme="majorBidi"/>
          <w:lang w:val="en-US"/>
        </w:rPr>
        <w:t>.</w:t>
      </w:r>
    </w:p>
    <w:p w14:paraId="36C1BDAB" w14:textId="0B71C9C6" w:rsidR="00A96EF8" w:rsidRDefault="000D3F5A" w:rsidP="009C6680">
      <w:pPr>
        <w:pStyle w:val="Heading2"/>
        <w:numPr>
          <w:ilvl w:val="0"/>
          <w:numId w:val="0"/>
        </w:numPr>
        <w:ind w:left="432" w:hanging="432"/>
        <w:rPr>
          <w:rFonts w:eastAsia="Arial" w:cs="Arial"/>
          <w:i/>
        </w:rPr>
      </w:pPr>
      <w:r>
        <w:lastRenderedPageBreak/>
        <w:t>Appendix C</w:t>
      </w:r>
      <w:r w:rsidR="00A96EF8" w:rsidRPr="770F6665">
        <w:t xml:space="preserve"> – </w:t>
      </w:r>
      <w:r w:rsidR="00A96EF8">
        <w:t xml:space="preserve">Non-wage Aged Care </w:t>
      </w:r>
      <w:r w:rsidR="00062971">
        <w:t>r</w:t>
      </w:r>
      <w:r w:rsidR="00A96EF8">
        <w:t>eforms</w:t>
      </w:r>
    </w:p>
    <w:p w14:paraId="1616A42C" w14:textId="77777777" w:rsidR="00A70AF0" w:rsidRDefault="00373912" w:rsidP="00373912">
      <w:pPr>
        <w:rPr>
          <w:rFonts w:eastAsia="Arial" w:cs="Arial"/>
        </w:rPr>
      </w:pPr>
      <w:r>
        <w:rPr>
          <w:rFonts w:eastAsia="Arial" w:cs="Arial"/>
        </w:rPr>
        <w:t>In addition</w:t>
      </w:r>
      <w:r w:rsidR="001F3091">
        <w:rPr>
          <w:rFonts w:eastAsia="Arial" w:cs="Arial"/>
        </w:rPr>
        <w:t xml:space="preserve"> to the 15% increase to relevant wages in Aged Care</w:t>
      </w:r>
      <w:r w:rsidR="00B314BB">
        <w:rPr>
          <w:rFonts w:eastAsia="Arial" w:cs="Arial"/>
        </w:rPr>
        <w:t xml:space="preserve">-related </w:t>
      </w:r>
      <w:r w:rsidR="001F3091">
        <w:rPr>
          <w:rFonts w:eastAsia="Arial" w:cs="Arial"/>
        </w:rPr>
        <w:t>Awards</w:t>
      </w:r>
      <w:r w:rsidR="00B314BB">
        <w:rPr>
          <w:rFonts w:eastAsia="Arial" w:cs="Arial"/>
        </w:rPr>
        <w:t xml:space="preserve">, there are other reforms being introduced to improve the quality of care </w:t>
      </w:r>
      <w:r w:rsidR="00A70AF0">
        <w:rPr>
          <w:rFonts w:eastAsia="Arial" w:cs="Arial"/>
        </w:rPr>
        <w:t>of those receiving aged care supports.</w:t>
      </w:r>
    </w:p>
    <w:p w14:paraId="2C893673" w14:textId="25F07DCB" w:rsidR="00373912" w:rsidRPr="00373912" w:rsidRDefault="00373912" w:rsidP="00373912">
      <w:pPr>
        <w:rPr>
          <w:rFonts w:eastAsia="Arial" w:cs="Arial"/>
        </w:rPr>
      </w:pPr>
      <w:r w:rsidRPr="00373912">
        <w:rPr>
          <w:rFonts w:eastAsia="Arial" w:cs="Arial"/>
        </w:rPr>
        <w:t>Specifically, the Government has committed to introducing:</w:t>
      </w:r>
    </w:p>
    <w:p w14:paraId="26FAB3EB" w14:textId="77777777" w:rsidR="00373912" w:rsidRPr="00373912" w:rsidRDefault="00373912" w:rsidP="00C727CC">
      <w:pPr>
        <w:pStyle w:val="ListParagraph"/>
        <w:numPr>
          <w:ilvl w:val="0"/>
          <w:numId w:val="1"/>
        </w:numPr>
        <w:tabs>
          <w:tab w:val="left" w:pos="720"/>
        </w:tabs>
        <w:rPr>
          <w:rFonts w:eastAsia="Arial" w:cs="Arial"/>
        </w:rPr>
      </w:pPr>
      <w:r w:rsidRPr="00373912">
        <w:rPr>
          <w:rFonts w:eastAsia="Arial" w:cs="Arial"/>
        </w:rPr>
        <w:t>mandatory 200 minutes of care time, per resident, per day (including 40 minutes by a Registered Nurse) from October 2023.</w:t>
      </w:r>
    </w:p>
    <w:p w14:paraId="7AD5058D" w14:textId="77777777" w:rsidR="00373912" w:rsidRPr="00373912" w:rsidRDefault="00373912" w:rsidP="00C727CC">
      <w:pPr>
        <w:pStyle w:val="ListParagraph"/>
        <w:numPr>
          <w:ilvl w:val="0"/>
          <w:numId w:val="1"/>
        </w:numPr>
        <w:tabs>
          <w:tab w:val="left" w:pos="720"/>
        </w:tabs>
        <w:rPr>
          <w:rFonts w:eastAsia="Arial" w:cs="Arial"/>
        </w:rPr>
      </w:pPr>
      <w:r w:rsidRPr="00373912">
        <w:rPr>
          <w:rFonts w:eastAsia="Arial" w:cs="Arial"/>
        </w:rPr>
        <w:t>mandatory 215 minutes of care time, per resident, per day (including 44 minutes by a Registered Nurse) from October 2024.</w:t>
      </w:r>
    </w:p>
    <w:p w14:paraId="5942E17D" w14:textId="15409EAF" w:rsidR="00373912" w:rsidRPr="00373912" w:rsidRDefault="678A1CA7" w:rsidP="00373912">
      <w:pPr>
        <w:rPr>
          <w:rFonts w:eastAsia="Arial" w:cs="Arial"/>
        </w:rPr>
      </w:pPr>
      <w:r w:rsidRPr="00373912">
        <w:rPr>
          <w:rFonts w:eastAsia="Arial" w:cs="Arial"/>
        </w:rPr>
        <w:t>A recent study by CSIRO in 2021</w:t>
      </w:r>
      <w:r w:rsidR="00C320FE">
        <w:rPr>
          <w:rStyle w:val="FootnoteReference"/>
          <w:rFonts w:eastAsia="Arial" w:cs="Arial"/>
        </w:rPr>
        <w:footnoteReference w:id="35"/>
      </w:r>
      <w:r w:rsidRPr="00373912">
        <w:rPr>
          <w:rFonts w:eastAsia="Arial" w:cs="Arial"/>
        </w:rPr>
        <w:t xml:space="preserve"> found one in ten Australian Residential Aged Care Facilities met this recommended number of care time suggested by the Royal Commission. </w:t>
      </w:r>
    </w:p>
    <w:p w14:paraId="75D16E92" w14:textId="77777777" w:rsidR="00373912" w:rsidRPr="00373912" w:rsidRDefault="19ED92D4" w:rsidP="00373912">
      <w:pPr>
        <w:rPr>
          <w:rFonts w:eastAsia="Arial" w:cs="Arial"/>
        </w:rPr>
      </w:pPr>
      <w:r w:rsidRPr="24862EB2">
        <w:rPr>
          <w:rFonts w:eastAsia="Arial" w:cs="Arial"/>
        </w:rPr>
        <w:t xml:space="preserve">What this will mean is that many aged providers would </w:t>
      </w:r>
      <w:bookmarkStart w:id="166" w:name="_Int_Xc0vrnbu"/>
      <w:r w:rsidRPr="24862EB2">
        <w:rPr>
          <w:rFonts w:eastAsia="Arial" w:cs="Arial"/>
        </w:rPr>
        <w:t>likely need</w:t>
      </w:r>
      <w:bookmarkEnd w:id="166"/>
      <w:r w:rsidRPr="24862EB2">
        <w:rPr>
          <w:rFonts w:eastAsia="Arial" w:cs="Arial"/>
        </w:rPr>
        <w:t xml:space="preserve"> to hire additional staff to meet these new, mandatory requirements. There is the potential for these changes to have flow on implication to the current and potential future worker pool of support workers to deliver supports to NDIS participants. </w:t>
      </w:r>
    </w:p>
    <w:p w14:paraId="7E8BC208" w14:textId="43443779" w:rsidR="00373912" w:rsidRPr="00373912" w:rsidRDefault="678A1CA7" w:rsidP="00373912">
      <w:pPr>
        <w:rPr>
          <w:rFonts w:eastAsia="Arial" w:cs="Arial"/>
        </w:rPr>
      </w:pPr>
      <w:r w:rsidRPr="00373912">
        <w:rPr>
          <w:rFonts w:eastAsia="Arial" w:cs="Arial"/>
        </w:rPr>
        <w:t>Additionally, the Federal Government has an ongoing review into Aged Care Quality Standards and are currently consulting on a new model for regulating Aged Care will likely spur further reforms aimed at improving the quality-of-service provision to participants receiving aged care supports.</w:t>
      </w:r>
      <w:r w:rsidR="00C320FE">
        <w:rPr>
          <w:rStyle w:val="FootnoteReference"/>
          <w:rFonts w:eastAsia="Arial" w:cs="Arial"/>
        </w:rPr>
        <w:footnoteReference w:id="36"/>
      </w:r>
      <w:r w:rsidRPr="00373912">
        <w:rPr>
          <w:rFonts w:eastAsia="Arial" w:cs="Arial"/>
        </w:rPr>
        <w:t xml:space="preserve"> These reforms are expected to further impact demand for aged care staff, which again may have flow on impacts on the current and potential pool of disability support workers.  </w:t>
      </w:r>
    </w:p>
    <w:p w14:paraId="529FBBCB" w14:textId="45ED8A29" w:rsidR="00373912" w:rsidRPr="00373912" w:rsidRDefault="00373912" w:rsidP="00373912">
      <w:pPr>
        <w:rPr>
          <w:rFonts w:eastAsia="Arial" w:cs="Arial"/>
        </w:rPr>
      </w:pPr>
      <w:r w:rsidRPr="00373912">
        <w:rPr>
          <w:rFonts w:eastAsia="Arial" w:cs="Arial"/>
        </w:rPr>
        <w:t xml:space="preserve">These non-wage reforms are expected to have workforce impacts to the disability sector, but they should be monitored over the following years to see the real impacts with worker mobility and total workforce numbers. The NDIA also acknowledges that there is expected to be assistance provided by the Government to assist aged care providers with these proposed aged care reforms. </w:t>
      </w:r>
    </w:p>
    <w:p w14:paraId="4D542C96" w14:textId="052AAB1C" w:rsidR="6D9B8DF4" w:rsidRPr="00B547F8" w:rsidRDefault="53C94EF4" w:rsidP="00B547F8">
      <w:pPr>
        <w:rPr>
          <w:rFonts w:eastAsia="Arial" w:cs="Arial"/>
        </w:rPr>
      </w:pPr>
      <w:r w:rsidRPr="00373912">
        <w:rPr>
          <w:rFonts w:eastAsia="Arial" w:cs="Arial"/>
        </w:rPr>
        <w:t>The 202</w:t>
      </w:r>
      <w:r w:rsidR="716B4379">
        <w:rPr>
          <w:rFonts w:eastAsia="Arial" w:cs="Arial"/>
        </w:rPr>
        <w:t>3</w:t>
      </w:r>
      <w:r w:rsidRPr="00373912">
        <w:rPr>
          <w:rFonts w:eastAsia="Arial" w:cs="Arial"/>
        </w:rPr>
        <w:t>/2</w:t>
      </w:r>
      <w:r w:rsidR="716B4379">
        <w:rPr>
          <w:rFonts w:eastAsia="Arial" w:cs="Arial"/>
        </w:rPr>
        <w:t>4</w:t>
      </w:r>
      <w:r w:rsidRPr="00373912">
        <w:rPr>
          <w:rFonts w:eastAsia="Arial" w:cs="Arial"/>
        </w:rPr>
        <w:t xml:space="preserve"> budget projects expenditure on Aged Care services to </w:t>
      </w:r>
      <w:r w:rsidR="3BD49AAE">
        <w:rPr>
          <w:rFonts w:eastAsia="Arial" w:cs="Arial"/>
        </w:rPr>
        <w:t>rise by</w:t>
      </w:r>
      <w:r w:rsidRPr="00373912">
        <w:rPr>
          <w:rFonts w:eastAsia="Arial" w:cs="Arial"/>
        </w:rPr>
        <w:t xml:space="preserve"> </w:t>
      </w:r>
      <w:r w:rsidR="3BD49AAE">
        <w:rPr>
          <w:rFonts w:eastAsia="Arial" w:cs="Arial"/>
        </w:rPr>
        <w:t>21</w:t>
      </w:r>
      <w:r w:rsidRPr="00373912">
        <w:rPr>
          <w:rFonts w:eastAsia="Arial" w:cs="Arial"/>
        </w:rPr>
        <w:t>% in 202</w:t>
      </w:r>
      <w:r w:rsidR="3BD49AAE">
        <w:rPr>
          <w:rFonts w:eastAsia="Arial" w:cs="Arial"/>
        </w:rPr>
        <w:t>3</w:t>
      </w:r>
      <w:r w:rsidRPr="00373912">
        <w:rPr>
          <w:rFonts w:eastAsia="Arial" w:cs="Arial"/>
        </w:rPr>
        <w:t>-2</w:t>
      </w:r>
      <w:r w:rsidR="3BD49AAE">
        <w:rPr>
          <w:rFonts w:eastAsia="Arial" w:cs="Arial"/>
        </w:rPr>
        <w:t>4</w:t>
      </w:r>
      <w:r w:rsidRPr="00373912">
        <w:rPr>
          <w:rFonts w:eastAsia="Arial" w:cs="Arial"/>
        </w:rPr>
        <w:t xml:space="preserve"> to $</w:t>
      </w:r>
      <w:r w:rsidR="3BD49AAE">
        <w:rPr>
          <w:rFonts w:eastAsia="Arial" w:cs="Arial"/>
        </w:rPr>
        <w:t>32.7</w:t>
      </w:r>
      <w:r w:rsidRPr="00373912">
        <w:rPr>
          <w:rFonts w:eastAsia="Arial" w:cs="Arial"/>
        </w:rPr>
        <w:t xml:space="preserve"> billion, followed by a </w:t>
      </w:r>
      <w:r w:rsidR="3BD49AAE">
        <w:rPr>
          <w:rFonts w:eastAsia="Arial" w:cs="Arial"/>
        </w:rPr>
        <w:t>9.9</w:t>
      </w:r>
      <w:r w:rsidRPr="00373912">
        <w:rPr>
          <w:rFonts w:eastAsia="Arial" w:cs="Arial"/>
        </w:rPr>
        <w:t>% jump in 2023-24.</w:t>
      </w:r>
      <w:r w:rsidR="14A6712E" w:rsidRPr="001554C2">
        <w:t xml:space="preserve"> </w:t>
      </w:r>
      <w:r w:rsidR="14A6712E">
        <w:rPr>
          <w:rFonts w:eastAsia="Arial" w:cs="Arial"/>
        </w:rPr>
        <w:t>Driving the large growth in 2023-24 is the</w:t>
      </w:r>
      <w:r w:rsidR="14A6712E" w:rsidRPr="001554C2">
        <w:rPr>
          <w:rFonts w:eastAsia="Arial" w:cs="Arial"/>
        </w:rPr>
        <w:t xml:space="preserve"> implement</w:t>
      </w:r>
      <w:r w:rsidR="14A6712E">
        <w:rPr>
          <w:rFonts w:eastAsia="Arial" w:cs="Arial"/>
        </w:rPr>
        <w:t>ation of</w:t>
      </w:r>
      <w:r w:rsidR="14A6712E" w:rsidRPr="001554C2">
        <w:rPr>
          <w:rFonts w:eastAsia="Arial" w:cs="Arial"/>
        </w:rPr>
        <w:t xml:space="preserve"> the Fair Work Commission’s decision on the </w:t>
      </w:r>
      <w:r w:rsidR="14A6712E" w:rsidRPr="24862EB2">
        <w:rPr>
          <w:rFonts w:eastAsia="Arial" w:cs="Arial"/>
          <w:i/>
          <w:iCs/>
        </w:rPr>
        <w:t>Aged Care Work Value Case</w:t>
      </w:r>
      <w:r w:rsidR="14A6712E" w:rsidRPr="001554C2">
        <w:rPr>
          <w:rFonts w:eastAsia="Arial" w:cs="Arial"/>
        </w:rPr>
        <w:t xml:space="preserve"> which increased minimum award wages by 15 per cent from 30 June 2023 for many aged care workers</w:t>
      </w:r>
      <w:r w:rsidRPr="00373912">
        <w:rPr>
          <w:rFonts w:eastAsia="Arial" w:cs="Arial"/>
        </w:rPr>
        <w:t>.</w:t>
      </w:r>
      <w:r w:rsidR="00C320FE">
        <w:rPr>
          <w:rStyle w:val="FootnoteReference"/>
          <w:rFonts w:eastAsia="Arial" w:cs="Arial"/>
        </w:rPr>
        <w:footnoteReference w:id="37"/>
      </w:r>
    </w:p>
    <w:sectPr w:rsidR="6D9B8DF4" w:rsidRPr="00B547F8" w:rsidSect="00E208B3">
      <w:endnotePr>
        <w:numFmt w:val="decimal"/>
        <w:numRestart w:val="eachSect"/>
      </w:endnotePr>
      <w:pgSz w:w="11907" w:h="16839" w:code="9"/>
      <w:pgMar w:top="108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92BA" w14:textId="77777777" w:rsidR="000606D0" w:rsidRDefault="000606D0" w:rsidP="007219F1">
      <w:pPr>
        <w:spacing w:after="0" w:line="240" w:lineRule="auto"/>
      </w:pPr>
      <w:r>
        <w:separator/>
      </w:r>
    </w:p>
    <w:p w14:paraId="1AEE9CC0" w14:textId="77777777" w:rsidR="000606D0" w:rsidRDefault="000606D0"/>
    <w:p w14:paraId="4F00278C" w14:textId="77777777" w:rsidR="000606D0" w:rsidRDefault="000606D0"/>
    <w:p w14:paraId="53FA0FBB" w14:textId="77777777" w:rsidR="000606D0" w:rsidRDefault="000606D0"/>
    <w:p w14:paraId="3B3A6C06" w14:textId="77777777" w:rsidR="000606D0" w:rsidRDefault="000606D0"/>
    <w:p w14:paraId="4B4EFC05" w14:textId="77777777" w:rsidR="000606D0" w:rsidRDefault="000606D0"/>
  </w:endnote>
  <w:endnote w:type="continuationSeparator" w:id="0">
    <w:p w14:paraId="67A31DCC" w14:textId="77777777" w:rsidR="000606D0" w:rsidRDefault="000606D0" w:rsidP="007219F1">
      <w:pPr>
        <w:spacing w:after="0" w:line="240" w:lineRule="auto"/>
      </w:pPr>
      <w:r>
        <w:continuationSeparator/>
      </w:r>
    </w:p>
    <w:p w14:paraId="77BB0FB2" w14:textId="77777777" w:rsidR="000606D0" w:rsidRDefault="000606D0"/>
    <w:p w14:paraId="5E5611C7" w14:textId="77777777" w:rsidR="000606D0" w:rsidRDefault="000606D0"/>
    <w:p w14:paraId="26F4F1B6" w14:textId="77777777" w:rsidR="000606D0" w:rsidRDefault="000606D0"/>
    <w:p w14:paraId="1DE9949B" w14:textId="77777777" w:rsidR="000606D0" w:rsidRDefault="000606D0"/>
    <w:p w14:paraId="24F6CEB5" w14:textId="77777777" w:rsidR="000606D0" w:rsidRDefault="000606D0"/>
  </w:endnote>
  <w:endnote w:type="continuationNotice" w:id="1">
    <w:p w14:paraId="54EA327C" w14:textId="77777777" w:rsidR="000606D0" w:rsidRDefault="000606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 Me Pr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FS Me Pro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620100"/>
      <w:docPartObj>
        <w:docPartGallery w:val="Page Numbers (Bottom of Page)"/>
        <w:docPartUnique/>
      </w:docPartObj>
    </w:sdtPr>
    <w:sdtEndPr>
      <w:rPr>
        <w:noProof/>
      </w:rPr>
    </w:sdtEndPr>
    <w:sdtContent>
      <w:p w14:paraId="05755784" w14:textId="3EF67CDE" w:rsidR="009C7771" w:rsidRDefault="009C7771" w:rsidP="00827017">
        <w:pPr>
          <w:pStyle w:val="Footer"/>
          <w:jc w:val="center"/>
        </w:pPr>
        <w:r>
          <w:fldChar w:fldCharType="begin"/>
        </w:r>
        <w:r>
          <w:instrText xml:space="preserve"> PAGE   \* MERGEFORMAT </w:instrText>
        </w:r>
        <w:r>
          <w:fldChar w:fldCharType="separate"/>
        </w:r>
        <w:r w:rsidR="009D3AFE">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54AA8" w14:textId="77777777" w:rsidR="009C7771" w:rsidRDefault="009C7771" w:rsidP="00827017">
    <w:r w:rsidRPr="00321F81">
      <w:rPr>
        <w:noProof/>
        <w:lang w:eastAsia="en-AU"/>
      </w:rPr>
      <w:drawing>
        <wp:inline distT="0" distB="0" distL="0" distR="0" wp14:anchorId="36CC65E8" wp14:editId="5A6E3A97">
          <wp:extent cx="2275200" cy="540000"/>
          <wp:effectExtent l="0" t="0" r="0" b="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227F" w14:textId="2106836D" w:rsidR="009C7771" w:rsidRDefault="009C7771" w:rsidP="00206483">
    <w:pPr>
      <w:pStyle w:val="Footer"/>
      <w:jc w:val="center"/>
    </w:pPr>
    <w:r>
      <w:fldChar w:fldCharType="begin"/>
    </w:r>
    <w:r>
      <w:instrText xml:space="preserve"> PAGE   \* MERGEFORMAT </w:instrText>
    </w:r>
    <w:r>
      <w:fldChar w:fldCharType="separate"/>
    </w:r>
    <w:r w:rsidR="009D3AF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22769" w14:textId="77777777" w:rsidR="000606D0" w:rsidRDefault="000606D0">
      <w:r>
        <w:separator/>
      </w:r>
    </w:p>
  </w:footnote>
  <w:footnote w:type="continuationSeparator" w:id="0">
    <w:p w14:paraId="4BDE6A19" w14:textId="77777777" w:rsidR="000606D0" w:rsidRDefault="000606D0" w:rsidP="007219F1">
      <w:pPr>
        <w:spacing w:after="0" w:line="240" w:lineRule="auto"/>
      </w:pPr>
      <w:r>
        <w:continuationSeparator/>
      </w:r>
    </w:p>
    <w:p w14:paraId="2E992616" w14:textId="77777777" w:rsidR="000606D0" w:rsidRDefault="000606D0"/>
    <w:p w14:paraId="4456EE23" w14:textId="77777777" w:rsidR="000606D0" w:rsidRDefault="000606D0"/>
    <w:p w14:paraId="55FA8DE1" w14:textId="77777777" w:rsidR="000606D0" w:rsidRDefault="000606D0"/>
    <w:p w14:paraId="0821D06D" w14:textId="77777777" w:rsidR="000606D0" w:rsidRDefault="000606D0"/>
    <w:p w14:paraId="1445975A" w14:textId="77777777" w:rsidR="000606D0" w:rsidRDefault="000606D0"/>
  </w:footnote>
  <w:footnote w:type="continuationNotice" w:id="1">
    <w:p w14:paraId="4E56404E" w14:textId="77777777" w:rsidR="000606D0" w:rsidRDefault="000606D0">
      <w:pPr>
        <w:spacing w:after="0" w:line="240" w:lineRule="auto"/>
      </w:pPr>
    </w:p>
  </w:footnote>
  <w:footnote w:id="2">
    <w:p w14:paraId="2B238B30" w14:textId="0513CFCF" w:rsidR="00D46534" w:rsidRDefault="00D46534">
      <w:pPr>
        <w:pStyle w:val="FootnoteText"/>
      </w:pPr>
      <w:r>
        <w:rPr>
          <w:rStyle w:val="FootnoteReference"/>
        </w:rPr>
        <w:footnoteRef/>
      </w:r>
      <w:r>
        <w:t xml:space="preserve"> NDIS Quarterly Report to Ministers found </w:t>
      </w:r>
      <w:hyperlink r:id="rId1" w:history="1">
        <w:r w:rsidRPr="00D46534">
          <w:rPr>
            <w:rStyle w:val="Hyperlink"/>
          </w:rPr>
          <w:t>here</w:t>
        </w:r>
      </w:hyperlink>
      <w:r>
        <w:t>.</w:t>
      </w:r>
    </w:p>
  </w:footnote>
  <w:footnote w:id="3">
    <w:p w14:paraId="07D49558" w14:textId="0F5B3E90" w:rsidR="00D46534" w:rsidRDefault="00D46534">
      <w:pPr>
        <w:pStyle w:val="FootnoteText"/>
      </w:pPr>
      <w:r>
        <w:rPr>
          <w:rStyle w:val="FootnoteReference"/>
        </w:rPr>
        <w:footnoteRef/>
      </w:r>
      <w:r>
        <w:t xml:space="preserve"> Information on the NDIA’s Pricing Reference Group can be found </w:t>
      </w:r>
      <w:hyperlink r:id="rId2" w:history="1">
        <w:r w:rsidRPr="00D46534">
          <w:rPr>
            <w:rStyle w:val="Hyperlink"/>
          </w:rPr>
          <w:t>here</w:t>
        </w:r>
      </w:hyperlink>
      <w:r>
        <w:t>.</w:t>
      </w:r>
    </w:p>
  </w:footnote>
  <w:footnote w:id="4">
    <w:p w14:paraId="6BB1C1BF" w14:textId="50A298A9" w:rsidR="00E034D8" w:rsidRDefault="00E034D8">
      <w:pPr>
        <w:pStyle w:val="FootnoteText"/>
      </w:pPr>
      <w:r>
        <w:rPr>
          <w:rStyle w:val="FootnoteReference"/>
        </w:rPr>
        <w:footnoteRef/>
      </w:r>
      <w:r>
        <w:t xml:space="preserve"> 2023/24 Federal Budget Estimates</w:t>
      </w:r>
    </w:p>
  </w:footnote>
  <w:footnote w:id="5">
    <w:p w14:paraId="03FA116B" w14:textId="2A8DE9AE" w:rsidR="00E034D8" w:rsidRDefault="00E034D8">
      <w:pPr>
        <w:pStyle w:val="FootnoteText"/>
      </w:pPr>
      <w:r>
        <w:rPr>
          <w:rStyle w:val="FootnoteReference"/>
        </w:rPr>
        <w:footnoteRef/>
      </w:r>
      <w:r>
        <w:t xml:space="preserve"> </w:t>
      </w:r>
      <w:r w:rsidRPr="00822220">
        <w:rPr>
          <w:szCs w:val="18"/>
        </w:rPr>
        <w:t xml:space="preserve">The </w:t>
      </w:r>
      <w:r w:rsidRPr="004713BF">
        <w:rPr>
          <w:szCs w:val="18"/>
        </w:rPr>
        <w:t xml:space="preserve">Australian and New Zealand Standard Classification of Occupations </w:t>
      </w:r>
      <w:r>
        <w:rPr>
          <w:szCs w:val="18"/>
        </w:rPr>
        <w:t>(</w:t>
      </w:r>
      <w:r w:rsidRPr="00822220">
        <w:rPr>
          <w:szCs w:val="18"/>
        </w:rPr>
        <w:t>ANZ</w:t>
      </w:r>
      <w:r>
        <w:rPr>
          <w:szCs w:val="18"/>
        </w:rPr>
        <w:t>S</w:t>
      </w:r>
      <w:r w:rsidRPr="00822220">
        <w:rPr>
          <w:szCs w:val="18"/>
        </w:rPr>
        <w:t>CO</w:t>
      </w:r>
      <w:r>
        <w:rPr>
          <w:szCs w:val="18"/>
        </w:rPr>
        <w:t>)</w:t>
      </w:r>
      <w:r w:rsidRPr="00822220">
        <w:rPr>
          <w:szCs w:val="18"/>
        </w:rPr>
        <w:t xml:space="preserve"> classification</w:t>
      </w:r>
      <w:r>
        <w:rPr>
          <w:szCs w:val="18"/>
        </w:rPr>
        <w:t xml:space="preserve"> </w:t>
      </w:r>
      <w:r w:rsidRPr="00822220">
        <w:rPr>
          <w:szCs w:val="18"/>
        </w:rPr>
        <w:t xml:space="preserve">can be accessed </w:t>
      </w:r>
      <w:hyperlink r:id="rId3" w:history="1">
        <w:r w:rsidRPr="00822220">
          <w:rPr>
            <w:rStyle w:val="Hyperlink"/>
            <w:szCs w:val="18"/>
          </w:rPr>
          <w:t>here</w:t>
        </w:r>
      </w:hyperlink>
    </w:p>
  </w:footnote>
  <w:footnote w:id="6">
    <w:p w14:paraId="30A997F7" w14:textId="36417676" w:rsidR="00E034D8" w:rsidRDefault="00E034D8">
      <w:pPr>
        <w:pStyle w:val="FootnoteText"/>
      </w:pPr>
      <w:r>
        <w:rPr>
          <w:rStyle w:val="FootnoteReference"/>
        </w:rPr>
        <w:footnoteRef/>
      </w:r>
      <w:r>
        <w:t xml:space="preserve"> </w:t>
      </w:r>
      <w:r w:rsidRPr="004D6A06">
        <w:rPr>
          <w:szCs w:val="18"/>
        </w:rPr>
        <w:t>2023/24 Federal Budget Estimates</w:t>
      </w:r>
    </w:p>
  </w:footnote>
  <w:footnote w:id="7">
    <w:p w14:paraId="0EF2D966" w14:textId="69A0C436" w:rsidR="00E034D8" w:rsidRDefault="00E034D8">
      <w:pPr>
        <w:pStyle w:val="FootnoteText"/>
      </w:pPr>
      <w:r>
        <w:rPr>
          <w:rStyle w:val="FootnoteReference"/>
        </w:rPr>
        <w:footnoteRef/>
      </w:r>
      <w:r>
        <w:t xml:space="preserve"> </w:t>
      </w:r>
      <w:r w:rsidRPr="00822220">
        <w:rPr>
          <w:szCs w:val="18"/>
        </w:rPr>
        <w:t xml:space="preserve">OECD data on public spending on incapacity can be accessed </w:t>
      </w:r>
      <w:hyperlink r:id="rId4" w:history="1">
        <w:r w:rsidRPr="00822220">
          <w:rPr>
            <w:rStyle w:val="Hyperlink"/>
            <w:szCs w:val="18"/>
          </w:rPr>
          <w:t>here</w:t>
        </w:r>
      </w:hyperlink>
    </w:p>
  </w:footnote>
  <w:footnote w:id="8">
    <w:p w14:paraId="5B06AFEC" w14:textId="0B8B9A76" w:rsidR="00E034D8" w:rsidRPr="00C33D5B" w:rsidRDefault="00E034D8" w:rsidP="00E034D8">
      <w:pPr>
        <w:pStyle w:val="EndnoteText"/>
        <w:rPr>
          <w:sz w:val="20"/>
        </w:rPr>
      </w:pPr>
      <w:r>
        <w:rPr>
          <w:rStyle w:val="FootnoteReference"/>
        </w:rPr>
        <w:footnoteRef/>
      </w:r>
      <w:r>
        <w:t xml:space="preserve"> </w:t>
      </w:r>
      <w:r w:rsidRPr="00C33D5B">
        <w:rPr>
          <w:sz w:val="20"/>
        </w:rPr>
        <w:t>ABS Labour Force Survey, February 2023</w:t>
      </w:r>
    </w:p>
  </w:footnote>
  <w:footnote w:id="9">
    <w:p w14:paraId="0302A63C" w14:textId="100650DA" w:rsidR="00E034D8" w:rsidRPr="00C33D5B" w:rsidRDefault="00E034D8">
      <w:pPr>
        <w:pStyle w:val="FootnoteText"/>
      </w:pPr>
      <w:r w:rsidRPr="00C33D5B">
        <w:rPr>
          <w:rStyle w:val="FootnoteReference"/>
        </w:rPr>
        <w:footnoteRef/>
      </w:r>
      <w:r w:rsidRPr="00C33D5B">
        <w:t xml:space="preserve"> </w:t>
      </w:r>
      <w:r w:rsidRPr="00822220">
        <w:rPr>
          <w:szCs w:val="18"/>
        </w:rPr>
        <w:t>There are other professions in the ANZ</w:t>
      </w:r>
      <w:r>
        <w:rPr>
          <w:szCs w:val="18"/>
        </w:rPr>
        <w:t>S</w:t>
      </w:r>
      <w:r w:rsidRPr="00822220">
        <w:rPr>
          <w:szCs w:val="18"/>
        </w:rPr>
        <w:t>IC Healthcare &amp; Social Assistance industry that are not directly involved with the provision of care</w:t>
      </w:r>
      <w:r w:rsidR="002E3CE7">
        <w:rPr>
          <w:szCs w:val="18"/>
        </w:rPr>
        <w:t>, such as</w:t>
      </w:r>
      <w:r w:rsidRPr="00822220">
        <w:rPr>
          <w:szCs w:val="18"/>
        </w:rPr>
        <w:t xml:space="preserve"> accountants and administration workers.  </w:t>
      </w:r>
    </w:p>
  </w:footnote>
  <w:footnote w:id="10">
    <w:p w14:paraId="61C7BEFA" w14:textId="138C11A3" w:rsidR="00E034D8" w:rsidRPr="00E034D8" w:rsidRDefault="00E034D8" w:rsidP="00E034D8">
      <w:pPr>
        <w:pStyle w:val="EndnoteText"/>
        <w:rPr>
          <w:szCs w:val="18"/>
        </w:rPr>
      </w:pPr>
      <w:r w:rsidRPr="00C33D5B">
        <w:rPr>
          <w:rStyle w:val="FootnoteReference"/>
          <w:sz w:val="20"/>
        </w:rPr>
        <w:footnoteRef/>
      </w:r>
      <w:r w:rsidRPr="00C33D5B">
        <w:rPr>
          <w:sz w:val="20"/>
        </w:rPr>
        <w:t xml:space="preserve"> Productivity Commission Inquiry Report – Mental Health, 2020</w:t>
      </w:r>
      <w:r w:rsidRPr="00822220">
        <w:rPr>
          <w:szCs w:val="18"/>
        </w:rPr>
        <w:t xml:space="preserve"> </w:t>
      </w:r>
    </w:p>
  </w:footnote>
  <w:footnote w:id="11">
    <w:p w14:paraId="4F8EE7EE" w14:textId="2ACD0931" w:rsidR="00E034D8" w:rsidRPr="00C33D5B" w:rsidRDefault="00E034D8" w:rsidP="00E034D8">
      <w:pPr>
        <w:pStyle w:val="EndnoteText"/>
        <w:rPr>
          <w:sz w:val="20"/>
        </w:rPr>
      </w:pPr>
      <w:r w:rsidRPr="00C33D5B">
        <w:rPr>
          <w:rStyle w:val="FootnoteReference"/>
          <w:sz w:val="20"/>
        </w:rPr>
        <w:footnoteRef/>
      </w:r>
      <w:r w:rsidRPr="00C33D5B">
        <w:rPr>
          <w:sz w:val="20"/>
        </w:rPr>
        <w:t xml:space="preserve"> </w:t>
      </w:r>
      <w:hyperlink r:id="rId5" w:history="1">
        <w:r w:rsidRPr="00C33D5B">
          <w:rPr>
            <w:rStyle w:val="Hyperlink"/>
            <w:sz w:val="20"/>
          </w:rPr>
          <w:t>Labour Market Insights webpage for Healthcare and Social Assistance</w:t>
        </w:r>
      </w:hyperlink>
    </w:p>
  </w:footnote>
  <w:footnote w:id="12">
    <w:p w14:paraId="2926CC7C" w14:textId="249D2482" w:rsidR="00E034D8" w:rsidRPr="00C33D5B" w:rsidRDefault="00E034D8">
      <w:pPr>
        <w:pStyle w:val="FootnoteText"/>
      </w:pPr>
      <w:r w:rsidRPr="00C33D5B">
        <w:rPr>
          <w:rStyle w:val="FootnoteReference"/>
        </w:rPr>
        <w:footnoteRef/>
      </w:r>
      <w:r w:rsidRPr="00C33D5B">
        <w:t xml:space="preserve"> </w:t>
      </w:r>
      <w:r w:rsidRPr="00822220">
        <w:rPr>
          <w:szCs w:val="18"/>
        </w:rPr>
        <w:t>Duty of Care: Meeting the Age Care Workforce Challenge, CEDA, 2021</w:t>
      </w:r>
    </w:p>
  </w:footnote>
  <w:footnote w:id="13">
    <w:p w14:paraId="5E17D324" w14:textId="267CCF4D" w:rsidR="00E034D8" w:rsidRDefault="00E034D8" w:rsidP="00E034D8">
      <w:pPr>
        <w:pStyle w:val="EndnoteText"/>
      </w:pPr>
      <w:r w:rsidRPr="00C33D5B">
        <w:rPr>
          <w:rStyle w:val="FootnoteReference"/>
          <w:sz w:val="20"/>
        </w:rPr>
        <w:footnoteRef/>
      </w:r>
      <w:r w:rsidRPr="00C33D5B">
        <w:rPr>
          <w:sz w:val="20"/>
        </w:rPr>
        <w:t xml:space="preserve"> Care Workforce Labour Market Study, 2022, National Skills Commission</w:t>
      </w:r>
    </w:p>
  </w:footnote>
  <w:footnote w:id="14">
    <w:p w14:paraId="05DD51F0" w14:textId="0B3C6924" w:rsidR="00E034D8" w:rsidRDefault="00E034D8">
      <w:pPr>
        <w:pStyle w:val="FootnoteText"/>
      </w:pPr>
      <w:r>
        <w:rPr>
          <w:rStyle w:val="FootnoteReference"/>
        </w:rPr>
        <w:footnoteRef/>
      </w:r>
      <w:r>
        <w:t xml:space="preserve"> </w:t>
      </w:r>
      <w:r w:rsidRPr="55DA9532">
        <w:rPr>
          <w:rFonts w:eastAsia="Arial" w:cs="Arial"/>
          <w:color w:val="000000"/>
          <w:szCs w:val="18"/>
        </w:rPr>
        <w:t xml:space="preserve">NDIA. (2022). </w:t>
      </w:r>
      <w:hyperlink r:id="rId6" w:anchor="disability-support-worker-cost-model" w:history="1">
        <w:r w:rsidRPr="00FE38BA">
          <w:rPr>
            <w:rStyle w:val="Hyperlink"/>
            <w:rFonts w:eastAsia="Arial" w:cs="Arial"/>
            <w:szCs w:val="18"/>
          </w:rPr>
          <w:t>NDIS Disability Support Worker Cost Model 2022-23</w:t>
        </w:r>
      </w:hyperlink>
    </w:p>
  </w:footnote>
  <w:footnote w:id="15">
    <w:p w14:paraId="3B8B905D" w14:textId="773B6B0C" w:rsidR="00E034D8" w:rsidRPr="00C33D5B" w:rsidRDefault="00E034D8">
      <w:pPr>
        <w:pStyle w:val="FootnoteText"/>
      </w:pPr>
      <w:r w:rsidRPr="00C33D5B">
        <w:rPr>
          <w:rStyle w:val="FootnoteReference"/>
        </w:rPr>
        <w:footnoteRef/>
      </w:r>
      <w:r w:rsidRPr="00C33D5B">
        <w:t xml:space="preserve"> SCHADS award can be accessed </w:t>
      </w:r>
      <w:hyperlink r:id="rId7" w:anchor="P1050_99486" w:history="1">
        <w:r w:rsidRPr="00C33D5B">
          <w:rPr>
            <w:rStyle w:val="Hyperlink"/>
          </w:rPr>
          <w:t>here</w:t>
        </w:r>
      </w:hyperlink>
      <w:r w:rsidRPr="00C33D5B">
        <w:t xml:space="preserve"> (</w:t>
      </w:r>
      <w:r w:rsidRPr="01D6E362">
        <w:rPr>
          <w:rFonts w:eastAsia="Arial" w:cs="Arial"/>
          <w:szCs w:val="18"/>
        </w:rPr>
        <w:t xml:space="preserve">incorporating all amendments up to and including </w:t>
      </w:r>
      <w:r w:rsidRPr="770F6665">
        <w:rPr>
          <w:rFonts w:eastAsia="Arial" w:cs="Arial"/>
          <w:szCs w:val="18"/>
        </w:rPr>
        <w:t>15 March 2023</w:t>
      </w:r>
      <w:r w:rsidRPr="00C33D5B">
        <w:t>.)</w:t>
      </w:r>
    </w:p>
  </w:footnote>
  <w:footnote w:id="16">
    <w:p w14:paraId="0AFD8F66" w14:textId="6378672E" w:rsidR="00D67D8B" w:rsidRPr="00C33D5B" w:rsidRDefault="00D67D8B">
      <w:pPr>
        <w:pStyle w:val="FootnoteText"/>
      </w:pPr>
      <w:r w:rsidRPr="00C33D5B">
        <w:rPr>
          <w:rStyle w:val="FootnoteReference"/>
        </w:rPr>
        <w:footnoteRef/>
      </w:r>
      <w:r w:rsidRPr="00C33D5B">
        <w:t xml:space="preserve"> NDIS National Workforce Plan: 2021 – 2025</w:t>
      </w:r>
    </w:p>
  </w:footnote>
  <w:footnote w:id="17">
    <w:p w14:paraId="4D35D084" w14:textId="19EFE336" w:rsidR="00D67D8B" w:rsidRPr="00C33D5B" w:rsidRDefault="00D67D8B" w:rsidP="00D67D8B">
      <w:pPr>
        <w:pStyle w:val="EndnoteText"/>
        <w:rPr>
          <w:sz w:val="20"/>
        </w:rPr>
      </w:pPr>
      <w:r w:rsidRPr="00C33D5B">
        <w:rPr>
          <w:rStyle w:val="FootnoteReference"/>
          <w:sz w:val="20"/>
        </w:rPr>
        <w:footnoteRef/>
      </w:r>
      <w:r w:rsidRPr="00C33D5B">
        <w:rPr>
          <w:sz w:val="20"/>
        </w:rPr>
        <w:t xml:space="preserve"> Aged and disabled carers occupation grew faster between the 2016 and 2021 census than the HCSA industry over the same period.</w:t>
      </w:r>
    </w:p>
  </w:footnote>
  <w:footnote w:id="18">
    <w:p w14:paraId="3C78D7F1" w14:textId="3C2606F6" w:rsidR="00D67D8B" w:rsidRPr="00C33D5B" w:rsidRDefault="00D67D8B" w:rsidP="00D67D8B">
      <w:pPr>
        <w:ind w:left="284" w:hanging="284"/>
        <w:rPr>
          <w:sz w:val="20"/>
          <w:szCs w:val="20"/>
        </w:rPr>
      </w:pPr>
      <w:r w:rsidRPr="00C33D5B">
        <w:rPr>
          <w:rStyle w:val="FootnoteReference"/>
          <w:sz w:val="20"/>
          <w:szCs w:val="20"/>
        </w:rPr>
        <w:footnoteRef/>
      </w:r>
      <w:r w:rsidRPr="00C33D5B">
        <w:rPr>
          <w:sz w:val="20"/>
          <w:szCs w:val="20"/>
        </w:rPr>
        <w:t xml:space="preserve"> </w:t>
      </w:r>
      <w:r w:rsidRPr="00C33D5B">
        <w:rPr>
          <w:rFonts w:eastAsia="Arial" w:cs="Arial"/>
          <w:sz w:val="20"/>
          <w:szCs w:val="20"/>
        </w:rPr>
        <w:t xml:space="preserve">Disability support worker wages can been found here for </w:t>
      </w:r>
      <w:hyperlink r:id="rId8">
        <w:r w:rsidRPr="00C33D5B">
          <w:rPr>
            <w:rStyle w:val="Hyperlink"/>
            <w:rFonts w:eastAsia="Arial" w:cs="Arial"/>
            <w:sz w:val="20"/>
            <w:szCs w:val="20"/>
          </w:rPr>
          <w:t>Seek</w:t>
        </w:r>
      </w:hyperlink>
      <w:r w:rsidRPr="00C33D5B">
        <w:rPr>
          <w:rFonts w:eastAsia="Arial" w:cs="Arial"/>
          <w:sz w:val="20"/>
          <w:szCs w:val="20"/>
        </w:rPr>
        <w:t xml:space="preserve">, </w:t>
      </w:r>
      <w:hyperlink r:id="rId9">
        <w:r w:rsidRPr="00C33D5B">
          <w:rPr>
            <w:rStyle w:val="Hyperlink"/>
            <w:rFonts w:eastAsia="Arial" w:cs="Arial"/>
            <w:sz w:val="20"/>
            <w:szCs w:val="20"/>
          </w:rPr>
          <w:t>Indeed</w:t>
        </w:r>
      </w:hyperlink>
      <w:r w:rsidRPr="00C33D5B">
        <w:rPr>
          <w:rFonts w:eastAsia="Arial" w:cs="Arial"/>
          <w:sz w:val="20"/>
          <w:szCs w:val="20"/>
        </w:rPr>
        <w:t xml:space="preserve">, </w:t>
      </w:r>
      <w:hyperlink r:id="rId10">
        <w:r w:rsidRPr="00C33D5B">
          <w:rPr>
            <w:rStyle w:val="Hyperlink"/>
            <w:rFonts w:eastAsia="Arial" w:cs="Arial"/>
            <w:sz w:val="20"/>
            <w:szCs w:val="20"/>
          </w:rPr>
          <w:t>PayScale</w:t>
        </w:r>
      </w:hyperlink>
      <w:r w:rsidRPr="00C33D5B">
        <w:rPr>
          <w:rFonts w:eastAsia="Arial" w:cs="Arial"/>
          <w:sz w:val="20"/>
          <w:szCs w:val="20"/>
        </w:rPr>
        <w:t xml:space="preserve"> (Accessed March 2023)</w:t>
      </w:r>
    </w:p>
  </w:footnote>
  <w:footnote w:id="19">
    <w:p w14:paraId="5BADE20D" w14:textId="18E67AC3" w:rsidR="00D67D8B" w:rsidRPr="00C33D5B" w:rsidRDefault="00D67D8B" w:rsidP="00D67D8B">
      <w:pPr>
        <w:pStyle w:val="EndnoteText"/>
        <w:rPr>
          <w:sz w:val="20"/>
        </w:rPr>
      </w:pPr>
      <w:r w:rsidRPr="00C33D5B">
        <w:rPr>
          <w:rStyle w:val="FootnoteReference"/>
          <w:sz w:val="20"/>
        </w:rPr>
        <w:footnoteRef/>
      </w:r>
      <w:r w:rsidRPr="00C33D5B">
        <w:rPr>
          <w:sz w:val="20"/>
        </w:rPr>
        <w:t xml:space="preserve"> Public health order can be accessed here: </w:t>
      </w:r>
      <w:hyperlink r:id="rId11" w:history="1">
        <w:r w:rsidRPr="00C33D5B">
          <w:rPr>
            <w:rStyle w:val="Hyperlink"/>
            <w:sz w:val="20"/>
          </w:rPr>
          <w:t>NSW</w:t>
        </w:r>
      </w:hyperlink>
      <w:r w:rsidRPr="00C33D5B">
        <w:rPr>
          <w:sz w:val="20"/>
        </w:rPr>
        <w:t xml:space="preserve">, </w:t>
      </w:r>
      <w:hyperlink r:id="rId12" w:history="1">
        <w:r w:rsidRPr="00C33D5B">
          <w:rPr>
            <w:rStyle w:val="Hyperlink"/>
            <w:sz w:val="20"/>
          </w:rPr>
          <w:t>VIC</w:t>
        </w:r>
      </w:hyperlink>
      <w:r w:rsidRPr="00C33D5B">
        <w:rPr>
          <w:sz w:val="20"/>
        </w:rPr>
        <w:t xml:space="preserve">, </w:t>
      </w:r>
      <w:hyperlink r:id="rId13" w:history="1">
        <w:r w:rsidRPr="00C33D5B">
          <w:rPr>
            <w:rStyle w:val="Hyperlink"/>
            <w:sz w:val="20"/>
          </w:rPr>
          <w:t>QLD</w:t>
        </w:r>
      </w:hyperlink>
      <w:r w:rsidRPr="00C33D5B">
        <w:rPr>
          <w:sz w:val="20"/>
        </w:rPr>
        <w:t xml:space="preserve">, </w:t>
      </w:r>
      <w:hyperlink r:id="rId14" w:history="1">
        <w:r w:rsidRPr="00C33D5B">
          <w:rPr>
            <w:rStyle w:val="Hyperlink"/>
            <w:sz w:val="20"/>
          </w:rPr>
          <w:t>WA</w:t>
        </w:r>
      </w:hyperlink>
      <w:r w:rsidRPr="00C33D5B">
        <w:rPr>
          <w:sz w:val="20"/>
        </w:rPr>
        <w:t xml:space="preserve">, </w:t>
      </w:r>
      <w:hyperlink r:id="rId15" w:history="1">
        <w:r w:rsidRPr="00C33D5B">
          <w:rPr>
            <w:rStyle w:val="Hyperlink"/>
            <w:sz w:val="20"/>
          </w:rPr>
          <w:t>SA</w:t>
        </w:r>
      </w:hyperlink>
      <w:r w:rsidRPr="00C33D5B">
        <w:rPr>
          <w:sz w:val="20"/>
        </w:rPr>
        <w:t xml:space="preserve">, </w:t>
      </w:r>
      <w:hyperlink r:id="rId16" w:history="1">
        <w:r w:rsidRPr="00C33D5B">
          <w:rPr>
            <w:rStyle w:val="Hyperlink"/>
            <w:sz w:val="20"/>
          </w:rPr>
          <w:t>TAS</w:t>
        </w:r>
      </w:hyperlink>
      <w:r w:rsidRPr="00C33D5B">
        <w:rPr>
          <w:sz w:val="20"/>
        </w:rPr>
        <w:t xml:space="preserve">, </w:t>
      </w:r>
      <w:hyperlink r:id="rId17" w:history="1">
        <w:r w:rsidRPr="00C33D5B">
          <w:rPr>
            <w:rStyle w:val="Hyperlink"/>
            <w:sz w:val="20"/>
          </w:rPr>
          <w:t>ACT</w:t>
        </w:r>
      </w:hyperlink>
      <w:r w:rsidRPr="00C33D5B">
        <w:rPr>
          <w:sz w:val="20"/>
        </w:rPr>
        <w:t xml:space="preserve">, </w:t>
      </w:r>
      <w:hyperlink r:id="rId18" w:history="1">
        <w:r w:rsidRPr="00C33D5B">
          <w:rPr>
            <w:rStyle w:val="Hyperlink"/>
            <w:sz w:val="20"/>
          </w:rPr>
          <w:t>NT</w:t>
        </w:r>
      </w:hyperlink>
      <w:r w:rsidRPr="00C33D5B">
        <w:rPr>
          <w:sz w:val="20"/>
        </w:rPr>
        <w:t xml:space="preserve">.  </w:t>
      </w:r>
    </w:p>
  </w:footnote>
  <w:footnote w:id="20">
    <w:p w14:paraId="206FF465" w14:textId="5FEC3732" w:rsidR="00D55FA3" w:rsidRPr="00C33D5B" w:rsidRDefault="00D55FA3" w:rsidP="00D55FA3">
      <w:pPr>
        <w:pStyle w:val="EndnoteText"/>
        <w:rPr>
          <w:sz w:val="20"/>
        </w:rPr>
      </w:pPr>
      <w:r w:rsidRPr="00C33D5B">
        <w:rPr>
          <w:rStyle w:val="FootnoteReference"/>
          <w:sz w:val="20"/>
        </w:rPr>
        <w:footnoteRef/>
      </w:r>
      <w:r w:rsidRPr="00C33D5B">
        <w:rPr>
          <w:sz w:val="20"/>
        </w:rPr>
        <w:t xml:space="preserve"> </w:t>
      </w:r>
      <w:r w:rsidRPr="00C33D5B">
        <w:rPr>
          <w:rFonts w:eastAsia="Arial" w:cs="Arial"/>
          <w:sz w:val="20"/>
        </w:rPr>
        <w:t>ABS Business Conditions Survey 2022</w:t>
      </w:r>
    </w:p>
  </w:footnote>
  <w:footnote w:id="21">
    <w:p w14:paraId="1202592F" w14:textId="106A396F" w:rsidR="00D55FA3" w:rsidRPr="00C33D5B" w:rsidRDefault="00D55FA3" w:rsidP="00D55FA3">
      <w:pPr>
        <w:pStyle w:val="EndnoteText"/>
        <w:rPr>
          <w:sz w:val="20"/>
        </w:rPr>
      </w:pPr>
      <w:r w:rsidRPr="00C33D5B">
        <w:rPr>
          <w:rStyle w:val="FootnoteReference"/>
          <w:sz w:val="20"/>
        </w:rPr>
        <w:footnoteRef/>
      </w:r>
      <w:r w:rsidRPr="00C33D5B">
        <w:rPr>
          <w:sz w:val="20"/>
        </w:rPr>
        <w:t xml:space="preserve"> As determined by the </w:t>
      </w:r>
      <w:hyperlink r:id="rId19" w:anchor="Superguaranteepercentage" w:history="1">
        <w:r w:rsidRPr="00C33D5B">
          <w:rPr>
            <w:rStyle w:val="Hyperlink"/>
            <w:sz w:val="20"/>
          </w:rPr>
          <w:t>Australian Tax Office</w:t>
        </w:r>
      </w:hyperlink>
    </w:p>
  </w:footnote>
  <w:footnote w:id="22">
    <w:p w14:paraId="275D9D1B" w14:textId="540FC5C2" w:rsidR="00E46059" w:rsidRDefault="00E46059">
      <w:pPr>
        <w:pStyle w:val="FootnoteText"/>
      </w:pPr>
      <w:r>
        <w:rPr>
          <w:rStyle w:val="FootnoteReference"/>
        </w:rPr>
        <w:footnoteRef/>
      </w:r>
      <w:r>
        <w:t xml:space="preserve"> </w:t>
      </w:r>
      <w:r w:rsidRPr="00366326">
        <w:t>Fair Work Commission Survey</w:t>
      </w:r>
      <w:r>
        <w:t xml:space="preserve"> Analysis for the Family and Domestic Violence Leave Review 2021, view </w:t>
      </w:r>
      <w:hyperlink r:id="rId20" w:history="1">
        <w:r w:rsidRPr="00366326">
          <w:rPr>
            <w:rStyle w:val="Hyperlink"/>
          </w:rPr>
          <w:t>here</w:t>
        </w:r>
      </w:hyperlink>
      <w:r>
        <w:t>.</w:t>
      </w:r>
    </w:p>
  </w:footnote>
  <w:footnote w:id="23">
    <w:p w14:paraId="7C28BEBF" w14:textId="33D8DBBE" w:rsidR="00E46059" w:rsidRPr="00C33D5B" w:rsidRDefault="00E46059" w:rsidP="00E46059">
      <w:pPr>
        <w:pStyle w:val="EndnoteText"/>
        <w:rPr>
          <w:sz w:val="20"/>
        </w:rPr>
      </w:pPr>
      <w:r w:rsidRPr="00C33D5B">
        <w:rPr>
          <w:rStyle w:val="FootnoteReference"/>
          <w:sz w:val="20"/>
        </w:rPr>
        <w:footnoteRef/>
      </w:r>
      <w:r w:rsidRPr="00C33D5B">
        <w:rPr>
          <w:sz w:val="20"/>
        </w:rPr>
        <w:t xml:space="preserve"> SCHADS award can be accessed </w:t>
      </w:r>
      <w:hyperlink r:id="rId21" w:anchor="P1050_99486" w:history="1">
        <w:r w:rsidRPr="00C33D5B">
          <w:rPr>
            <w:rStyle w:val="Hyperlink"/>
            <w:sz w:val="20"/>
          </w:rPr>
          <w:t>here</w:t>
        </w:r>
      </w:hyperlink>
      <w:r w:rsidRPr="00C33D5B">
        <w:rPr>
          <w:sz w:val="20"/>
        </w:rPr>
        <w:t xml:space="preserve"> (</w:t>
      </w:r>
      <w:r w:rsidRPr="00C33D5B">
        <w:rPr>
          <w:rFonts w:eastAsia="Arial" w:cs="Arial"/>
          <w:sz w:val="20"/>
        </w:rPr>
        <w:t>incorporating all amendments up to and including 15 March 2023</w:t>
      </w:r>
      <w:r w:rsidRPr="00C33D5B">
        <w:rPr>
          <w:sz w:val="20"/>
        </w:rPr>
        <w:t>.)</w:t>
      </w:r>
    </w:p>
  </w:footnote>
  <w:footnote w:id="24">
    <w:p w14:paraId="3CA50B39" w14:textId="282FCABC" w:rsidR="00E46059" w:rsidRPr="00C33D5B" w:rsidRDefault="00E46059" w:rsidP="00E46059">
      <w:pPr>
        <w:pStyle w:val="EndnoteText"/>
        <w:rPr>
          <w:sz w:val="20"/>
        </w:rPr>
      </w:pPr>
      <w:r w:rsidRPr="00C33D5B">
        <w:rPr>
          <w:rStyle w:val="FootnoteReference"/>
          <w:sz w:val="20"/>
        </w:rPr>
        <w:footnoteRef/>
      </w:r>
      <w:r w:rsidRPr="00C33D5B">
        <w:rPr>
          <w:sz w:val="20"/>
        </w:rPr>
        <w:t xml:space="preserve"> </w:t>
      </w:r>
      <w:r w:rsidRPr="00C33D5B">
        <w:rPr>
          <w:rFonts w:eastAsia="Arial" w:cs="Arial"/>
          <w:sz w:val="20"/>
        </w:rPr>
        <w:t>Fair Work Ombudsman pay guides</w:t>
      </w:r>
    </w:p>
  </w:footnote>
  <w:footnote w:id="25">
    <w:p w14:paraId="3742D376" w14:textId="1AE86673" w:rsidR="00E46059" w:rsidRDefault="00E46059" w:rsidP="00E46059">
      <w:pPr>
        <w:pStyle w:val="EndnoteText"/>
      </w:pPr>
      <w:r w:rsidRPr="00C33D5B">
        <w:rPr>
          <w:rStyle w:val="FootnoteReference"/>
          <w:sz w:val="20"/>
        </w:rPr>
        <w:footnoteRef/>
      </w:r>
      <w:r w:rsidRPr="00C33D5B">
        <w:rPr>
          <w:sz w:val="20"/>
        </w:rPr>
        <w:t xml:space="preserve"> For example, improvements to the </w:t>
      </w:r>
      <w:r w:rsidRPr="00C33D5B">
        <w:rPr>
          <w:rFonts w:eastAsia="Arial" w:cs="Arial"/>
          <w:sz w:val="20"/>
        </w:rPr>
        <w:t xml:space="preserve">Aged Care Quality Standards, which can be found </w:t>
      </w:r>
      <w:hyperlink r:id="rId22">
        <w:r w:rsidRPr="00C33D5B">
          <w:rPr>
            <w:rStyle w:val="Hyperlink"/>
            <w:rFonts w:eastAsia="Arial" w:cs="Arial"/>
            <w:sz w:val="20"/>
          </w:rPr>
          <w:t>here</w:t>
        </w:r>
      </w:hyperlink>
    </w:p>
  </w:footnote>
  <w:footnote w:id="26">
    <w:p w14:paraId="16229978" w14:textId="7AD8044F" w:rsidR="00ED5B35" w:rsidRPr="00C33D5B" w:rsidRDefault="00ED5B35">
      <w:pPr>
        <w:pStyle w:val="FootnoteText"/>
      </w:pPr>
      <w:r w:rsidRPr="00C33D5B">
        <w:rPr>
          <w:rStyle w:val="FootnoteReference"/>
        </w:rPr>
        <w:footnoteRef/>
      </w:r>
      <w:r w:rsidRPr="00C33D5B">
        <w:t xml:space="preserve"> Seven (7) of these therapy supports are duplicated in the Activities of Daily Living Core Support Category</w:t>
      </w:r>
    </w:p>
  </w:footnote>
  <w:footnote w:id="27">
    <w:p w14:paraId="2F9B124F" w14:textId="0CE26D01" w:rsidR="00ED5B35" w:rsidRPr="00C33D5B" w:rsidRDefault="00ED5B35" w:rsidP="00ED5B35">
      <w:pPr>
        <w:pStyle w:val="EndnoteText"/>
        <w:rPr>
          <w:sz w:val="20"/>
        </w:rPr>
      </w:pPr>
      <w:r w:rsidRPr="00C33D5B">
        <w:rPr>
          <w:rStyle w:val="FootnoteReference"/>
          <w:sz w:val="20"/>
        </w:rPr>
        <w:footnoteRef/>
      </w:r>
      <w:r w:rsidRPr="00C33D5B">
        <w:rPr>
          <w:sz w:val="20"/>
        </w:rPr>
        <w:t xml:space="preserve"> The Exercise Physiologist and Dietitian supports are also duplicated in the Improved Health and Wellbeing Capacity Building Support Category.</w:t>
      </w:r>
    </w:p>
  </w:footnote>
  <w:footnote w:id="28">
    <w:p w14:paraId="3CDEB783" w14:textId="7D59A7C1" w:rsidR="00C320FE" w:rsidRPr="00C33D5B" w:rsidRDefault="00C320FE" w:rsidP="00C320FE">
      <w:pPr>
        <w:rPr>
          <w:sz w:val="20"/>
          <w:szCs w:val="20"/>
        </w:rPr>
      </w:pPr>
      <w:r w:rsidRPr="00C33D5B">
        <w:rPr>
          <w:rStyle w:val="FootnoteReference"/>
          <w:sz w:val="20"/>
          <w:szCs w:val="20"/>
        </w:rPr>
        <w:footnoteRef/>
      </w:r>
      <w:r w:rsidRPr="00C33D5B">
        <w:rPr>
          <w:sz w:val="20"/>
          <w:szCs w:val="20"/>
        </w:rPr>
        <w:t xml:space="preserve"> Found at </w:t>
      </w:r>
      <w:hyperlink r:id="rId23" w:history="1">
        <w:r w:rsidRPr="00C33D5B">
          <w:rPr>
            <w:rStyle w:val="Hyperlink"/>
            <w:sz w:val="20"/>
            <w:szCs w:val="20"/>
          </w:rPr>
          <w:t>Allied Health factsheets</w:t>
        </w:r>
      </w:hyperlink>
      <w:r w:rsidRPr="00C33D5B">
        <w:rPr>
          <w:sz w:val="20"/>
          <w:szCs w:val="20"/>
        </w:rPr>
        <w:t xml:space="preserve"> and </w:t>
      </w:r>
      <w:hyperlink r:id="rId24" w:history="1">
        <w:r w:rsidRPr="00C33D5B">
          <w:rPr>
            <w:rStyle w:val="Hyperlink"/>
            <w:sz w:val="20"/>
            <w:szCs w:val="20"/>
          </w:rPr>
          <w:t>Department of Health and Aged Care Dashboards</w:t>
        </w:r>
      </w:hyperlink>
    </w:p>
  </w:footnote>
  <w:footnote w:id="29">
    <w:p w14:paraId="4BDA854D" w14:textId="739EB35B" w:rsidR="00C320FE" w:rsidRPr="00C33D5B" w:rsidRDefault="00C320FE" w:rsidP="00C320FE">
      <w:pPr>
        <w:pStyle w:val="EndnoteText"/>
        <w:rPr>
          <w:sz w:val="20"/>
        </w:rPr>
      </w:pPr>
      <w:r w:rsidRPr="00C33D5B">
        <w:rPr>
          <w:rStyle w:val="FootnoteReference"/>
          <w:sz w:val="20"/>
        </w:rPr>
        <w:footnoteRef/>
      </w:r>
      <w:r w:rsidRPr="00C33D5B">
        <w:rPr>
          <w:sz w:val="20"/>
        </w:rPr>
        <w:t xml:space="preserve"> Found at </w:t>
      </w:r>
      <w:hyperlink r:id="rId25" w:history="1">
        <w:r w:rsidRPr="00C33D5B">
          <w:rPr>
            <w:rStyle w:val="Hyperlink"/>
            <w:sz w:val="20"/>
          </w:rPr>
          <w:t>www.nationalskillscommission.gov.au/topics/employment-projections</w:t>
        </w:r>
      </w:hyperlink>
    </w:p>
  </w:footnote>
  <w:footnote w:id="30">
    <w:p w14:paraId="6BDCCABE" w14:textId="6A326D21" w:rsidR="00C320FE" w:rsidRPr="00C33D5B" w:rsidRDefault="00C320FE" w:rsidP="00C320FE">
      <w:pPr>
        <w:pStyle w:val="EndnoteText"/>
        <w:rPr>
          <w:sz w:val="20"/>
        </w:rPr>
      </w:pPr>
      <w:r w:rsidRPr="00C33D5B">
        <w:rPr>
          <w:rStyle w:val="FootnoteReference"/>
          <w:sz w:val="20"/>
        </w:rPr>
        <w:footnoteRef/>
      </w:r>
      <w:r w:rsidRPr="00C33D5B">
        <w:rPr>
          <w:sz w:val="20"/>
        </w:rPr>
        <w:t xml:space="preserve"> The study excluded outliers where the value of hour rate was either greater than Quartile 3 +1.5*Interquartile or was smaller than Quartile 1 – 1.5*Interquartile.</w:t>
      </w:r>
    </w:p>
  </w:footnote>
  <w:footnote w:id="31">
    <w:p w14:paraId="763EAA63" w14:textId="7D21F7F8" w:rsidR="00C320FE" w:rsidRPr="00C33D5B" w:rsidRDefault="00C320FE" w:rsidP="00C320FE">
      <w:pPr>
        <w:pStyle w:val="EndnoteText"/>
        <w:ind w:left="0" w:firstLine="0"/>
        <w:rPr>
          <w:sz w:val="20"/>
        </w:rPr>
      </w:pPr>
      <w:r w:rsidRPr="00C33D5B">
        <w:rPr>
          <w:rStyle w:val="FootnoteReference"/>
          <w:sz w:val="20"/>
        </w:rPr>
        <w:footnoteRef/>
      </w:r>
      <w:r w:rsidRPr="00C33D5B">
        <w:rPr>
          <w:sz w:val="20"/>
        </w:rPr>
        <w:t xml:space="preserve"> Found at </w:t>
      </w:r>
      <w:hyperlink r:id="rId26" w:history="1">
        <w:r w:rsidRPr="00C33D5B">
          <w:rPr>
            <w:rStyle w:val="Hyperlink"/>
            <w:sz w:val="20"/>
          </w:rPr>
          <w:t>Making pricing decisions | NDIS</w:t>
        </w:r>
      </w:hyperlink>
    </w:p>
  </w:footnote>
  <w:footnote w:id="32">
    <w:p w14:paraId="2B79E80F" w14:textId="1E533F36" w:rsidR="00C320FE" w:rsidRPr="00C33D5B" w:rsidRDefault="00C320FE" w:rsidP="00C320FE">
      <w:pPr>
        <w:pStyle w:val="EndnoteText"/>
        <w:ind w:left="0" w:firstLine="0"/>
        <w:rPr>
          <w:sz w:val="20"/>
        </w:rPr>
      </w:pPr>
      <w:r w:rsidRPr="00C33D5B">
        <w:rPr>
          <w:rStyle w:val="FootnoteReference"/>
          <w:sz w:val="20"/>
        </w:rPr>
        <w:footnoteRef/>
      </w:r>
      <w:r w:rsidRPr="00C33D5B">
        <w:rPr>
          <w:sz w:val="20"/>
        </w:rPr>
        <w:t xml:space="preserve"> The ABS Personal Safety survey 2021 can be accessed </w:t>
      </w:r>
      <w:hyperlink r:id="rId27" w:anchor="data-downloads" w:history="1">
        <w:r w:rsidRPr="00C33D5B">
          <w:rPr>
            <w:rStyle w:val="Hyperlink"/>
            <w:sz w:val="20"/>
          </w:rPr>
          <w:t>here</w:t>
        </w:r>
      </w:hyperlink>
      <w:r w:rsidRPr="00C33D5B">
        <w:rPr>
          <w:sz w:val="20"/>
        </w:rPr>
        <w:t xml:space="preserve"> </w:t>
      </w:r>
    </w:p>
  </w:footnote>
  <w:footnote w:id="33">
    <w:p w14:paraId="16C68482" w14:textId="6372A2D8" w:rsidR="00C320FE" w:rsidRPr="00C33D5B" w:rsidRDefault="00C320FE" w:rsidP="00C320FE">
      <w:pPr>
        <w:pStyle w:val="EndnoteText"/>
        <w:rPr>
          <w:sz w:val="20"/>
        </w:rPr>
      </w:pPr>
      <w:r w:rsidRPr="00C33D5B">
        <w:rPr>
          <w:rStyle w:val="FootnoteReference"/>
          <w:sz w:val="20"/>
        </w:rPr>
        <w:footnoteRef/>
      </w:r>
      <w:r w:rsidRPr="00C33D5B">
        <w:rPr>
          <w:sz w:val="20"/>
        </w:rPr>
        <w:t xml:space="preserve"> </w:t>
      </w:r>
      <w:r w:rsidRPr="00C33D5B">
        <w:rPr>
          <w:rFonts w:cs="Arial"/>
          <w:sz w:val="20"/>
        </w:rPr>
        <w:t xml:space="preserve">Personal Safety Australia, 2021-22, Table 2.3 of </w:t>
      </w:r>
      <w:hyperlink r:id="rId28" w:history="1">
        <w:r w:rsidRPr="00C33D5B">
          <w:rPr>
            <w:rStyle w:val="Hyperlink"/>
            <w:rFonts w:cs="Arial"/>
            <w:sz w:val="20"/>
          </w:rPr>
          <w:t>National prevalence and time series (Tables 1 to 8)</w:t>
        </w:r>
      </w:hyperlink>
    </w:p>
  </w:footnote>
  <w:footnote w:id="34">
    <w:p w14:paraId="1DC3E3CF" w14:textId="63E4B5FA" w:rsidR="00C320FE" w:rsidRPr="00C33D5B" w:rsidRDefault="00C320FE" w:rsidP="00C320FE">
      <w:pPr>
        <w:pStyle w:val="EndnoteText"/>
        <w:rPr>
          <w:sz w:val="20"/>
        </w:rPr>
      </w:pPr>
      <w:r w:rsidRPr="00C33D5B">
        <w:rPr>
          <w:rStyle w:val="FootnoteReference"/>
          <w:sz w:val="20"/>
        </w:rPr>
        <w:footnoteRef/>
      </w:r>
      <w:r w:rsidRPr="00C33D5B">
        <w:rPr>
          <w:sz w:val="20"/>
        </w:rPr>
        <w:t xml:space="preserve"> </w:t>
      </w:r>
      <w:r w:rsidRPr="00C33D5B">
        <w:rPr>
          <w:sz w:val="20"/>
          <w:lang w:val="en-US"/>
        </w:rPr>
        <w:t>Jim Stanford, Economic Aspects of Paid Domestic Violence Leave Provisions, 2016.</w:t>
      </w:r>
    </w:p>
  </w:footnote>
  <w:footnote w:id="35">
    <w:p w14:paraId="4EFD0988" w14:textId="31518D78" w:rsidR="00C320FE" w:rsidRDefault="00C320FE">
      <w:pPr>
        <w:pStyle w:val="FootnoteText"/>
      </w:pPr>
      <w:r>
        <w:rPr>
          <w:rStyle w:val="FootnoteReference"/>
        </w:rPr>
        <w:footnoteRef/>
      </w:r>
      <w:r>
        <w:t xml:space="preserve"> </w:t>
      </w:r>
      <w:hyperlink r:id="rId29" w:history="1">
        <w:r w:rsidRPr="00B547F8">
          <w:rPr>
            <w:rStyle w:val="Hyperlink"/>
          </w:rPr>
          <w:t>Considering the new minimum staffing standards for Australian residential aged care (csiro.au)</w:t>
        </w:r>
      </w:hyperlink>
    </w:p>
  </w:footnote>
  <w:footnote w:id="36">
    <w:p w14:paraId="3E36D6B9" w14:textId="2F0D3E8A" w:rsidR="00C320FE" w:rsidRDefault="00C320FE">
      <w:pPr>
        <w:pStyle w:val="FootnoteText"/>
      </w:pPr>
      <w:r>
        <w:rPr>
          <w:rStyle w:val="FootnoteReference"/>
        </w:rPr>
        <w:footnoteRef/>
      </w:r>
      <w:r>
        <w:t xml:space="preserve"> </w:t>
      </w:r>
      <w:hyperlink r:id="rId30" w:history="1">
        <w:r w:rsidRPr="00B547F8">
          <w:rPr>
            <w:rStyle w:val="Hyperlink"/>
          </w:rPr>
          <w:t>Review of the Aged Care Quality Standards | Australian Government Department of Health and Aged Care</w:t>
        </w:r>
      </w:hyperlink>
    </w:p>
  </w:footnote>
  <w:footnote w:id="37">
    <w:p w14:paraId="3105C606" w14:textId="05AD19F7" w:rsidR="00C320FE" w:rsidRDefault="00C320FE">
      <w:pPr>
        <w:pStyle w:val="FootnoteText"/>
      </w:pPr>
      <w:r>
        <w:rPr>
          <w:rStyle w:val="FootnoteReference"/>
        </w:rPr>
        <w:footnoteRef/>
      </w:r>
      <w:r>
        <w:t xml:space="preserve"> 2023-24 Federal Budget (Statement 6: Expenses and Net Capital Investment)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A978" w14:textId="19C01242" w:rsidR="009C7771" w:rsidRPr="00E24128" w:rsidRDefault="009C7771" w:rsidP="00E24128">
    <w:pPr>
      <w:pStyle w:val="Header"/>
      <w:jc w:val="center"/>
      <w:rPr>
        <w:b/>
        <w:szCs w:val="18"/>
      </w:rPr>
    </w:pPr>
    <w:r>
      <w:rPr>
        <w:b/>
        <w:szCs w:val="18"/>
      </w:rPr>
      <w:t>202</w:t>
    </w:r>
    <w:r w:rsidR="003B46A0">
      <w:rPr>
        <w:b/>
        <w:szCs w:val="18"/>
      </w:rPr>
      <w:t>2</w:t>
    </w:r>
    <w:r>
      <w:rPr>
        <w:b/>
        <w:szCs w:val="18"/>
      </w:rPr>
      <w:t>-2</w:t>
    </w:r>
    <w:r w:rsidR="003B46A0">
      <w:rPr>
        <w:b/>
        <w:szCs w:val="18"/>
      </w:rPr>
      <w:t>3</w:t>
    </w:r>
    <w:r>
      <w:rPr>
        <w:b/>
        <w:szCs w:val="18"/>
      </w:rPr>
      <w:t xml:space="preserve"> Annual Pricing 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89674" w14:textId="144BB489" w:rsidR="009C7771" w:rsidRPr="00C6107F" w:rsidRDefault="009C7771" w:rsidP="00C61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8C68" w14:textId="14D64046" w:rsidR="009C7771" w:rsidRPr="00F950E9" w:rsidRDefault="009C7771" w:rsidP="00F950E9">
    <w:pPr>
      <w:pStyle w:val="Header"/>
    </w:pPr>
  </w:p>
</w:hdr>
</file>

<file path=word/intelligence2.xml><?xml version="1.0" encoding="utf-8"?>
<int2:intelligence xmlns:int2="http://schemas.microsoft.com/office/intelligence/2020/intelligence" xmlns:oel="http://schemas.microsoft.com/office/2019/extlst">
  <int2:observations>
    <int2:textHash int2:hashCode="xLrX0+Dg/O23kJ" int2:id="0gT4PKZE">
      <int2:state int2:value="Rejected" int2:type="AugLoop_Text_Critique"/>
    </int2:textHash>
    <int2:textHash int2:hashCode="K/XuvPnh3HeILo" int2:id="0lq3frfA">
      <int2:state int2:value="Rejected" int2:type="AugLoop_Text_Critique"/>
    </int2:textHash>
    <int2:textHash int2:hashCode="J2BmbgVSYumaV9" int2:id="3pxhpYGf">
      <int2:state int2:value="Rejected" int2:type="AugLoop_Text_Critique"/>
    </int2:textHash>
    <int2:textHash int2:hashCode="s2pMUrN8Dy4Qqx" int2:id="FfcmKGAQ">
      <int2:state int2:value="Rejected" int2:type="AugLoop_Text_Critique"/>
    </int2:textHash>
    <int2:textHash int2:hashCode="YwL6FPuwxnkr4X" int2:id="WNjfVwGG">
      <int2:state int2:value="Rejected" int2:type="AugLoop_Text_Critique"/>
    </int2:textHash>
    <int2:textHash int2:hashCode="jfdN2hhMGd8Z1H" int2:id="XwEUq4S8">
      <int2:state int2:value="Rejected" int2:type="AugLoop_Text_Critique"/>
    </int2:textHash>
    <int2:textHash int2:hashCode="w1sHJi/KV2R+Qo" int2:id="aJXYkZZe">
      <int2:state int2:value="Rejected" int2:type="AugLoop_Text_Critique"/>
    </int2:textHash>
    <int2:textHash int2:hashCode="wn9GGYMo3cNuuQ" int2:id="aigslhTe">
      <int2:state int2:value="Rejected" int2:type="AugLoop_Text_Critique"/>
    </int2:textHash>
    <int2:textHash int2:hashCode="ibp3p9vECz0eg5" int2:id="bH6P5hsm">
      <int2:state int2:value="Rejected" int2:type="AugLoop_Text_Critique"/>
    </int2:textHash>
    <int2:textHash int2:hashCode="NaWHLQU49ECt8j" int2:id="fV7OqpCR">
      <int2:state int2:value="Rejected" int2:type="AugLoop_Text_Critique"/>
    </int2:textHash>
    <int2:textHash int2:hashCode="hgSBAKjSgl8kTh" int2:id="mrQaXdko">
      <int2:state int2:value="Rejected" int2:type="AugLoop_Text_Critique"/>
    </int2:textHash>
    <int2:textHash int2:hashCode="kuUneFXUvmx6Fm" int2:id="ndRGqWsI">
      <int2:state int2:value="Rejected" int2:type="AugLoop_Text_Critique"/>
    </int2:textHash>
    <int2:textHash int2:hashCode="qgACpwzQmpnTzO" int2:id="rxA1gMSZ">
      <int2:state int2:value="Rejected" int2:type="AugLoop_Text_Critique"/>
    </int2:textHash>
    <int2:bookmark int2:bookmarkName="_Int_PqZvJedo" int2:invalidationBookmarkName="" int2:hashCode="uWVdf1r8o4YCTp" int2:id="03pZXLxm">
      <int2:state int2:value="Rejected" int2:type="AugLoop_Text_Critique"/>
    </int2:bookmark>
    <int2:bookmark int2:bookmarkName="_Int_x0Sx2CxM" int2:invalidationBookmarkName="" int2:hashCode="6X/4wpXdfDElP/" int2:id="09Fetr02">
      <int2:state int2:value="Rejected" int2:type="AugLoop_Text_Critique"/>
    </int2:bookmark>
    <int2:bookmark int2:bookmarkName="_Int_bvUUlfLL" int2:invalidationBookmarkName="" int2:hashCode="gWiAdvFS7fP//6" int2:id="0TAyf4vM">
      <int2:state int2:value="Rejected" int2:type="AugLoop_Text_Critique"/>
    </int2:bookmark>
    <int2:bookmark int2:bookmarkName="_Int_mvjAA6uo" int2:invalidationBookmarkName="" int2:hashCode="+erUvoQNOUZjjE" int2:id="2RlcoIX7">
      <int2:state int2:value="Rejected" int2:type="AugLoop_Acronyms_AcronymsCritique"/>
    </int2:bookmark>
    <int2:bookmark int2:bookmarkName="_Int_u7XJlM9Y" int2:invalidationBookmarkName="" int2:hashCode="J+kN+lfDWKz69H" int2:id="2oLFpaBj">
      <int2:state int2:value="Rejected" int2:type="AugLoop_Text_Critique"/>
    </int2:bookmark>
    <int2:bookmark int2:bookmarkName="_Int_H24VZMt9" int2:invalidationBookmarkName="" int2:hashCode="MwmkR3uyqi9aFR" int2:id="3C27rVFl">
      <int2:state int2:value="Rejected" int2:type="AugLoop_Acronyms_AcronymsCritique"/>
    </int2:bookmark>
    <int2:bookmark int2:bookmarkName="_Int_oJPVH7YS" int2:invalidationBookmarkName="" int2:hashCode="CvKHRr8t+RaFKl" int2:id="3HfeiMCx">
      <int2:state int2:value="Rejected" int2:type="AugLoop_Text_Critique"/>
    </int2:bookmark>
    <int2:bookmark int2:bookmarkName="_Int_98hrD1BL" int2:invalidationBookmarkName="" int2:hashCode="nrIlwsR74wbI20" int2:id="4OTShKtv">
      <int2:state int2:value="Rejected" int2:type="AugLoop_Text_Critique"/>
    </int2:bookmark>
    <int2:bookmark int2:bookmarkName="_Int_2ie0lwU0" int2:invalidationBookmarkName="" int2:hashCode="Fjc/CobFkx57WQ" int2:id="94MzehHr">
      <int2:state int2:value="Rejected" int2:type="AugLoop_Text_Critique"/>
    </int2:bookmark>
    <int2:bookmark int2:bookmarkName="_Int_GwQA8FgW" int2:invalidationBookmarkName="" int2:hashCode="U5u1M6J7OI5FNp" int2:id="9LdfkNnc">
      <int2:state int2:value="Rejected" int2:type="AugLoop_Acronyms_AcronymsCritique"/>
    </int2:bookmark>
    <int2:bookmark int2:bookmarkName="_Int_1PVE9H4J" int2:invalidationBookmarkName="" int2:hashCode="BEzGOq7zWrnA/m" int2:id="9OPjrcAX">
      <int2:state int2:value="Rejected" int2:type="AugLoop_Text_Critique"/>
    </int2:bookmark>
    <int2:bookmark int2:bookmarkName="_Int_k8gKUQQz" int2:invalidationBookmarkName="" int2:hashCode="vh4wLCuA4YrMxv" int2:id="9lxB3WGP">
      <int2:state int2:value="Rejected" int2:type="AugLoop_Text_Critique"/>
    </int2:bookmark>
    <int2:bookmark int2:bookmarkName="_Int_GLK55cxV" int2:invalidationBookmarkName="" int2:hashCode="+ueT0Pvp0OiO/2" int2:id="AFMBUIZZ">
      <int2:state int2:value="Rejected" int2:type="AugLoop_Text_Critique"/>
    </int2:bookmark>
    <int2:bookmark int2:bookmarkName="_Int_undFyaE9" int2:invalidationBookmarkName="" int2:hashCode="ZD4DPyxyvbq3AT" int2:id="BWvSH3YL">
      <int2:state int2:value="Rejected" int2:type="AugLoop_Text_Critique"/>
    </int2:bookmark>
    <int2:bookmark int2:bookmarkName="_Int_2VNeC6zc" int2:invalidationBookmarkName="" int2:hashCode="E1+Tt6RJBbZOzq" int2:id="BdJLGUro">
      <int2:state int2:value="Rejected" int2:type="AugLoop_Text_Critique"/>
    </int2:bookmark>
    <int2:bookmark int2:bookmarkName="_Int_jU3oPq9u" int2:invalidationBookmarkName="" int2:hashCode="KUb+oQs6/2RSAO" int2:id="C5ngUb7I">
      <int2:state int2:value="Rejected" int2:type="AugLoop_Text_Critique"/>
    </int2:bookmark>
    <int2:bookmark int2:bookmarkName="_Int_yDoxKx4e" int2:invalidationBookmarkName="" int2:hashCode="pRqLcb0ElJDMOo" int2:id="DowT0n0L">
      <int2:state int2:value="Rejected" int2:type="AugLoop_Text_Critique"/>
    </int2:bookmark>
    <int2:bookmark int2:bookmarkName="_Int_Dm5ByZQh" int2:invalidationBookmarkName="" int2:hashCode="RyEgunAaVtTbIz" int2:id="EqDdSbLP">
      <int2:state int2:value="Rejected" int2:type="AugLoop_Text_Critique"/>
    </int2:bookmark>
    <int2:bookmark int2:bookmarkName="_Int_0Utz6QcK" int2:invalidationBookmarkName="" int2:hashCode="R0O/7ayE2JqGmv" int2:id="Er2tKsAN">
      <int2:state int2:value="Rejected" int2:type="AugLoop_Text_Critique"/>
    </int2:bookmark>
    <int2:bookmark int2:bookmarkName="_Int_CiGfLI1T" int2:invalidationBookmarkName="" int2:hashCode="W9Q4H7ZxzNV7bq" int2:id="EwR1ynj2">
      <int2:state int2:value="Rejected" int2:type="AugLoop_Text_Critique"/>
    </int2:bookmark>
    <int2:bookmark int2:bookmarkName="_Int_Gmbihhxy" int2:invalidationBookmarkName="" int2:hashCode="vTQ6RQCQf2J9Ff" int2:id="H7G9KyTn">
      <int2:state int2:value="Rejected" int2:type="AugLoop_Text_Critique"/>
    </int2:bookmark>
    <int2:bookmark int2:bookmarkName="_Int_swdeEPnw" int2:invalidationBookmarkName="" int2:hashCode="oMAfan0H44tlaa" int2:id="I7kk7181">
      <int2:state int2:value="Rejected" int2:type="AugLoop_Text_Critique"/>
    </int2:bookmark>
    <int2:bookmark int2:bookmarkName="_Int_XjE07FMU" int2:invalidationBookmarkName="" int2:hashCode="BDpGt413YRmGPg" int2:id="KDpOhJgk">
      <int2:state int2:value="Rejected" int2:type="AugLoop_Text_Critique"/>
    </int2:bookmark>
    <int2:bookmark int2:bookmarkName="_Int_KY7CDxFy" int2:invalidationBookmarkName="" int2:hashCode="G9ITBRTc/Outxo" int2:id="KRupqtuf">
      <int2:state int2:value="Rejected" int2:type="AugLoop_Text_Critique"/>
    </int2:bookmark>
    <int2:bookmark int2:bookmarkName="_Int_9pbdRZJl" int2:invalidationBookmarkName="" int2:hashCode="0lXQ0GySJQ8tJA" int2:id="LrqxFsWo">
      <int2:state int2:value="Rejected" int2:type="AugLoop_Text_Critique"/>
    </int2:bookmark>
    <int2:bookmark int2:bookmarkName="_Int_bylCOLjy" int2:invalidationBookmarkName="" int2:hashCode="J+kN+lfDWKz69H" int2:id="M78xffAy">
      <int2:state int2:value="Rejected" int2:type="AugLoop_Text_Critique"/>
    </int2:bookmark>
    <int2:bookmark int2:bookmarkName="_Int_PmelgEvN" int2:invalidationBookmarkName="" int2:hashCode="eiEQRQqUtEvUaX" int2:id="ME7sskIe">
      <int2:state int2:value="Rejected" int2:type="AugLoop_Text_Critique"/>
    </int2:bookmark>
    <int2:bookmark int2:bookmarkName="_Int_uEQSYLly" int2:invalidationBookmarkName="" int2:hashCode="Ny/MvNzWTVWXQ9" int2:id="Nia9gVve">
      <int2:state int2:value="Rejected" int2:type="AugLoop_Text_Critique"/>
    </int2:bookmark>
    <int2:bookmark int2:bookmarkName="_Int_bDzYUqxz" int2:invalidationBookmarkName="" int2:hashCode="liGiRKRH7HSVmP" int2:id="O99oXCdo">
      <int2:state int2:value="Rejected" int2:type="AugLoop_Text_Critique"/>
    </int2:bookmark>
    <int2:bookmark int2:bookmarkName="_Int_Y034vQwk" int2:invalidationBookmarkName="" int2:hashCode="RyEgunAaVtTbIz" int2:id="OuyYdqXO">
      <int2:state int2:value="Rejected" int2:type="AugLoop_Text_Critique"/>
    </int2:bookmark>
    <int2:bookmark int2:bookmarkName="_Int_19Zewa4j" int2:invalidationBookmarkName="" int2:hashCode="n982x5g1GJqaBL" int2:id="Oy74FcXA">
      <int2:state int2:value="Rejected" int2:type="AugLoop_Text_Critique"/>
    </int2:bookmark>
    <int2:bookmark int2:bookmarkName="_Int_JSo5Vd0G" int2:invalidationBookmarkName="" int2:hashCode="3i4/duTJ0R+q/h" int2:id="P11JhbZc">
      <int2:state int2:value="Rejected" int2:type="AugLoop_Text_Critique"/>
    </int2:bookmark>
    <int2:bookmark int2:bookmarkName="_Int_NsV6FRCJ" int2:invalidationBookmarkName="" int2:hashCode="q/es7HhZSN/1BW" int2:id="PrJkIJrt">
      <int2:state int2:value="Rejected" int2:type="AugLoop_Text_Critique"/>
    </int2:bookmark>
    <int2:bookmark int2:bookmarkName="_Int_FpgXQ3ld" int2:invalidationBookmarkName="" int2:hashCode="dU6Ago3nL0/Pbz" int2:id="Pvx2o8HZ">
      <int2:state int2:value="Rejected" int2:type="AugLoop_Text_Critique"/>
    </int2:bookmark>
    <int2:bookmark int2:bookmarkName="_Int_n3t7Ii1x" int2:invalidationBookmarkName="" int2:hashCode="X3YYOvqEcU3tRL" int2:id="QbSBJ7HU">
      <int2:state int2:value="Rejected" int2:type="AugLoop_Text_Critique"/>
    </int2:bookmark>
    <int2:bookmark int2:bookmarkName="_Int_YIUbV2RQ" int2:invalidationBookmarkName="" int2:hashCode="eXHmoFEQQHT9rg" int2:id="R6QgWWIJ">
      <int2:state int2:value="Rejected" int2:type="AugLoop_Text_Critique"/>
    </int2:bookmark>
    <int2:bookmark int2:bookmarkName="_Int_TMgkxMDd" int2:invalidationBookmarkName="" int2:hashCode="l+t+yJoDoLB6PS" int2:id="RWy24fP0">
      <int2:state int2:value="Rejected" int2:type="AugLoop_Text_Critique"/>
    </int2:bookmark>
    <int2:bookmark int2:bookmarkName="_Int_8lyijMeo" int2:invalidationBookmarkName="" int2:hashCode="zvG7qIwCQBcCmf" int2:id="SC02S8ZT">
      <int2:state int2:value="Rejected" int2:type="AugLoop_Text_Critique"/>
    </int2:bookmark>
    <int2:bookmark int2:bookmarkName="_Int_ut6HSE1O" int2:invalidationBookmarkName="" int2:hashCode="/pKnl5BdodieN0" int2:id="SXdU0OvS">
      <int2:state int2:value="Rejected" int2:type="AugLoop_Acronyms_AcronymsCritique"/>
    </int2:bookmark>
    <int2:bookmark int2:bookmarkName="_Int_5YaAQCnU" int2:invalidationBookmarkName="" int2:hashCode="tFRdExYFOBi3wM" int2:id="T1gYW3Nz">
      <int2:state int2:value="Rejected" int2:type="AugLoop_Text_Critique"/>
    </int2:bookmark>
    <int2:bookmark int2:bookmarkName="_Int_q4zAf4iW" int2:invalidationBookmarkName="" int2:hashCode="0lXQ0GySJQ8tJA" int2:id="TD0uFpW7">
      <int2:state int2:value="Rejected" int2:type="AugLoop_Text_Critique"/>
    </int2:bookmark>
    <int2:bookmark int2:bookmarkName="_Int_9PeZye3x" int2:invalidationBookmarkName="" int2:hashCode="kVNNer1yBTxwH8" int2:id="TFU5ideg">
      <int2:state int2:value="Rejected" int2:type="AugLoop_Text_Critique"/>
    </int2:bookmark>
    <int2:bookmark int2:bookmarkName="_Int_J7UHTl9J" int2:invalidationBookmarkName="" int2:hashCode="lhuWVhMu8Xkk99" int2:id="UR5JIx23">
      <int2:state int2:value="Rejected" int2:type="AugLoop_Acronyms_AcronymsCritique"/>
    </int2:bookmark>
    <int2:bookmark int2:bookmarkName="_Int_tgebzRgQ" int2:invalidationBookmarkName="" int2:hashCode="xN6CSLPcfIHY2X" int2:id="UqYPUNQf">
      <int2:state int2:value="Rejected" int2:type="AugLoop_Text_Critique"/>
    </int2:bookmark>
    <int2:bookmark int2:bookmarkName="_Int_AXgPEe0J" int2:invalidationBookmarkName="" int2:hashCode="spmoQrtyRh9wi5" int2:id="VPSRibDe">
      <int2:state int2:value="Rejected" int2:type="AugLoop_Acronyms_AcronymsCritique"/>
    </int2:bookmark>
    <int2:bookmark int2:bookmarkName="_Int_KcWnZU2Z" int2:invalidationBookmarkName="" int2:hashCode="PeUh02GRVekij4" int2:id="VVn83ryN">
      <int2:state int2:value="Rejected" int2:type="AugLoop_Text_Critique"/>
    </int2:bookmark>
    <int2:bookmark int2:bookmarkName="_Int_HlP74ieX" int2:invalidationBookmarkName="" int2:hashCode="J+kN+lfDWKz69H" int2:id="WAw21pNz">
      <int2:state int2:value="Rejected" int2:type="AugLoop_Text_Critique"/>
    </int2:bookmark>
    <int2:bookmark int2:bookmarkName="_Int_SU9SRYXv" int2:invalidationBookmarkName="" int2:hashCode="nYhf39O8g80KHh" int2:id="WVLI0ayP">
      <int2:state int2:value="Rejected" int2:type="AugLoop_Text_Critique"/>
    </int2:bookmark>
    <int2:bookmark int2:bookmarkName="_Int_d4nMvl20" int2:invalidationBookmarkName="" int2:hashCode="uEIottUBw6VRr8" int2:id="Xcxoq6Nd">
      <int2:state int2:value="Rejected" int2:type="AugLoop_Text_Critique"/>
    </int2:bookmark>
    <int2:bookmark int2:bookmarkName="_Int_ROpBfi9D" int2:invalidationBookmarkName="" int2:hashCode="PLkOiG92Ck0gQI" int2:id="YcnuUDse">
      <int2:state int2:value="Rejected" int2:type="AugLoop_Text_Critique"/>
    </int2:bookmark>
    <int2:bookmark int2:bookmarkName="_Int_onO8QHpE" int2:invalidationBookmarkName="" int2:hashCode="bIcFV/0DrrDvvp" int2:id="ZDuf6xgN">
      <int2:state int2:value="Rejected" int2:type="AugLoop_Text_Critique"/>
    </int2:bookmark>
    <int2:bookmark int2:bookmarkName="_Int_gyXwMIsZ" int2:invalidationBookmarkName="" int2:hashCode="RyEgunAaVtTbIz" int2:id="ZJCHv1sG">
      <int2:state int2:value="Rejected" int2:type="AugLoop_Text_Critique"/>
    </int2:bookmark>
    <int2:bookmark int2:bookmarkName="_Int_GyZFWOqp" int2:invalidationBookmarkName="" int2:hashCode="af2yLWATS+riUZ" int2:id="a4QdU1VE">
      <int2:state int2:value="Rejected" int2:type="AugLoop_Text_Critique"/>
    </int2:bookmark>
    <int2:bookmark int2:bookmarkName="_Int_Pepp9bZK" int2:invalidationBookmarkName="" int2:hashCode="Q/lZjkygFJgydD" int2:id="aBLOGHcR">
      <int2:state int2:value="Rejected" int2:type="AugLoop_Text_Critique"/>
    </int2:bookmark>
    <int2:bookmark int2:bookmarkName="_Int_vhIQ3bv0" int2:invalidationBookmarkName="" int2:hashCode="wCgj9rKdcuGrsF" int2:id="aV22VRxV">
      <int2:state int2:value="Rejected" int2:type="AugLoop_Text_Critique"/>
    </int2:bookmark>
    <int2:bookmark int2:bookmarkName="_Int_ucDP4edR" int2:invalidationBookmarkName="" int2:hashCode="1tEfVO5Ic5PgP5" int2:id="b0yCnaxC">
      <int2:state int2:value="Rejected" int2:type="AugLoop_Acronyms_AcronymsCritique"/>
    </int2:bookmark>
    <int2:bookmark int2:bookmarkName="_Int_WY7pJPqP" int2:invalidationBookmarkName="" int2:hashCode="SPW0sFXDTAtd5h" int2:id="bbSQHw2i">
      <int2:state int2:value="Rejected" int2:type="AugLoop_Text_Critique"/>
    </int2:bookmark>
    <int2:bookmark int2:bookmarkName="_Int_vQyo0LSO" int2:invalidationBookmarkName="" int2:hashCode="5xijA//O6Ot/kg" int2:id="brjuGY1M">
      <int2:state int2:value="Rejected" int2:type="AugLoop_Text_Critique"/>
    </int2:bookmark>
    <int2:bookmark int2:bookmarkName="_Int_yUKWNvOE" int2:invalidationBookmarkName="" int2:hashCode="PP+Hh7LqQ7YUGl" int2:id="bvfijIqo">
      <int2:state int2:value="Rejected" int2:type="AugLoop_Text_Critique"/>
    </int2:bookmark>
    <int2:bookmark int2:bookmarkName="_Int_unkMPIuR" int2:invalidationBookmarkName="" int2:hashCode="H/tyd6Z7wX4vC5" int2:id="bz4xRTOx">
      <int2:state int2:value="Rejected" int2:type="AugLoop_Acronyms_AcronymsCritique"/>
    </int2:bookmark>
    <int2:bookmark int2:bookmarkName="_Int_Xc0vrnbu" int2:invalidationBookmarkName="" int2:hashCode="WHwLSCogOcThR2" int2:id="eF7taGfc">
      <int2:state int2:value="Rejected" int2:type="AugLoop_Text_Critique"/>
    </int2:bookmark>
    <int2:bookmark int2:bookmarkName="_Int_Tak1Athx" int2:invalidationBookmarkName="" int2:hashCode="VSht+t7BWvDA00" int2:id="eXBw0F9p">
      <int2:state int2:value="Rejected" int2:type="AugLoop_Text_Critique"/>
    </int2:bookmark>
    <int2:bookmark int2:bookmarkName="_Int_AjJrux0e" int2:invalidationBookmarkName="" int2:hashCode="2mAo1Rf8PGZwVJ" int2:id="g5ZWqAgH">
      <int2:state int2:value="Rejected" int2:type="AugLoop_Text_Critique"/>
    </int2:bookmark>
    <int2:bookmark int2:bookmarkName="_Int_ZK0kT8Jk" int2:invalidationBookmarkName="" int2:hashCode="/mVDGvG3eC/3mB" int2:id="g7xvHRJc">
      <int2:state int2:value="Rejected" int2:type="AugLoop_Text_Critique"/>
    </int2:bookmark>
    <int2:bookmark int2:bookmarkName="_Int_0l0LK3Mx" int2:invalidationBookmarkName="" int2:hashCode="Ny/MvNzWTVWXQ9" int2:id="iA8YSJGI">
      <int2:state int2:value="Rejected" int2:type="AugLoop_Text_Critique"/>
    </int2:bookmark>
    <int2:bookmark int2:bookmarkName="_Int_ciBJC7pc" int2:invalidationBookmarkName="" int2:hashCode="xN6CSLPcfIHY2X" int2:id="iQn97hMg">
      <int2:state int2:value="Rejected" int2:type="AugLoop_Text_Critique"/>
    </int2:bookmark>
    <int2:bookmark int2:bookmarkName="_Int_ZdNvzoch" int2:invalidationBookmarkName="" int2:hashCode="RyEgunAaVtTbIz" int2:id="kb5Ulehr">
      <int2:state int2:value="Rejected" int2:type="AugLoop_Text_Critique"/>
    </int2:bookmark>
    <int2:bookmark int2:bookmarkName="_Int_Ve6Yvxtc" int2:invalidationBookmarkName="" int2:hashCode="JIUNxaBPlpwpTP" int2:id="lDfe38Ow">
      <int2:state int2:value="Rejected" int2:type="AugLoop_Acronyms_AcronymsCritique"/>
    </int2:bookmark>
    <int2:bookmark int2:bookmarkName="_Int_RGLslWkX" int2:invalidationBookmarkName="" int2:hashCode="3i4/duTJ0R+q/h" int2:id="lEGEkQjV">
      <int2:state int2:value="Rejected" int2:type="AugLoop_Text_Critique"/>
    </int2:bookmark>
    <int2:bookmark int2:bookmarkName="_Int_PsJ8G1Ck" int2:invalidationBookmarkName="" int2:hashCode="Cds/Oh4RXNPr9Y" int2:id="lXgt2biN">
      <int2:state int2:value="Rejected" int2:type="AugLoop_Text_Critique"/>
    </int2:bookmark>
    <int2:bookmark int2:bookmarkName="_Int_4uReqSN2" int2:invalidationBookmarkName="" int2:hashCode="KQK9VSamvL/0QN" int2:id="moMOOD7w">
      <int2:state int2:value="Rejected" int2:type="AugLoop_Text_Critique"/>
    </int2:bookmark>
    <int2:bookmark int2:bookmarkName="_Int_wF1Lm3k7" int2:invalidationBookmarkName="" int2:hashCode="mYxhthMuFQZMJI" int2:id="o6STuPYz">
      <int2:state int2:value="Rejected" int2:type="AugLoop_Acronyms_AcronymsCritique"/>
    </int2:bookmark>
    <int2:bookmark int2:bookmarkName="_Int_xZ6SIY13" int2:invalidationBookmarkName="" int2:hashCode="zm/M44zezNmlkd" int2:id="oSDNYb0G">
      <int2:state int2:value="Rejected" int2:type="AugLoop_Text_Critique"/>
    </int2:bookmark>
    <int2:bookmark int2:bookmarkName="_Int_f82OdIvi" int2:invalidationBookmarkName="" int2:hashCode="hkxC5IEhB1SQUc" int2:id="omylHwd6">
      <int2:state int2:value="Rejected" int2:type="AugLoop_Acronyms_AcronymsCritique"/>
    </int2:bookmark>
    <int2:bookmark int2:bookmarkName="_Int_uzjRrE6T" int2:invalidationBookmarkName="" int2:hashCode="rvQYQqtjcAeswR" int2:id="rjs0iiEe">
      <int2:state int2:value="Rejected" int2:type="AugLoop_Acronyms_AcronymsCritique"/>
    </int2:bookmark>
    <int2:bookmark int2:bookmarkName="_Int_SnjF4DbP" int2:invalidationBookmarkName="" int2:hashCode="Gg2b97hHT1osc8" int2:id="s5jh74uI">
      <int2:state int2:value="Rejected" int2:type="AugLoop_Text_Critique"/>
    </int2:bookmark>
    <int2:bookmark int2:bookmarkName="_Int_Ev22jQ09" int2:invalidationBookmarkName="" int2:hashCode="PZK2qOy0OxHBlW" int2:id="sWVT9MWQ">
      <int2:state int2:value="Rejected" int2:type="AugLoop_Text_Critique"/>
    </int2:bookmark>
    <int2:bookmark int2:bookmarkName="_Int_YIp6U9Aa" int2:invalidationBookmarkName="" int2:hashCode="br8XfLCVidIRle" int2:id="tD5Ir6x2">
      <int2:state int2:value="Rejected" int2:type="AugLoop_Acronyms_AcronymsCritique"/>
    </int2:bookmark>
    <int2:bookmark int2:bookmarkName="_Int_dVTqoi3U" int2:invalidationBookmarkName="" int2:hashCode="23AfVRQR483lla" int2:id="ur5Obb8F">
      <int2:state int2:value="Rejected" int2:type="AugLoop_Text_Critique"/>
    </int2:bookmark>
    <int2:bookmark int2:bookmarkName="_Int_2HDrjxKy" int2:invalidationBookmarkName="" int2:hashCode="7r1QPg8v7uNkAO" int2:id="uxfeM4dD">
      <int2:state int2:value="Rejected" int2:type="AugLoop_Text_Critique"/>
    </int2:bookmark>
    <int2:bookmark int2:bookmarkName="_Int_9z3Fm22X" int2:invalidationBookmarkName="" int2:hashCode="sRyJfhJIZ2jhec" int2:id="v2Ujcsvy">
      <int2:state int2:value="Rejected" int2:type="AugLoop_Text_Critique"/>
    </int2:bookmark>
    <int2:bookmark int2:bookmarkName="_Int_3efAHYVV" int2:invalidationBookmarkName="" int2:hashCode="kMXRNY0SgReYn8" int2:id="wWIgFpku">
      <int2:state int2:value="Rejected" int2:type="AugLoop_Text_Critique"/>
    </int2:bookmark>
    <int2:bookmark int2:bookmarkName="_Int_oLOq78uy" int2:invalidationBookmarkName="" int2:hashCode="kMXRNY0SgReYn8" int2:id="xDHQKY5E">
      <int2:state int2:value="Rejected" int2:type="AugLoop_Text_Critique"/>
    </int2:bookmark>
    <int2:bookmark int2:bookmarkName="_Int_mP9pWL1W" int2:invalidationBookmarkName="" int2:hashCode="ZD4DPyxyvbq3AT" int2:id="y7UyJz9A">
      <int2:state int2:value="Rejected" int2:type="AugLoop_Text_Critique"/>
    </int2:bookmark>
    <int2:bookmark int2:bookmarkName="_Int_fKTzyYeh" int2:invalidationBookmarkName="" int2:hashCode="9CZG5UXW2HOK/b" int2:id="yaMAKpE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29AA"/>
    <w:multiLevelType w:val="hybridMultilevel"/>
    <w:tmpl w:val="B5E80166"/>
    <w:lvl w:ilvl="0" w:tplc="DCB21A00">
      <w:start w:val="1"/>
      <w:numFmt w:val="bullet"/>
      <w:lvlText w:val="·"/>
      <w:lvlJc w:val="left"/>
      <w:pPr>
        <w:ind w:left="720" w:hanging="360"/>
      </w:pPr>
      <w:rPr>
        <w:rFonts w:ascii="Symbol" w:hAnsi="Symbol" w:hint="default"/>
      </w:rPr>
    </w:lvl>
    <w:lvl w:ilvl="1" w:tplc="B7920352">
      <w:start w:val="1"/>
      <w:numFmt w:val="bullet"/>
      <w:lvlText w:val="o"/>
      <w:lvlJc w:val="left"/>
      <w:pPr>
        <w:ind w:left="1440" w:hanging="360"/>
      </w:pPr>
      <w:rPr>
        <w:rFonts w:ascii="Courier New" w:hAnsi="Courier New" w:cs="Times New Roman" w:hint="default"/>
      </w:rPr>
    </w:lvl>
    <w:lvl w:ilvl="2" w:tplc="B1709090">
      <w:start w:val="1"/>
      <w:numFmt w:val="bullet"/>
      <w:lvlText w:val=""/>
      <w:lvlJc w:val="left"/>
      <w:pPr>
        <w:ind w:left="2160" w:hanging="360"/>
      </w:pPr>
      <w:rPr>
        <w:rFonts w:ascii="Wingdings" w:hAnsi="Wingdings" w:hint="default"/>
      </w:rPr>
    </w:lvl>
    <w:lvl w:ilvl="3" w:tplc="4B0694FE">
      <w:start w:val="1"/>
      <w:numFmt w:val="bullet"/>
      <w:lvlText w:val=""/>
      <w:lvlJc w:val="left"/>
      <w:pPr>
        <w:ind w:left="2880" w:hanging="360"/>
      </w:pPr>
      <w:rPr>
        <w:rFonts w:ascii="Symbol" w:hAnsi="Symbol" w:hint="default"/>
      </w:rPr>
    </w:lvl>
    <w:lvl w:ilvl="4" w:tplc="6DDAAFD0">
      <w:start w:val="1"/>
      <w:numFmt w:val="bullet"/>
      <w:lvlText w:val="o"/>
      <w:lvlJc w:val="left"/>
      <w:pPr>
        <w:ind w:left="3600" w:hanging="360"/>
      </w:pPr>
      <w:rPr>
        <w:rFonts w:ascii="Courier New" w:hAnsi="Courier New" w:cs="Times New Roman" w:hint="default"/>
      </w:rPr>
    </w:lvl>
    <w:lvl w:ilvl="5" w:tplc="4F9EBCC4">
      <w:start w:val="1"/>
      <w:numFmt w:val="bullet"/>
      <w:lvlText w:val=""/>
      <w:lvlJc w:val="left"/>
      <w:pPr>
        <w:ind w:left="4320" w:hanging="360"/>
      </w:pPr>
      <w:rPr>
        <w:rFonts w:ascii="Wingdings" w:hAnsi="Wingdings" w:hint="default"/>
      </w:rPr>
    </w:lvl>
    <w:lvl w:ilvl="6" w:tplc="48101A4E">
      <w:start w:val="1"/>
      <w:numFmt w:val="bullet"/>
      <w:lvlText w:val=""/>
      <w:lvlJc w:val="left"/>
      <w:pPr>
        <w:ind w:left="5040" w:hanging="360"/>
      </w:pPr>
      <w:rPr>
        <w:rFonts w:ascii="Symbol" w:hAnsi="Symbol" w:hint="default"/>
      </w:rPr>
    </w:lvl>
    <w:lvl w:ilvl="7" w:tplc="A74CA71A">
      <w:start w:val="1"/>
      <w:numFmt w:val="bullet"/>
      <w:lvlText w:val="o"/>
      <w:lvlJc w:val="left"/>
      <w:pPr>
        <w:ind w:left="5760" w:hanging="360"/>
      </w:pPr>
      <w:rPr>
        <w:rFonts w:ascii="Courier New" w:hAnsi="Courier New" w:cs="Times New Roman" w:hint="default"/>
      </w:rPr>
    </w:lvl>
    <w:lvl w:ilvl="8" w:tplc="2C68E586">
      <w:start w:val="1"/>
      <w:numFmt w:val="bullet"/>
      <w:lvlText w:val=""/>
      <w:lvlJc w:val="left"/>
      <w:pPr>
        <w:ind w:left="6480" w:hanging="360"/>
      </w:pPr>
      <w:rPr>
        <w:rFonts w:ascii="Wingdings" w:hAnsi="Wingdings" w:hint="default"/>
      </w:rPr>
    </w:lvl>
  </w:abstractNum>
  <w:abstractNum w:abstractNumId="1" w15:restartNumberingAfterBreak="0">
    <w:nsid w:val="07E62CC5"/>
    <w:multiLevelType w:val="hybridMultilevel"/>
    <w:tmpl w:val="7BE8F9BA"/>
    <w:lvl w:ilvl="0" w:tplc="EA1E3034">
      <w:start w:val="1"/>
      <w:numFmt w:val="bullet"/>
      <w:pStyle w:val="DotPoint"/>
      <w:lvlText w:val=""/>
      <w:lvlJc w:val="left"/>
      <w:pPr>
        <w:ind w:left="567" w:hanging="283"/>
      </w:pPr>
      <w:rPr>
        <w:rFonts w:ascii="Symbol" w:hAnsi="Symbol" w:hint="default"/>
      </w:rPr>
    </w:lvl>
    <w:lvl w:ilvl="1" w:tplc="FF88AB46">
      <w:start w:val="1"/>
      <w:numFmt w:val="bullet"/>
      <w:lvlText w:val="o"/>
      <w:lvlJc w:val="left"/>
      <w:pPr>
        <w:ind w:left="851" w:hanging="284"/>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numFmt w:val="bullet"/>
      <w:lvlText w:val="•"/>
      <w:lvlJc w:val="left"/>
      <w:pPr>
        <w:ind w:left="2880" w:hanging="360"/>
      </w:pPr>
      <w:rPr>
        <w:rFonts w:ascii="Arial" w:eastAsiaTheme="minorEastAsia" w:hAnsi="Arial" w:cs="Aria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0743A"/>
    <w:multiLevelType w:val="hybridMultilevel"/>
    <w:tmpl w:val="4FE47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767016"/>
    <w:multiLevelType w:val="hybridMultilevel"/>
    <w:tmpl w:val="8B78233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150A4B16"/>
    <w:multiLevelType w:val="hybridMultilevel"/>
    <w:tmpl w:val="FFFFFFFF"/>
    <w:lvl w:ilvl="0" w:tplc="25DA5DF6">
      <w:start w:val="1"/>
      <w:numFmt w:val="bullet"/>
      <w:lvlText w:val=""/>
      <w:lvlJc w:val="left"/>
      <w:pPr>
        <w:ind w:left="720" w:hanging="360"/>
      </w:pPr>
      <w:rPr>
        <w:rFonts w:ascii="Symbol" w:hAnsi="Symbol" w:hint="default"/>
      </w:rPr>
    </w:lvl>
    <w:lvl w:ilvl="1" w:tplc="40F2DBE2">
      <w:start w:val="1"/>
      <w:numFmt w:val="bullet"/>
      <w:lvlText w:val="o"/>
      <w:lvlJc w:val="left"/>
      <w:pPr>
        <w:ind w:left="1440" w:hanging="360"/>
      </w:pPr>
      <w:rPr>
        <w:rFonts w:ascii="Courier New" w:hAnsi="Courier New" w:hint="default"/>
      </w:rPr>
    </w:lvl>
    <w:lvl w:ilvl="2" w:tplc="127455AE">
      <w:start w:val="1"/>
      <w:numFmt w:val="bullet"/>
      <w:lvlText w:val="·"/>
      <w:lvlJc w:val="left"/>
      <w:pPr>
        <w:ind w:left="643" w:hanging="360"/>
      </w:pPr>
      <w:rPr>
        <w:rFonts w:ascii="Symbol" w:hAnsi="Symbol" w:hint="default"/>
      </w:rPr>
    </w:lvl>
    <w:lvl w:ilvl="3" w:tplc="5CBE69C6">
      <w:start w:val="1"/>
      <w:numFmt w:val="bullet"/>
      <w:lvlText w:val=""/>
      <w:lvlJc w:val="left"/>
      <w:pPr>
        <w:ind w:left="2880" w:hanging="360"/>
      </w:pPr>
      <w:rPr>
        <w:rFonts w:ascii="Symbol" w:hAnsi="Symbol" w:hint="default"/>
      </w:rPr>
    </w:lvl>
    <w:lvl w:ilvl="4" w:tplc="3A5680CA">
      <w:start w:val="1"/>
      <w:numFmt w:val="bullet"/>
      <w:lvlText w:val="o"/>
      <w:lvlJc w:val="left"/>
      <w:pPr>
        <w:ind w:left="3600" w:hanging="360"/>
      </w:pPr>
      <w:rPr>
        <w:rFonts w:ascii="Courier New" w:hAnsi="Courier New" w:hint="default"/>
      </w:rPr>
    </w:lvl>
    <w:lvl w:ilvl="5" w:tplc="44B41D68">
      <w:start w:val="1"/>
      <w:numFmt w:val="bullet"/>
      <w:lvlText w:val=""/>
      <w:lvlJc w:val="left"/>
      <w:pPr>
        <w:ind w:left="4320" w:hanging="360"/>
      </w:pPr>
      <w:rPr>
        <w:rFonts w:ascii="Wingdings" w:hAnsi="Wingdings" w:hint="default"/>
      </w:rPr>
    </w:lvl>
    <w:lvl w:ilvl="6" w:tplc="9A74D688">
      <w:start w:val="1"/>
      <w:numFmt w:val="bullet"/>
      <w:lvlText w:val=""/>
      <w:lvlJc w:val="left"/>
      <w:pPr>
        <w:ind w:left="5040" w:hanging="360"/>
      </w:pPr>
      <w:rPr>
        <w:rFonts w:ascii="Symbol" w:hAnsi="Symbol" w:hint="default"/>
      </w:rPr>
    </w:lvl>
    <w:lvl w:ilvl="7" w:tplc="B7F4B8F4">
      <w:start w:val="1"/>
      <w:numFmt w:val="bullet"/>
      <w:lvlText w:val="o"/>
      <w:lvlJc w:val="left"/>
      <w:pPr>
        <w:ind w:left="5760" w:hanging="360"/>
      </w:pPr>
      <w:rPr>
        <w:rFonts w:ascii="Courier New" w:hAnsi="Courier New" w:hint="default"/>
      </w:rPr>
    </w:lvl>
    <w:lvl w:ilvl="8" w:tplc="DB5271AA">
      <w:start w:val="1"/>
      <w:numFmt w:val="bullet"/>
      <w:lvlText w:val=""/>
      <w:lvlJc w:val="left"/>
      <w:pPr>
        <w:ind w:left="6480" w:hanging="360"/>
      </w:pPr>
      <w:rPr>
        <w:rFonts w:ascii="Wingdings" w:hAnsi="Wingdings" w:hint="default"/>
      </w:rPr>
    </w:lvl>
  </w:abstractNum>
  <w:abstractNum w:abstractNumId="5" w15:restartNumberingAfterBreak="0">
    <w:nsid w:val="194E7730"/>
    <w:multiLevelType w:val="hybridMultilevel"/>
    <w:tmpl w:val="54CA645E"/>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A8ECB1"/>
    <w:multiLevelType w:val="hybridMultilevel"/>
    <w:tmpl w:val="FFFFFFFF"/>
    <w:lvl w:ilvl="0" w:tplc="26C6CC3C">
      <w:start w:val="1"/>
      <w:numFmt w:val="decimal"/>
      <w:pStyle w:val="RecDotPoint"/>
      <w:lvlText w:val="%1."/>
      <w:lvlJc w:val="left"/>
      <w:pPr>
        <w:ind w:left="720" w:hanging="360"/>
      </w:pPr>
    </w:lvl>
    <w:lvl w:ilvl="1" w:tplc="B1F2223C">
      <w:start w:val="1"/>
      <w:numFmt w:val="lowerLetter"/>
      <w:lvlText w:val="%2."/>
      <w:lvlJc w:val="left"/>
      <w:pPr>
        <w:ind w:left="1440" w:hanging="360"/>
      </w:pPr>
    </w:lvl>
    <w:lvl w:ilvl="2" w:tplc="DFF2EA02">
      <w:start w:val="1"/>
      <w:numFmt w:val="lowerRoman"/>
      <w:lvlText w:val="%3."/>
      <w:lvlJc w:val="right"/>
      <w:pPr>
        <w:ind w:left="2160" w:hanging="180"/>
      </w:pPr>
    </w:lvl>
    <w:lvl w:ilvl="3" w:tplc="E558F3A0">
      <w:start w:val="1"/>
      <w:numFmt w:val="decimal"/>
      <w:lvlText w:val="%4."/>
      <w:lvlJc w:val="left"/>
      <w:pPr>
        <w:ind w:left="2880" w:hanging="360"/>
      </w:pPr>
    </w:lvl>
    <w:lvl w:ilvl="4" w:tplc="F0CEB8E6">
      <w:start w:val="1"/>
      <w:numFmt w:val="lowerLetter"/>
      <w:lvlText w:val="%5."/>
      <w:lvlJc w:val="left"/>
      <w:pPr>
        <w:ind w:left="3600" w:hanging="360"/>
      </w:pPr>
    </w:lvl>
    <w:lvl w:ilvl="5" w:tplc="D7626670">
      <w:start w:val="1"/>
      <w:numFmt w:val="lowerRoman"/>
      <w:lvlText w:val="%6."/>
      <w:lvlJc w:val="right"/>
      <w:pPr>
        <w:ind w:left="4320" w:hanging="180"/>
      </w:pPr>
    </w:lvl>
    <w:lvl w:ilvl="6" w:tplc="4182A5E4">
      <w:start w:val="1"/>
      <w:numFmt w:val="decimal"/>
      <w:lvlText w:val="%7."/>
      <w:lvlJc w:val="left"/>
      <w:pPr>
        <w:ind w:left="5040" w:hanging="360"/>
      </w:pPr>
    </w:lvl>
    <w:lvl w:ilvl="7" w:tplc="A85C47D0">
      <w:start w:val="1"/>
      <w:numFmt w:val="lowerLetter"/>
      <w:lvlText w:val="%8."/>
      <w:lvlJc w:val="left"/>
      <w:pPr>
        <w:ind w:left="5760" w:hanging="360"/>
      </w:pPr>
    </w:lvl>
    <w:lvl w:ilvl="8" w:tplc="64B28464">
      <w:start w:val="1"/>
      <w:numFmt w:val="lowerRoman"/>
      <w:lvlText w:val="%9."/>
      <w:lvlJc w:val="right"/>
      <w:pPr>
        <w:ind w:left="6480" w:hanging="180"/>
      </w:pPr>
    </w:lvl>
  </w:abstractNum>
  <w:abstractNum w:abstractNumId="7" w15:restartNumberingAfterBreak="0">
    <w:nsid w:val="2214E646"/>
    <w:multiLevelType w:val="hybridMultilevel"/>
    <w:tmpl w:val="FFFFFFFF"/>
    <w:lvl w:ilvl="0" w:tplc="6AA84408">
      <w:start w:val="1"/>
      <w:numFmt w:val="bullet"/>
      <w:lvlText w:val=""/>
      <w:lvlJc w:val="left"/>
      <w:pPr>
        <w:ind w:left="720" w:hanging="360"/>
      </w:pPr>
      <w:rPr>
        <w:rFonts w:ascii="Symbol" w:hAnsi="Symbol" w:hint="default"/>
      </w:rPr>
    </w:lvl>
    <w:lvl w:ilvl="1" w:tplc="3B709EBE">
      <w:start w:val="1"/>
      <w:numFmt w:val="bullet"/>
      <w:lvlText w:val="o"/>
      <w:lvlJc w:val="left"/>
      <w:pPr>
        <w:ind w:left="1440" w:hanging="360"/>
      </w:pPr>
      <w:rPr>
        <w:rFonts w:ascii="Courier New" w:hAnsi="Courier New" w:hint="default"/>
      </w:rPr>
    </w:lvl>
    <w:lvl w:ilvl="2" w:tplc="75C687A0">
      <w:start w:val="1"/>
      <w:numFmt w:val="bullet"/>
      <w:lvlText w:val=""/>
      <w:lvlJc w:val="left"/>
      <w:pPr>
        <w:ind w:left="2160" w:hanging="360"/>
      </w:pPr>
      <w:rPr>
        <w:rFonts w:ascii="Wingdings" w:hAnsi="Wingdings" w:hint="default"/>
      </w:rPr>
    </w:lvl>
    <w:lvl w:ilvl="3" w:tplc="74E26870">
      <w:start w:val="1"/>
      <w:numFmt w:val="bullet"/>
      <w:lvlText w:val=""/>
      <w:lvlJc w:val="left"/>
      <w:pPr>
        <w:ind w:left="2880" w:hanging="360"/>
      </w:pPr>
      <w:rPr>
        <w:rFonts w:ascii="Symbol" w:hAnsi="Symbol" w:hint="default"/>
      </w:rPr>
    </w:lvl>
    <w:lvl w:ilvl="4" w:tplc="FB20B828">
      <w:start w:val="1"/>
      <w:numFmt w:val="bullet"/>
      <w:lvlText w:val="o"/>
      <w:lvlJc w:val="left"/>
      <w:pPr>
        <w:ind w:left="3600" w:hanging="360"/>
      </w:pPr>
      <w:rPr>
        <w:rFonts w:ascii="Courier New" w:hAnsi="Courier New" w:hint="default"/>
      </w:rPr>
    </w:lvl>
    <w:lvl w:ilvl="5" w:tplc="4FA83116">
      <w:start w:val="1"/>
      <w:numFmt w:val="bullet"/>
      <w:lvlText w:val=""/>
      <w:lvlJc w:val="left"/>
      <w:pPr>
        <w:ind w:left="4320" w:hanging="360"/>
      </w:pPr>
      <w:rPr>
        <w:rFonts w:ascii="Wingdings" w:hAnsi="Wingdings" w:hint="default"/>
      </w:rPr>
    </w:lvl>
    <w:lvl w:ilvl="6" w:tplc="5DE0C7D2">
      <w:start w:val="1"/>
      <w:numFmt w:val="bullet"/>
      <w:lvlText w:val=""/>
      <w:lvlJc w:val="left"/>
      <w:pPr>
        <w:ind w:left="5040" w:hanging="360"/>
      </w:pPr>
      <w:rPr>
        <w:rFonts w:ascii="Symbol" w:hAnsi="Symbol" w:hint="default"/>
      </w:rPr>
    </w:lvl>
    <w:lvl w:ilvl="7" w:tplc="48C4F6F2">
      <w:start w:val="1"/>
      <w:numFmt w:val="bullet"/>
      <w:lvlText w:val="o"/>
      <w:lvlJc w:val="left"/>
      <w:pPr>
        <w:ind w:left="5760" w:hanging="360"/>
      </w:pPr>
      <w:rPr>
        <w:rFonts w:ascii="Courier New" w:hAnsi="Courier New" w:hint="default"/>
      </w:rPr>
    </w:lvl>
    <w:lvl w:ilvl="8" w:tplc="345C1E5E">
      <w:start w:val="1"/>
      <w:numFmt w:val="bullet"/>
      <w:lvlText w:val=""/>
      <w:lvlJc w:val="left"/>
      <w:pPr>
        <w:ind w:left="6480" w:hanging="360"/>
      </w:pPr>
      <w:rPr>
        <w:rFonts w:ascii="Wingdings" w:hAnsi="Wingdings" w:hint="default"/>
      </w:rPr>
    </w:lvl>
  </w:abstractNum>
  <w:abstractNum w:abstractNumId="8" w15:restartNumberingAfterBreak="0">
    <w:nsid w:val="24FE932B"/>
    <w:multiLevelType w:val="hybridMultilevel"/>
    <w:tmpl w:val="FFFFFFFF"/>
    <w:lvl w:ilvl="0" w:tplc="673CD850">
      <w:start w:val="1"/>
      <w:numFmt w:val="bullet"/>
      <w:lvlText w:val="·"/>
      <w:lvlJc w:val="left"/>
      <w:pPr>
        <w:ind w:left="720" w:hanging="360"/>
      </w:pPr>
      <w:rPr>
        <w:rFonts w:ascii="Symbol" w:hAnsi="Symbol" w:hint="default"/>
      </w:rPr>
    </w:lvl>
    <w:lvl w:ilvl="1" w:tplc="28A49102">
      <w:start w:val="1"/>
      <w:numFmt w:val="bullet"/>
      <w:lvlText w:val="o"/>
      <w:lvlJc w:val="left"/>
      <w:pPr>
        <w:ind w:left="1440" w:hanging="360"/>
      </w:pPr>
      <w:rPr>
        <w:rFonts w:ascii="Courier New" w:hAnsi="Courier New" w:hint="default"/>
      </w:rPr>
    </w:lvl>
    <w:lvl w:ilvl="2" w:tplc="A1303C5A">
      <w:start w:val="1"/>
      <w:numFmt w:val="bullet"/>
      <w:lvlText w:val=""/>
      <w:lvlJc w:val="left"/>
      <w:pPr>
        <w:ind w:left="2160" w:hanging="360"/>
      </w:pPr>
      <w:rPr>
        <w:rFonts w:ascii="Wingdings" w:hAnsi="Wingdings" w:hint="default"/>
      </w:rPr>
    </w:lvl>
    <w:lvl w:ilvl="3" w:tplc="D0E8F048">
      <w:start w:val="1"/>
      <w:numFmt w:val="bullet"/>
      <w:lvlText w:val=""/>
      <w:lvlJc w:val="left"/>
      <w:pPr>
        <w:ind w:left="2880" w:hanging="360"/>
      </w:pPr>
      <w:rPr>
        <w:rFonts w:ascii="Symbol" w:hAnsi="Symbol" w:hint="default"/>
      </w:rPr>
    </w:lvl>
    <w:lvl w:ilvl="4" w:tplc="A228798C">
      <w:start w:val="1"/>
      <w:numFmt w:val="bullet"/>
      <w:lvlText w:val="o"/>
      <w:lvlJc w:val="left"/>
      <w:pPr>
        <w:ind w:left="3600" w:hanging="360"/>
      </w:pPr>
      <w:rPr>
        <w:rFonts w:ascii="Courier New" w:hAnsi="Courier New" w:hint="default"/>
      </w:rPr>
    </w:lvl>
    <w:lvl w:ilvl="5" w:tplc="7654D580">
      <w:start w:val="1"/>
      <w:numFmt w:val="bullet"/>
      <w:lvlText w:val=""/>
      <w:lvlJc w:val="left"/>
      <w:pPr>
        <w:ind w:left="4320" w:hanging="360"/>
      </w:pPr>
      <w:rPr>
        <w:rFonts w:ascii="Wingdings" w:hAnsi="Wingdings" w:hint="default"/>
      </w:rPr>
    </w:lvl>
    <w:lvl w:ilvl="6" w:tplc="0F325E6C">
      <w:start w:val="1"/>
      <w:numFmt w:val="bullet"/>
      <w:lvlText w:val=""/>
      <w:lvlJc w:val="left"/>
      <w:pPr>
        <w:ind w:left="5040" w:hanging="360"/>
      </w:pPr>
      <w:rPr>
        <w:rFonts w:ascii="Symbol" w:hAnsi="Symbol" w:hint="default"/>
      </w:rPr>
    </w:lvl>
    <w:lvl w:ilvl="7" w:tplc="CE2AAA68">
      <w:start w:val="1"/>
      <w:numFmt w:val="bullet"/>
      <w:lvlText w:val="o"/>
      <w:lvlJc w:val="left"/>
      <w:pPr>
        <w:ind w:left="5760" w:hanging="360"/>
      </w:pPr>
      <w:rPr>
        <w:rFonts w:ascii="Courier New" w:hAnsi="Courier New" w:hint="default"/>
      </w:rPr>
    </w:lvl>
    <w:lvl w:ilvl="8" w:tplc="C404686C">
      <w:start w:val="1"/>
      <w:numFmt w:val="bullet"/>
      <w:lvlText w:val=""/>
      <w:lvlJc w:val="left"/>
      <w:pPr>
        <w:ind w:left="6480" w:hanging="360"/>
      </w:pPr>
      <w:rPr>
        <w:rFonts w:ascii="Wingdings" w:hAnsi="Wingdings" w:hint="default"/>
      </w:rPr>
    </w:lvl>
  </w:abstractNum>
  <w:abstractNum w:abstractNumId="9" w15:restartNumberingAfterBreak="0">
    <w:nsid w:val="2A2B654F"/>
    <w:multiLevelType w:val="hybridMultilevel"/>
    <w:tmpl w:val="DC22BD38"/>
    <w:lvl w:ilvl="0" w:tplc="A1F6D5B6">
      <w:start w:val="1"/>
      <w:numFmt w:val="decimal"/>
      <w:pStyle w:val="Heading2"/>
      <w:lvlText w:val="%1"/>
      <w:lvlJc w:val="left"/>
      <w:pPr>
        <w:ind w:left="603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3818BE"/>
    <w:multiLevelType w:val="hybridMultilevel"/>
    <w:tmpl w:val="B02AF10E"/>
    <w:lvl w:ilvl="0" w:tplc="649416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371832"/>
    <w:multiLevelType w:val="hybridMultilevel"/>
    <w:tmpl w:val="56A2D9C2"/>
    <w:lvl w:ilvl="0" w:tplc="8076A17C">
      <w:start w:val="1"/>
      <w:numFmt w:val="decimal"/>
      <w:pStyle w:val="QUESTION"/>
      <w:lvlText w:val="%1."/>
      <w:lvlJc w:val="left"/>
      <w:pPr>
        <w:ind w:left="567" w:hanging="283"/>
      </w:pPr>
      <w:rPr>
        <w:rFonts w:hint="default"/>
      </w:rPr>
    </w:lvl>
    <w:lvl w:ilvl="1" w:tplc="8BA0E6D6">
      <w:start w:val="1"/>
      <w:numFmt w:val="bullet"/>
      <w:lvlText w:val="o"/>
      <w:lvlJc w:val="left"/>
      <w:pPr>
        <w:ind w:left="709" w:hanging="284"/>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1E0F3B"/>
    <w:multiLevelType w:val="hybridMultilevel"/>
    <w:tmpl w:val="F5A67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9C02000"/>
    <w:multiLevelType w:val="hybridMultilevel"/>
    <w:tmpl w:val="AAAAE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8407A1"/>
    <w:multiLevelType w:val="hybridMultilevel"/>
    <w:tmpl w:val="F1B2F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10059D"/>
    <w:multiLevelType w:val="hybridMultilevel"/>
    <w:tmpl w:val="27A2F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C004F4"/>
    <w:multiLevelType w:val="hybridMultilevel"/>
    <w:tmpl w:val="55B0B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5B7137"/>
    <w:multiLevelType w:val="multilevel"/>
    <w:tmpl w:val="14929F3E"/>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bullet"/>
      <w:lvlText w:val=""/>
      <w:lvlJc w:val="left"/>
      <w:pPr>
        <w:ind w:left="785" w:hanging="360"/>
      </w:pPr>
      <w:rPr>
        <w:rFonts w:ascii="Symbol" w:hAnsi="Symbol" w:hint="default"/>
      </w:rPr>
    </w:lvl>
    <w:lvl w:ilvl="3">
      <w:start w:val="1"/>
      <w:numFmt w:val="bullet"/>
      <w:lvlText w:val="o"/>
      <w:lvlJc w:val="left"/>
      <w:pPr>
        <w:ind w:left="1211" w:hanging="360"/>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8855B5A"/>
    <w:multiLevelType w:val="hybridMultilevel"/>
    <w:tmpl w:val="8F60E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6252747">
    <w:abstractNumId w:val="8"/>
  </w:num>
  <w:num w:numId="2" w16cid:durableId="113906734">
    <w:abstractNumId w:val="6"/>
  </w:num>
  <w:num w:numId="3" w16cid:durableId="1426341082">
    <w:abstractNumId w:val="4"/>
  </w:num>
  <w:num w:numId="4" w16cid:durableId="1373074259">
    <w:abstractNumId w:val="11"/>
  </w:num>
  <w:num w:numId="5" w16cid:durableId="1387608287">
    <w:abstractNumId w:val="1"/>
  </w:num>
  <w:num w:numId="6" w16cid:durableId="714547367">
    <w:abstractNumId w:val="10"/>
  </w:num>
  <w:num w:numId="7" w16cid:durableId="360975555">
    <w:abstractNumId w:val="2"/>
  </w:num>
  <w:num w:numId="8" w16cid:durableId="291373433">
    <w:abstractNumId w:val="17"/>
  </w:num>
  <w:num w:numId="9" w16cid:durableId="1051079462">
    <w:abstractNumId w:val="7"/>
  </w:num>
  <w:num w:numId="10" w16cid:durableId="1089691519">
    <w:abstractNumId w:val="3"/>
  </w:num>
  <w:num w:numId="11" w16cid:durableId="36591017">
    <w:abstractNumId w:val="14"/>
  </w:num>
  <w:num w:numId="12" w16cid:durableId="1852983833">
    <w:abstractNumId w:val="12"/>
  </w:num>
  <w:num w:numId="13" w16cid:durableId="627245121">
    <w:abstractNumId w:val="16"/>
  </w:num>
  <w:num w:numId="14" w16cid:durableId="715587799">
    <w:abstractNumId w:val="18"/>
  </w:num>
  <w:num w:numId="15" w16cid:durableId="1336541341">
    <w:abstractNumId w:val="5"/>
  </w:num>
  <w:num w:numId="16" w16cid:durableId="390931387">
    <w:abstractNumId w:val="15"/>
  </w:num>
  <w:num w:numId="17" w16cid:durableId="935406283">
    <w:abstractNumId w:val="0"/>
  </w:num>
  <w:num w:numId="18" w16cid:durableId="2041853550">
    <w:abstractNumId w:val="13"/>
  </w:num>
  <w:num w:numId="19" w16cid:durableId="113772564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B4"/>
    <w:rsid w:val="000004E0"/>
    <w:rsid w:val="000005AE"/>
    <w:rsid w:val="0000061C"/>
    <w:rsid w:val="00000666"/>
    <w:rsid w:val="0000066D"/>
    <w:rsid w:val="000008C1"/>
    <w:rsid w:val="00000922"/>
    <w:rsid w:val="00000A09"/>
    <w:rsid w:val="00000A5D"/>
    <w:rsid w:val="00000A93"/>
    <w:rsid w:val="00000AE8"/>
    <w:rsid w:val="00000C18"/>
    <w:rsid w:val="00000D22"/>
    <w:rsid w:val="00000DE2"/>
    <w:rsid w:val="00000F17"/>
    <w:rsid w:val="00000F31"/>
    <w:rsid w:val="00000F38"/>
    <w:rsid w:val="00000F62"/>
    <w:rsid w:val="000011F9"/>
    <w:rsid w:val="00001408"/>
    <w:rsid w:val="00001436"/>
    <w:rsid w:val="0000163C"/>
    <w:rsid w:val="00001862"/>
    <w:rsid w:val="000018E3"/>
    <w:rsid w:val="00001EC7"/>
    <w:rsid w:val="00001FC9"/>
    <w:rsid w:val="00002258"/>
    <w:rsid w:val="00002345"/>
    <w:rsid w:val="00002559"/>
    <w:rsid w:val="00002850"/>
    <w:rsid w:val="00002887"/>
    <w:rsid w:val="00002927"/>
    <w:rsid w:val="00002C5E"/>
    <w:rsid w:val="00002C65"/>
    <w:rsid w:val="00002D3F"/>
    <w:rsid w:val="00003110"/>
    <w:rsid w:val="000034BC"/>
    <w:rsid w:val="00003554"/>
    <w:rsid w:val="000036E9"/>
    <w:rsid w:val="000037B7"/>
    <w:rsid w:val="00003B06"/>
    <w:rsid w:val="00003B89"/>
    <w:rsid w:val="00003B9A"/>
    <w:rsid w:val="00003D23"/>
    <w:rsid w:val="00004041"/>
    <w:rsid w:val="000041BF"/>
    <w:rsid w:val="000041D9"/>
    <w:rsid w:val="00004224"/>
    <w:rsid w:val="00004273"/>
    <w:rsid w:val="000043BA"/>
    <w:rsid w:val="0000441E"/>
    <w:rsid w:val="0000459F"/>
    <w:rsid w:val="000046A1"/>
    <w:rsid w:val="000047E3"/>
    <w:rsid w:val="000049FE"/>
    <w:rsid w:val="00004A7B"/>
    <w:rsid w:val="00004AA6"/>
    <w:rsid w:val="00004C20"/>
    <w:rsid w:val="00004D89"/>
    <w:rsid w:val="00004E45"/>
    <w:rsid w:val="00004EB4"/>
    <w:rsid w:val="00004FE8"/>
    <w:rsid w:val="000051D6"/>
    <w:rsid w:val="00005536"/>
    <w:rsid w:val="000056DE"/>
    <w:rsid w:val="0000582D"/>
    <w:rsid w:val="000058FD"/>
    <w:rsid w:val="00005C4B"/>
    <w:rsid w:val="00005E20"/>
    <w:rsid w:val="00005F93"/>
    <w:rsid w:val="0000607D"/>
    <w:rsid w:val="000060B0"/>
    <w:rsid w:val="00006432"/>
    <w:rsid w:val="000064A6"/>
    <w:rsid w:val="00006583"/>
    <w:rsid w:val="000067E7"/>
    <w:rsid w:val="00006922"/>
    <w:rsid w:val="00006B71"/>
    <w:rsid w:val="00006D90"/>
    <w:rsid w:val="00006DE3"/>
    <w:rsid w:val="00006E39"/>
    <w:rsid w:val="000070B7"/>
    <w:rsid w:val="000072F4"/>
    <w:rsid w:val="000073BB"/>
    <w:rsid w:val="000073EC"/>
    <w:rsid w:val="000073F9"/>
    <w:rsid w:val="00007412"/>
    <w:rsid w:val="000076ED"/>
    <w:rsid w:val="0000790B"/>
    <w:rsid w:val="00007BCC"/>
    <w:rsid w:val="00007BD2"/>
    <w:rsid w:val="00007DB7"/>
    <w:rsid w:val="00007E6E"/>
    <w:rsid w:val="000100BE"/>
    <w:rsid w:val="000100E1"/>
    <w:rsid w:val="000101DD"/>
    <w:rsid w:val="000103A3"/>
    <w:rsid w:val="000103F9"/>
    <w:rsid w:val="000106CC"/>
    <w:rsid w:val="00010788"/>
    <w:rsid w:val="00010795"/>
    <w:rsid w:val="000107B8"/>
    <w:rsid w:val="00010903"/>
    <w:rsid w:val="00010B67"/>
    <w:rsid w:val="00010B6D"/>
    <w:rsid w:val="00010D72"/>
    <w:rsid w:val="00010EAA"/>
    <w:rsid w:val="00010EF4"/>
    <w:rsid w:val="00010F82"/>
    <w:rsid w:val="00010FC8"/>
    <w:rsid w:val="000110C0"/>
    <w:rsid w:val="00011385"/>
    <w:rsid w:val="00011421"/>
    <w:rsid w:val="00011524"/>
    <w:rsid w:val="0001163E"/>
    <w:rsid w:val="0001172A"/>
    <w:rsid w:val="00011B73"/>
    <w:rsid w:val="00011CF3"/>
    <w:rsid w:val="00011FAB"/>
    <w:rsid w:val="0001201F"/>
    <w:rsid w:val="000120A1"/>
    <w:rsid w:val="0001220D"/>
    <w:rsid w:val="0001229F"/>
    <w:rsid w:val="000122FC"/>
    <w:rsid w:val="00012387"/>
    <w:rsid w:val="00012454"/>
    <w:rsid w:val="000124C9"/>
    <w:rsid w:val="0001279A"/>
    <w:rsid w:val="000129D2"/>
    <w:rsid w:val="00012A7E"/>
    <w:rsid w:val="00012B05"/>
    <w:rsid w:val="00012BE4"/>
    <w:rsid w:val="00012D59"/>
    <w:rsid w:val="00012D88"/>
    <w:rsid w:val="00012DE2"/>
    <w:rsid w:val="00012FFE"/>
    <w:rsid w:val="00013155"/>
    <w:rsid w:val="000131B3"/>
    <w:rsid w:val="00013214"/>
    <w:rsid w:val="0001334E"/>
    <w:rsid w:val="00013584"/>
    <w:rsid w:val="00013627"/>
    <w:rsid w:val="00013696"/>
    <w:rsid w:val="000137A7"/>
    <w:rsid w:val="0001383B"/>
    <w:rsid w:val="000138A0"/>
    <w:rsid w:val="000139D7"/>
    <w:rsid w:val="00013B66"/>
    <w:rsid w:val="00013C83"/>
    <w:rsid w:val="00013CBD"/>
    <w:rsid w:val="00013EEE"/>
    <w:rsid w:val="0001401C"/>
    <w:rsid w:val="00014294"/>
    <w:rsid w:val="000142D1"/>
    <w:rsid w:val="000142F7"/>
    <w:rsid w:val="0001466B"/>
    <w:rsid w:val="00014913"/>
    <w:rsid w:val="00014A49"/>
    <w:rsid w:val="00014C56"/>
    <w:rsid w:val="00014C86"/>
    <w:rsid w:val="000150A9"/>
    <w:rsid w:val="000152A2"/>
    <w:rsid w:val="000155A2"/>
    <w:rsid w:val="000155E3"/>
    <w:rsid w:val="000156A9"/>
    <w:rsid w:val="00015720"/>
    <w:rsid w:val="000158CB"/>
    <w:rsid w:val="00015A0A"/>
    <w:rsid w:val="00015AA7"/>
    <w:rsid w:val="00015AB8"/>
    <w:rsid w:val="00015B07"/>
    <w:rsid w:val="00015C9A"/>
    <w:rsid w:val="0001601E"/>
    <w:rsid w:val="000162A0"/>
    <w:rsid w:val="00016987"/>
    <w:rsid w:val="00016A29"/>
    <w:rsid w:val="00016B59"/>
    <w:rsid w:val="00016D2A"/>
    <w:rsid w:val="00016DA4"/>
    <w:rsid w:val="00016E0F"/>
    <w:rsid w:val="00016FF3"/>
    <w:rsid w:val="000170A8"/>
    <w:rsid w:val="0001726B"/>
    <w:rsid w:val="00017748"/>
    <w:rsid w:val="00017787"/>
    <w:rsid w:val="000178A1"/>
    <w:rsid w:val="000178BB"/>
    <w:rsid w:val="00017A59"/>
    <w:rsid w:val="00017B62"/>
    <w:rsid w:val="00017C40"/>
    <w:rsid w:val="00017E47"/>
    <w:rsid w:val="00020330"/>
    <w:rsid w:val="000204E6"/>
    <w:rsid w:val="0002056D"/>
    <w:rsid w:val="0002073E"/>
    <w:rsid w:val="00020861"/>
    <w:rsid w:val="000209C3"/>
    <w:rsid w:val="00020B51"/>
    <w:rsid w:val="00020CB2"/>
    <w:rsid w:val="00020CBB"/>
    <w:rsid w:val="00020F91"/>
    <w:rsid w:val="0002138D"/>
    <w:rsid w:val="000215BB"/>
    <w:rsid w:val="000218C2"/>
    <w:rsid w:val="00021954"/>
    <w:rsid w:val="000219D6"/>
    <w:rsid w:val="00021B79"/>
    <w:rsid w:val="00021C76"/>
    <w:rsid w:val="00021CA6"/>
    <w:rsid w:val="00021D5B"/>
    <w:rsid w:val="00021DA1"/>
    <w:rsid w:val="0002203D"/>
    <w:rsid w:val="0002218F"/>
    <w:rsid w:val="000225F6"/>
    <w:rsid w:val="000225F8"/>
    <w:rsid w:val="0002260B"/>
    <w:rsid w:val="00022652"/>
    <w:rsid w:val="00022755"/>
    <w:rsid w:val="00022779"/>
    <w:rsid w:val="00022822"/>
    <w:rsid w:val="00022935"/>
    <w:rsid w:val="00022973"/>
    <w:rsid w:val="00022BBF"/>
    <w:rsid w:val="00022DE6"/>
    <w:rsid w:val="000231A4"/>
    <w:rsid w:val="00023227"/>
    <w:rsid w:val="000232DE"/>
    <w:rsid w:val="000233C6"/>
    <w:rsid w:val="00023442"/>
    <w:rsid w:val="0002351C"/>
    <w:rsid w:val="0002367B"/>
    <w:rsid w:val="00023781"/>
    <w:rsid w:val="0002392A"/>
    <w:rsid w:val="000239A5"/>
    <w:rsid w:val="00023A82"/>
    <w:rsid w:val="00023A94"/>
    <w:rsid w:val="00023ACC"/>
    <w:rsid w:val="00023BCE"/>
    <w:rsid w:val="00023E3C"/>
    <w:rsid w:val="00023FB7"/>
    <w:rsid w:val="000241B7"/>
    <w:rsid w:val="00024476"/>
    <w:rsid w:val="000245D7"/>
    <w:rsid w:val="000245E4"/>
    <w:rsid w:val="00024762"/>
    <w:rsid w:val="000247DC"/>
    <w:rsid w:val="000247F6"/>
    <w:rsid w:val="0002485F"/>
    <w:rsid w:val="0002490D"/>
    <w:rsid w:val="00024B67"/>
    <w:rsid w:val="00024BD1"/>
    <w:rsid w:val="00024D3D"/>
    <w:rsid w:val="000251B2"/>
    <w:rsid w:val="00025236"/>
    <w:rsid w:val="0002567B"/>
    <w:rsid w:val="000257B4"/>
    <w:rsid w:val="000257C3"/>
    <w:rsid w:val="00025A83"/>
    <w:rsid w:val="00025CD0"/>
    <w:rsid w:val="00025E88"/>
    <w:rsid w:val="00026108"/>
    <w:rsid w:val="00026303"/>
    <w:rsid w:val="0002648F"/>
    <w:rsid w:val="00026726"/>
    <w:rsid w:val="00026746"/>
    <w:rsid w:val="00026877"/>
    <w:rsid w:val="0002689E"/>
    <w:rsid w:val="000268F4"/>
    <w:rsid w:val="000269AB"/>
    <w:rsid w:val="000269FB"/>
    <w:rsid w:val="00026A66"/>
    <w:rsid w:val="00026AD4"/>
    <w:rsid w:val="00026C68"/>
    <w:rsid w:val="00026F71"/>
    <w:rsid w:val="00026FCD"/>
    <w:rsid w:val="00027128"/>
    <w:rsid w:val="00027685"/>
    <w:rsid w:val="000276FD"/>
    <w:rsid w:val="00027800"/>
    <w:rsid w:val="00027837"/>
    <w:rsid w:val="00027864"/>
    <w:rsid w:val="00027B9D"/>
    <w:rsid w:val="00027C06"/>
    <w:rsid w:val="00027DC5"/>
    <w:rsid w:val="00027FC0"/>
    <w:rsid w:val="00030083"/>
    <w:rsid w:val="00030092"/>
    <w:rsid w:val="00030406"/>
    <w:rsid w:val="0003053A"/>
    <w:rsid w:val="00030775"/>
    <w:rsid w:val="000309C6"/>
    <w:rsid w:val="00030BF6"/>
    <w:rsid w:val="00030CAF"/>
    <w:rsid w:val="00030DAD"/>
    <w:rsid w:val="00031259"/>
    <w:rsid w:val="000313AE"/>
    <w:rsid w:val="000314C7"/>
    <w:rsid w:val="00031732"/>
    <w:rsid w:val="0003183A"/>
    <w:rsid w:val="000319E3"/>
    <w:rsid w:val="00031B0A"/>
    <w:rsid w:val="00031BA7"/>
    <w:rsid w:val="00031BD7"/>
    <w:rsid w:val="00031C3F"/>
    <w:rsid w:val="00031D66"/>
    <w:rsid w:val="00031DEC"/>
    <w:rsid w:val="00032061"/>
    <w:rsid w:val="0003206B"/>
    <w:rsid w:val="000321B4"/>
    <w:rsid w:val="000321C1"/>
    <w:rsid w:val="0003246D"/>
    <w:rsid w:val="00032485"/>
    <w:rsid w:val="00032568"/>
    <w:rsid w:val="00032770"/>
    <w:rsid w:val="000329CF"/>
    <w:rsid w:val="00032BB3"/>
    <w:rsid w:val="00032E42"/>
    <w:rsid w:val="00032EE0"/>
    <w:rsid w:val="00032F04"/>
    <w:rsid w:val="00032FA2"/>
    <w:rsid w:val="00032FD1"/>
    <w:rsid w:val="000330D5"/>
    <w:rsid w:val="00033230"/>
    <w:rsid w:val="00033263"/>
    <w:rsid w:val="00033674"/>
    <w:rsid w:val="00033B23"/>
    <w:rsid w:val="00033D09"/>
    <w:rsid w:val="00033E85"/>
    <w:rsid w:val="00033ED2"/>
    <w:rsid w:val="00033FA0"/>
    <w:rsid w:val="00034332"/>
    <w:rsid w:val="0003449B"/>
    <w:rsid w:val="00034538"/>
    <w:rsid w:val="00034944"/>
    <w:rsid w:val="00034A6A"/>
    <w:rsid w:val="00034B16"/>
    <w:rsid w:val="00034CAE"/>
    <w:rsid w:val="00034E49"/>
    <w:rsid w:val="00035020"/>
    <w:rsid w:val="000350E9"/>
    <w:rsid w:val="000353ED"/>
    <w:rsid w:val="0003579A"/>
    <w:rsid w:val="00035857"/>
    <w:rsid w:val="000359C2"/>
    <w:rsid w:val="000359F6"/>
    <w:rsid w:val="00035A20"/>
    <w:rsid w:val="00035B5F"/>
    <w:rsid w:val="00035BF9"/>
    <w:rsid w:val="00035DAD"/>
    <w:rsid w:val="00035E5A"/>
    <w:rsid w:val="00035E7A"/>
    <w:rsid w:val="00036014"/>
    <w:rsid w:val="000360A4"/>
    <w:rsid w:val="0003638D"/>
    <w:rsid w:val="00036459"/>
    <w:rsid w:val="00036CE5"/>
    <w:rsid w:val="00036DB3"/>
    <w:rsid w:val="00036E12"/>
    <w:rsid w:val="00036ED3"/>
    <w:rsid w:val="0003716A"/>
    <w:rsid w:val="00037236"/>
    <w:rsid w:val="0003728F"/>
    <w:rsid w:val="00037381"/>
    <w:rsid w:val="000373A4"/>
    <w:rsid w:val="000375CB"/>
    <w:rsid w:val="00037751"/>
    <w:rsid w:val="00037780"/>
    <w:rsid w:val="000377E2"/>
    <w:rsid w:val="00037879"/>
    <w:rsid w:val="00037A0A"/>
    <w:rsid w:val="00037DBC"/>
    <w:rsid w:val="00037E00"/>
    <w:rsid w:val="00037E98"/>
    <w:rsid w:val="00037F2B"/>
    <w:rsid w:val="00037FC5"/>
    <w:rsid w:val="0004041C"/>
    <w:rsid w:val="00040464"/>
    <w:rsid w:val="000404EF"/>
    <w:rsid w:val="00040769"/>
    <w:rsid w:val="00040870"/>
    <w:rsid w:val="00040BD4"/>
    <w:rsid w:val="00040DFD"/>
    <w:rsid w:val="00040FBD"/>
    <w:rsid w:val="000411BE"/>
    <w:rsid w:val="000412C9"/>
    <w:rsid w:val="000419E7"/>
    <w:rsid w:val="00041A19"/>
    <w:rsid w:val="00041D68"/>
    <w:rsid w:val="00041E1B"/>
    <w:rsid w:val="00041E6F"/>
    <w:rsid w:val="00041EC6"/>
    <w:rsid w:val="00041F34"/>
    <w:rsid w:val="0004205D"/>
    <w:rsid w:val="0004215E"/>
    <w:rsid w:val="00042297"/>
    <w:rsid w:val="00042380"/>
    <w:rsid w:val="00042589"/>
    <w:rsid w:val="0004273D"/>
    <w:rsid w:val="00042938"/>
    <w:rsid w:val="0004297F"/>
    <w:rsid w:val="00042AE5"/>
    <w:rsid w:val="00042BA5"/>
    <w:rsid w:val="00042C73"/>
    <w:rsid w:val="00042D26"/>
    <w:rsid w:val="00042DD9"/>
    <w:rsid w:val="000430F4"/>
    <w:rsid w:val="00043163"/>
    <w:rsid w:val="00043255"/>
    <w:rsid w:val="0004329E"/>
    <w:rsid w:val="000432C6"/>
    <w:rsid w:val="000433C0"/>
    <w:rsid w:val="00043525"/>
    <w:rsid w:val="00043541"/>
    <w:rsid w:val="0004391D"/>
    <w:rsid w:val="00043BE5"/>
    <w:rsid w:val="00043DF4"/>
    <w:rsid w:val="00043E20"/>
    <w:rsid w:val="00043EBA"/>
    <w:rsid w:val="00043FB4"/>
    <w:rsid w:val="000441B6"/>
    <w:rsid w:val="00044393"/>
    <w:rsid w:val="000445E8"/>
    <w:rsid w:val="000446E8"/>
    <w:rsid w:val="0004472A"/>
    <w:rsid w:val="0004474C"/>
    <w:rsid w:val="00044755"/>
    <w:rsid w:val="0004496D"/>
    <w:rsid w:val="00044A2A"/>
    <w:rsid w:val="00044ABE"/>
    <w:rsid w:val="00044B5A"/>
    <w:rsid w:val="00044B8F"/>
    <w:rsid w:val="00044C12"/>
    <w:rsid w:val="00044FBB"/>
    <w:rsid w:val="00045022"/>
    <w:rsid w:val="00045092"/>
    <w:rsid w:val="00045679"/>
    <w:rsid w:val="00045790"/>
    <w:rsid w:val="000458BE"/>
    <w:rsid w:val="00045AEF"/>
    <w:rsid w:val="00045B83"/>
    <w:rsid w:val="00045CEF"/>
    <w:rsid w:val="00045D02"/>
    <w:rsid w:val="00045E07"/>
    <w:rsid w:val="00045EC7"/>
    <w:rsid w:val="00046093"/>
    <w:rsid w:val="0004609C"/>
    <w:rsid w:val="00046119"/>
    <w:rsid w:val="000461A3"/>
    <w:rsid w:val="000461A4"/>
    <w:rsid w:val="000463E6"/>
    <w:rsid w:val="00046668"/>
    <w:rsid w:val="0004666B"/>
    <w:rsid w:val="00046737"/>
    <w:rsid w:val="00046BA1"/>
    <w:rsid w:val="00046CFD"/>
    <w:rsid w:val="00046E0E"/>
    <w:rsid w:val="00046FEE"/>
    <w:rsid w:val="000470C4"/>
    <w:rsid w:val="000471DA"/>
    <w:rsid w:val="00047260"/>
    <w:rsid w:val="0004732F"/>
    <w:rsid w:val="0004774D"/>
    <w:rsid w:val="00047829"/>
    <w:rsid w:val="000478D7"/>
    <w:rsid w:val="00047949"/>
    <w:rsid w:val="00047A41"/>
    <w:rsid w:val="00047D31"/>
    <w:rsid w:val="00047DAD"/>
    <w:rsid w:val="00047F0A"/>
    <w:rsid w:val="00048DA1"/>
    <w:rsid w:val="0005053D"/>
    <w:rsid w:val="00051025"/>
    <w:rsid w:val="00051071"/>
    <w:rsid w:val="00051167"/>
    <w:rsid w:val="00051317"/>
    <w:rsid w:val="0005139C"/>
    <w:rsid w:val="0005173D"/>
    <w:rsid w:val="00051954"/>
    <w:rsid w:val="000519DB"/>
    <w:rsid w:val="00051EDE"/>
    <w:rsid w:val="00051EEB"/>
    <w:rsid w:val="00051F77"/>
    <w:rsid w:val="000521EA"/>
    <w:rsid w:val="00052258"/>
    <w:rsid w:val="000522B7"/>
    <w:rsid w:val="000523BD"/>
    <w:rsid w:val="000525A9"/>
    <w:rsid w:val="00052602"/>
    <w:rsid w:val="00052736"/>
    <w:rsid w:val="00052827"/>
    <w:rsid w:val="00052B72"/>
    <w:rsid w:val="00052B9C"/>
    <w:rsid w:val="00052E4C"/>
    <w:rsid w:val="00052F9F"/>
    <w:rsid w:val="00052FCD"/>
    <w:rsid w:val="00053017"/>
    <w:rsid w:val="00053175"/>
    <w:rsid w:val="000531A8"/>
    <w:rsid w:val="00053309"/>
    <w:rsid w:val="000534FF"/>
    <w:rsid w:val="000537D3"/>
    <w:rsid w:val="00053838"/>
    <w:rsid w:val="0005383A"/>
    <w:rsid w:val="00053A36"/>
    <w:rsid w:val="00053B71"/>
    <w:rsid w:val="00053C67"/>
    <w:rsid w:val="00053D2B"/>
    <w:rsid w:val="000544BA"/>
    <w:rsid w:val="0005478D"/>
    <w:rsid w:val="00054968"/>
    <w:rsid w:val="00054B05"/>
    <w:rsid w:val="00054B65"/>
    <w:rsid w:val="00054D5B"/>
    <w:rsid w:val="00054DFD"/>
    <w:rsid w:val="00054E3A"/>
    <w:rsid w:val="00054F06"/>
    <w:rsid w:val="00054F08"/>
    <w:rsid w:val="00054FBD"/>
    <w:rsid w:val="00054FED"/>
    <w:rsid w:val="0005507C"/>
    <w:rsid w:val="0005529D"/>
    <w:rsid w:val="000553FC"/>
    <w:rsid w:val="000554AF"/>
    <w:rsid w:val="000554B9"/>
    <w:rsid w:val="0005550D"/>
    <w:rsid w:val="00055607"/>
    <w:rsid w:val="000556F2"/>
    <w:rsid w:val="00055780"/>
    <w:rsid w:val="00055825"/>
    <w:rsid w:val="000558B2"/>
    <w:rsid w:val="0005590D"/>
    <w:rsid w:val="00055A93"/>
    <w:rsid w:val="00055BB0"/>
    <w:rsid w:val="00055BEB"/>
    <w:rsid w:val="00055D7E"/>
    <w:rsid w:val="00055F80"/>
    <w:rsid w:val="00055FC1"/>
    <w:rsid w:val="00056242"/>
    <w:rsid w:val="000562DA"/>
    <w:rsid w:val="0005635D"/>
    <w:rsid w:val="00056394"/>
    <w:rsid w:val="000563A6"/>
    <w:rsid w:val="0005642E"/>
    <w:rsid w:val="000566C7"/>
    <w:rsid w:val="000566CA"/>
    <w:rsid w:val="000569BA"/>
    <w:rsid w:val="00056AAC"/>
    <w:rsid w:val="00056D0B"/>
    <w:rsid w:val="00056E1E"/>
    <w:rsid w:val="00057186"/>
    <w:rsid w:val="000571A2"/>
    <w:rsid w:val="000571D9"/>
    <w:rsid w:val="00057340"/>
    <w:rsid w:val="0005754E"/>
    <w:rsid w:val="00057609"/>
    <w:rsid w:val="0005764F"/>
    <w:rsid w:val="00057BE9"/>
    <w:rsid w:val="00057D28"/>
    <w:rsid w:val="00057D51"/>
    <w:rsid w:val="00057D79"/>
    <w:rsid w:val="00060074"/>
    <w:rsid w:val="000600FD"/>
    <w:rsid w:val="0006016C"/>
    <w:rsid w:val="000601F7"/>
    <w:rsid w:val="000602F5"/>
    <w:rsid w:val="0006033B"/>
    <w:rsid w:val="00060465"/>
    <w:rsid w:val="000604C2"/>
    <w:rsid w:val="00060674"/>
    <w:rsid w:val="000606D0"/>
    <w:rsid w:val="000606F8"/>
    <w:rsid w:val="000607B5"/>
    <w:rsid w:val="000607F6"/>
    <w:rsid w:val="00060842"/>
    <w:rsid w:val="000608BC"/>
    <w:rsid w:val="00060BA9"/>
    <w:rsid w:val="00060C13"/>
    <w:rsid w:val="00060C5E"/>
    <w:rsid w:val="00060D31"/>
    <w:rsid w:val="00060E4B"/>
    <w:rsid w:val="00060F62"/>
    <w:rsid w:val="00061026"/>
    <w:rsid w:val="000613D9"/>
    <w:rsid w:val="000618E1"/>
    <w:rsid w:val="00061A36"/>
    <w:rsid w:val="00061A76"/>
    <w:rsid w:val="00061B3B"/>
    <w:rsid w:val="00061EFB"/>
    <w:rsid w:val="0006248D"/>
    <w:rsid w:val="00062576"/>
    <w:rsid w:val="00062583"/>
    <w:rsid w:val="00062787"/>
    <w:rsid w:val="000627EB"/>
    <w:rsid w:val="00062907"/>
    <w:rsid w:val="00062971"/>
    <w:rsid w:val="00062A3C"/>
    <w:rsid w:val="00062CE0"/>
    <w:rsid w:val="00062E66"/>
    <w:rsid w:val="0006321F"/>
    <w:rsid w:val="00063295"/>
    <w:rsid w:val="00063394"/>
    <w:rsid w:val="000633CC"/>
    <w:rsid w:val="00063462"/>
    <w:rsid w:val="00063552"/>
    <w:rsid w:val="0006369B"/>
    <w:rsid w:val="00063883"/>
    <w:rsid w:val="000638BC"/>
    <w:rsid w:val="00063AF2"/>
    <w:rsid w:val="00063DF1"/>
    <w:rsid w:val="00063E5E"/>
    <w:rsid w:val="00063F2F"/>
    <w:rsid w:val="00063F69"/>
    <w:rsid w:val="00064011"/>
    <w:rsid w:val="00064089"/>
    <w:rsid w:val="0006408D"/>
    <w:rsid w:val="00064230"/>
    <w:rsid w:val="00064411"/>
    <w:rsid w:val="00064422"/>
    <w:rsid w:val="00064423"/>
    <w:rsid w:val="00064486"/>
    <w:rsid w:val="0006464B"/>
    <w:rsid w:val="000646A0"/>
    <w:rsid w:val="000646AB"/>
    <w:rsid w:val="00064C73"/>
    <w:rsid w:val="00064D2C"/>
    <w:rsid w:val="00064F9F"/>
    <w:rsid w:val="00064FD8"/>
    <w:rsid w:val="00065122"/>
    <w:rsid w:val="00065183"/>
    <w:rsid w:val="00065342"/>
    <w:rsid w:val="00065958"/>
    <w:rsid w:val="000659C6"/>
    <w:rsid w:val="000659CA"/>
    <w:rsid w:val="00065AB3"/>
    <w:rsid w:val="00065AC9"/>
    <w:rsid w:val="00065D84"/>
    <w:rsid w:val="00065E3E"/>
    <w:rsid w:val="00065FA0"/>
    <w:rsid w:val="000661D6"/>
    <w:rsid w:val="0006632B"/>
    <w:rsid w:val="00066390"/>
    <w:rsid w:val="00066401"/>
    <w:rsid w:val="000665A0"/>
    <w:rsid w:val="000665D3"/>
    <w:rsid w:val="00066658"/>
    <w:rsid w:val="00066711"/>
    <w:rsid w:val="00066AFC"/>
    <w:rsid w:val="00066BA1"/>
    <w:rsid w:val="00066D88"/>
    <w:rsid w:val="00066EBD"/>
    <w:rsid w:val="00067113"/>
    <w:rsid w:val="00067209"/>
    <w:rsid w:val="00067462"/>
    <w:rsid w:val="00067509"/>
    <w:rsid w:val="00067557"/>
    <w:rsid w:val="0006795A"/>
    <w:rsid w:val="00067A37"/>
    <w:rsid w:val="00067C05"/>
    <w:rsid w:val="00067DF7"/>
    <w:rsid w:val="00070200"/>
    <w:rsid w:val="00070257"/>
    <w:rsid w:val="00070533"/>
    <w:rsid w:val="00070745"/>
    <w:rsid w:val="0007074E"/>
    <w:rsid w:val="00070895"/>
    <w:rsid w:val="000708DF"/>
    <w:rsid w:val="00070986"/>
    <w:rsid w:val="000709FB"/>
    <w:rsid w:val="00070A9E"/>
    <w:rsid w:val="00070CCB"/>
    <w:rsid w:val="00071197"/>
    <w:rsid w:val="00071810"/>
    <w:rsid w:val="00071892"/>
    <w:rsid w:val="00071BFB"/>
    <w:rsid w:val="00071CB8"/>
    <w:rsid w:val="00071CBE"/>
    <w:rsid w:val="00071E79"/>
    <w:rsid w:val="00071E89"/>
    <w:rsid w:val="00072056"/>
    <w:rsid w:val="000720C6"/>
    <w:rsid w:val="000720F7"/>
    <w:rsid w:val="000722D2"/>
    <w:rsid w:val="000723F6"/>
    <w:rsid w:val="0007255C"/>
    <w:rsid w:val="00072754"/>
    <w:rsid w:val="00072AC0"/>
    <w:rsid w:val="00072C96"/>
    <w:rsid w:val="00072CC3"/>
    <w:rsid w:val="00072CC9"/>
    <w:rsid w:val="00072DB7"/>
    <w:rsid w:val="00072EBC"/>
    <w:rsid w:val="00072F05"/>
    <w:rsid w:val="00072F11"/>
    <w:rsid w:val="00072F7C"/>
    <w:rsid w:val="00073189"/>
    <w:rsid w:val="00073244"/>
    <w:rsid w:val="00073291"/>
    <w:rsid w:val="00073326"/>
    <w:rsid w:val="0007332B"/>
    <w:rsid w:val="00073421"/>
    <w:rsid w:val="0007349B"/>
    <w:rsid w:val="000736EA"/>
    <w:rsid w:val="00073764"/>
    <w:rsid w:val="0007376C"/>
    <w:rsid w:val="0007392B"/>
    <w:rsid w:val="00073C24"/>
    <w:rsid w:val="00073C26"/>
    <w:rsid w:val="00073EDA"/>
    <w:rsid w:val="00073EF8"/>
    <w:rsid w:val="0007401F"/>
    <w:rsid w:val="00074084"/>
    <w:rsid w:val="000740A6"/>
    <w:rsid w:val="000743D9"/>
    <w:rsid w:val="00074528"/>
    <w:rsid w:val="00074B72"/>
    <w:rsid w:val="00074BE4"/>
    <w:rsid w:val="00074DB9"/>
    <w:rsid w:val="00074E20"/>
    <w:rsid w:val="00074F56"/>
    <w:rsid w:val="000751A6"/>
    <w:rsid w:val="00075276"/>
    <w:rsid w:val="0007531C"/>
    <w:rsid w:val="0007533D"/>
    <w:rsid w:val="0007564D"/>
    <w:rsid w:val="00075717"/>
    <w:rsid w:val="00075966"/>
    <w:rsid w:val="00075973"/>
    <w:rsid w:val="000759E1"/>
    <w:rsid w:val="00075B91"/>
    <w:rsid w:val="00075F67"/>
    <w:rsid w:val="0007605B"/>
    <w:rsid w:val="00076075"/>
    <w:rsid w:val="000760A8"/>
    <w:rsid w:val="000761A2"/>
    <w:rsid w:val="000761A4"/>
    <w:rsid w:val="00076417"/>
    <w:rsid w:val="0007646B"/>
    <w:rsid w:val="00076816"/>
    <w:rsid w:val="00076A0D"/>
    <w:rsid w:val="00076C12"/>
    <w:rsid w:val="00076D83"/>
    <w:rsid w:val="00076E46"/>
    <w:rsid w:val="00076ED0"/>
    <w:rsid w:val="00076F41"/>
    <w:rsid w:val="000770CA"/>
    <w:rsid w:val="00077137"/>
    <w:rsid w:val="00077147"/>
    <w:rsid w:val="000773DA"/>
    <w:rsid w:val="00077463"/>
    <w:rsid w:val="00077499"/>
    <w:rsid w:val="0007765B"/>
    <w:rsid w:val="00077773"/>
    <w:rsid w:val="000777D0"/>
    <w:rsid w:val="00077873"/>
    <w:rsid w:val="000778D2"/>
    <w:rsid w:val="00077B1C"/>
    <w:rsid w:val="00077CE9"/>
    <w:rsid w:val="00077E94"/>
    <w:rsid w:val="00080009"/>
    <w:rsid w:val="00080164"/>
    <w:rsid w:val="00080256"/>
    <w:rsid w:val="000802B9"/>
    <w:rsid w:val="000802E2"/>
    <w:rsid w:val="00080729"/>
    <w:rsid w:val="000807B4"/>
    <w:rsid w:val="000807DA"/>
    <w:rsid w:val="00080A25"/>
    <w:rsid w:val="00080A29"/>
    <w:rsid w:val="00080C1B"/>
    <w:rsid w:val="00080C38"/>
    <w:rsid w:val="00080D46"/>
    <w:rsid w:val="00080DDC"/>
    <w:rsid w:val="00080E9A"/>
    <w:rsid w:val="00081168"/>
    <w:rsid w:val="00081203"/>
    <w:rsid w:val="00081253"/>
    <w:rsid w:val="00081335"/>
    <w:rsid w:val="0008144A"/>
    <w:rsid w:val="000814FD"/>
    <w:rsid w:val="0008156B"/>
    <w:rsid w:val="0008156F"/>
    <w:rsid w:val="0008161F"/>
    <w:rsid w:val="00081708"/>
    <w:rsid w:val="00081A01"/>
    <w:rsid w:val="00081ACC"/>
    <w:rsid w:val="00081C25"/>
    <w:rsid w:val="00081E3E"/>
    <w:rsid w:val="00081E84"/>
    <w:rsid w:val="00081F0A"/>
    <w:rsid w:val="00082020"/>
    <w:rsid w:val="00082393"/>
    <w:rsid w:val="0008244A"/>
    <w:rsid w:val="000824A6"/>
    <w:rsid w:val="00082619"/>
    <w:rsid w:val="00082653"/>
    <w:rsid w:val="000829CB"/>
    <w:rsid w:val="00082A74"/>
    <w:rsid w:val="00082AA6"/>
    <w:rsid w:val="00082E0A"/>
    <w:rsid w:val="00082ECB"/>
    <w:rsid w:val="00082EF0"/>
    <w:rsid w:val="00083075"/>
    <w:rsid w:val="000830CE"/>
    <w:rsid w:val="0008310C"/>
    <w:rsid w:val="000831C7"/>
    <w:rsid w:val="00083293"/>
    <w:rsid w:val="00083296"/>
    <w:rsid w:val="000832DD"/>
    <w:rsid w:val="00083367"/>
    <w:rsid w:val="00083404"/>
    <w:rsid w:val="00083436"/>
    <w:rsid w:val="00083462"/>
    <w:rsid w:val="000836BB"/>
    <w:rsid w:val="00083760"/>
    <w:rsid w:val="0008379A"/>
    <w:rsid w:val="0008385A"/>
    <w:rsid w:val="00083AB7"/>
    <w:rsid w:val="00083C75"/>
    <w:rsid w:val="00083D50"/>
    <w:rsid w:val="0008403A"/>
    <w:rsid w:val="000842A0"/>
    <w:rsid w:val="00084499"/>
    <w:rsid w:val="000844D9"/>
    <w:rsid w:val="00084523"/>
    <w:rsid w:val="00084579"/>
    <w:rsid w:val="00084626"/>
    <w:rsid w:val="00084630"/>
    <w:rsid w:val="000848AC"/>
    <w:rsid w:val="000849DA"/>
    <w:rsid w:val="00084A96"/>
    <w:rsid w:val="00084AF3"/>
    <w:rsid w:val="00084F56"/>
    <w:rsid w:val="00084F7D"/>
    <w:rsid w:val="000850D6"/>
    <w:rsid w:val="000851B4"/>
    <w:rsid w:val="000851EA"/>
    <w:rsid w:val="0008535A"/>
    <w:rsid w:val="00085492"/>
    <w:rsid w:val="0008581C"/>
    <w:rsid w:val="000858E0"/>
    <w:rsid w:val="00085920"/>
    <w:rsid w:val="00085A99"/>
    <w:rsid w:val="00085B02"/>
    <w:rsid w:val="00085B3D"/>
    <w:rsid w:val="00085C70"/>
    <w:rsid w:val="00085CA0"/>
    <w:rsid w:val="00085DC9"/>
    <w:rsid w:val="0008603F"/>
    <w:rsid w:val="000863A2"/>
    <w:rsid w:val="00086599"/>
    <w:rsid w:val="000865DF"/>
    <w:rsid w:val="000865E5"/>
    <w:rsid w:val="00086618"/>
    <w:rsid w:val="000868C5"/>
    <w:rsid w:val="00086959"/>
    <w:rsid w:val="0008697B"/>
    <w:rsid w:val="00086BEA"/>
    <w:rsid w:val="00086CD3"/>
    <w:rsid w:val="00086CD5"/>
    <w:rsid w:val="00086DDE"/>
    <w:rsid w:val="00086E5E"/>
    <w:rsid w:val="00086F8A"/>
    <w:rsid w:val="00086FCD"/>
    <w:rsid w:val="000870C0"/>
    <w:rsid w:val="000871F0"/>
    <w:rsid w:val="00087242"/>
    <w:rsid w:val="0008726F"/>
    <w:rsid w:val="00087370"/>
    <w:rsid w:val="000873F8"/>
    <w:rsid w:val="0008761E"/>
    <w:rsid w:val="00087672"/>
    <w:rsid w:val="000876CA"/>
    <w:rsid w:val="000876D2"/>
    <w:rsid w:val="0008773F"/>
    <w:rsid w:val="00087A1A"/>
    <w:rsid w:val="00087FDF"/>
    <w:rsid w:val="0008DE59"/>
    <w:rsid w:val="00090013"/>
    <w:rsid w:val="000902BC"/>
    <w:rsid w:val="00090528"/>
    <w:rsid w:val="0009077D"/>
    <w:rsid w:val="000907CC"/>
    <w:rsid w:val="0009084A"/>
    <w:rsid w:val="00090948"/>
    <w:rsid w:val="00090A68"/>
    <w:rsid w:val="00090BEE"/>
    <w:rsid w:val="00090D86"/>
    <w:rsid w:val="00090D9F"/>
    <w:rsid w:val="00090E8F"/>
    <w:rsid w:val="00090FF4"/>
    <w:rsid w:val="000913D4"/>
    <w:rsid w:val="00091451"/>
    <w:rsid w:val="00091637"/>
    <w:rsid w:val="000917DB"/>
    <w:rsid w:val="00091835"/>
    <w:rsid w:val="000919DE"/>
    <w:rsid w:val="00091BB1"/>
    <w:rsid w:val="00091BB2"/>
    <w:rsid w:val="00091D71"/>
    <w:rsid w:val="00091DDD"/>
    <w:rsid w:val="00091E20"/>
    <w:rsid w:val="00091EC7"/>
    <w:rsid w:val="00091F5F"/>
    <w:rsid w:val="000920D7"/>
    <w:rsid w:val="000921B0"/>
    <w:rsid w:val="00092272"/>
    <w:rsid w:val="00092291"/>
    <w:rsid w:val="00092516"/>
    <w:rsid w:val="000925A9"/>
    <w:rsid w:val="00092661"/>
    <w:rsid w:val="00092804"/>
    <w:rsid w:val="000928B7"/>
    <w:rsid w:val="000928D3"/>
    <w:rsid w:val="0009290C"/>
    <w:rsid w:val="000929C4"/>
    <w:rsid w:val="00092A3A"/>
    <w:rsid w:val="00092A9C"/>
    <w:rsid w:val="00092BCD"/>
    <w:rsid w:val="00092D6C"/>
    <w:rsid w:val="00092D96"/>
    <w:rsid w:val="00093165"/>
    <w:rsid w:val="00093173"/>
    <w:rsid w:val="00093391"/>
    <w:rsid w:val="000934D9"/>
    <w:rsid w:val="00093596"/>
    <w:rsid w:val="00093620"/>
    <w:rsid w:val="000937D8"/>
    <w:rsid w:val="00093809"/>
    <w:rsid w:val="000938EE"/>
    <w:rsid w:val="00093A15"/>
    <w:rsid w:val="00093A24"/>
    <w:rsid w:val="00093C47"/>
    <w:rsid w:val="00093EFA"/>
    <w:rsid w:val="00093FEB"/>
    <w:rsid w:val="000940A2"/>
    <w:rsid w:val="0009412F"/>
    <w:rsid w:val="000944AF"/>
    <w:rsid w:val="00094510"/>
    <w:rsid w:val="0009459C"/>
    <w:rsid w:val="00094712"/>
    <w:rsid w:val="00094852"/>
    <w:rsid w:val="00094887"/>
    <w:rsid w:val="00094945"/>
    <w:rsid w:val="00094A71"/>
    <w:rsid w:val="00094CB9"/>
    <w:rsid w:val="00094D13"/>
    <w:rsid w:val="00094F56"/>
    <w:rsid w:val="00094F8A"/>
    <w:rsid w:val="000950DD"/>
    <w:rsid w:val="0009511B"/>
    <w:rsid w:val="0009514B"/>
    <w:rsid w:val="00095239"/>
    <w:rsid w:val="00095336"/>
    <w:rsid w:val="00095568"/>
    <w:rsid w:val="00095661"/>
    <w:rsid w:val="00095714"/>
    <w:rsid w:val="0009572B"/>
    <w:rsid w:val="00095769"/>
    <w:rsid w:val="000958A0"/>
    <w:rsid w:val="000958B5"/>
    <w:rsid w:val="00095A0B"/>
    <w:rsid w:val="00095A2C"/>
    <w:rsid w:val="00095B20"/>
    <w:rsid w:val="00095D3F"/>
    <w:rsid w:val="00095E4B"/>
    <w:rsid w:val="000960C4"/>
    <w:rsid w:val="0009621C"/>
    <w:rsid w:val="0009632F"/>
    <w:rsid w:val="00096513"/>
    <w:rsid w:val="00096540"/>
    <w:rsid w:val="00096610"/>
    <w:rsid w:val="0009681E"/>
    <w:rsid w:val="0009696D"/>
    <w:rsid w:val="000969FD"/>
    <w:rsid w:val="00096AE0"/>
    <w:rsid w:val="00096D96"/>
    <w:rsid w:val="00096E56"/>
    <w:rsid w:val="00096F0B"/>
    <w:rsid w:val="00096F53"/>
    <w:rsid w:val="00097043"/>
    <w:rsid w:val="0009715F"/>
    <w:rsid w:val="00097468"/>
    <w:rsid w:val="000979F3"/>
    <w:rsid w:val="00097B45"/>
    <w:rsid w:val="00097D40"/>
    <w:rsid w:val="00097E3F"/>
    <w:rsid w:val="00097EF8"/>
    <w:rsid w:val="00097F26"/>
    <w:rsid w:val="00097F49"/>
    <w:rsid w:val="00097F9C"/>
    <w:rsid w:val="00097F9D"/>
    <w:rsid w:val="000A0017"/>
    <w:rsid w:val="000A00F0"/>
    <w:rsid w:val="000A0468"/>
    <w:rsid w:val="000A056E"/>
    <w:rsid w:val="000A0656"/>
    <w:rsid w:val="000A0662"/>
    <w:rsid w:val="000A09DA"/>
    <w:rsid w:val="000A0A18"/>
    <w:rsid w:val="000A0A47"/>
    <w:rsid w:val="000A0C95"/>
    <w:rsid w:val="000A0C99"/>
    <w:rsid w:val="000A0EDA"/>
    <w:rsid w:val="000A0F4F"/>
    <w:rsid w:val="000A12C2"/>
    <w:rsid w:val="000A1303"/>
    <w:rsid w:val="000A142E"/>
    <w:rsid w:val="000A15B6"/>
    <w:rsid w:val="000A162F"/>
    <w:rsid w:val="000A17B5"/>
    <w:rsid w:val="000A19C4"/>
    <w:rsid w:val="000A1A49"/>
    <w:rsid w:val="000A1AE2"/>
    <w:rsid w:val="000A1CDA"/>
    <w:rsid w:val="000A2131"/>
    <w:rsid w:val="000A21C9"/>
    <w:rsid w:val="000A22D1"/>
    <w:rsid w:val="000A2375"/>
    <w:rsid w:val="000A2431"/>
    <w:rsid w:val="000A2712"/>
    <w:rsid w:val="000A2715"/>
    <w:rsid w:val="000A275E"/>
    <w:rsid w:val="000A2958"/>
    <w:rsid w:val="000A296A"/>
    <w:rsid w:val="000A2A07"/>
    <w:rsid w:val="000A2AC6"/>
    <w:rsid w:val="000A2C48"/>
    <w:rsid w:val="000A2D50"/>
    <w:rsid w:val="000A32C4"/>
    <w:rsid w:val="000A335F"/>
    <w:rsid w:val="000A3511"/>
    <w:rsid w:val="000A371E"/>
    <w:rsid w:val="000A384E"/>
    <w:rsid w:val="000A3A4A"/>
    <w:rsid w:val="000A3C54"/>
    <w:rsid w:val="000A3D3C"/>
    <w:rsid w:val="000A3D8E"/>
    <w:rsid w:val="000A3D96"/>
    <w:rsid w:val="000A3E30"/>
    <w:rsid w:val="000A3E64"/>
    <w:rsid w:val="000A4064"/>
    <w:rsid w:val="000A4102"/>
    <w:rsid w:val="000A434F"/>
    <w:rsid w:val="000A43C9"/>
    <w:rsid w:val="000A441D"/>
    <w:rsid w:val="000A44E8"/>
    <w:rsid w:val="000A4813"/>
    <w:rsid w:val="000A4866"/>
    <w:rsid w:val="000A48CC"/>
    <w:rsid w:val="000A4AB5"/>
    <w:rsid w:val="000A4B2A"/>
    <w:rsid w:val="000A4BDC"/>
    <w:rsid w:val="000A4D96"/>
    <w:rsid w:val="000A4DB2"/>
    <w:rsid w:val="000A4E91"/>
    <w:rsid w:val="000A4ED1"/>
    <w:rsid w:val="000A4FBE"/>
    <w:rsid w:val="000A508B"/>
    <w:rsid w:val="000A5092"/>
    <w:rsid w:val="000A5255"/>
    <w:rsid w:val="000A529A"/>
    <w:rsid w:val="000A530F"/>
    <w:rsid w:val="000A5394"/>
    <w:rsid w:val="000A5573"/>
    <w:rsid w:val="000A56D4"/>
    <w:rsid w:val="000A5738"/>
    <w:rsid w:val="000A58DE"/>
    <w:rsid w:val="000A59A9"/>
    <w:rsid w:val="000A5A6E"/>
    <w:rsid w:val="000A5B84"/>
    <w:rsid w:val="000A5E23"/>
    <w:rsid w:val="000A5E30"/>
    <w:rsid w:val="000A5E4C"/>
    <w:rsid w:val="000A616D"/>
    <w:rsid w:val="000A6192"/>
    <w:rsid w:val="000A6218"/>
    <w:rsid w:val="000A6311"/>
    <w:rsid w:val="000A640C"/>
    <w:rsid w:val="000A645E"/>
    <w:rsid w:val="000A65B8"/>
    <w:rsid w:val="000A65DF"/>
    <w:rsid w:val="000A6782"/>
    <w:rsid w:val="000A6A8E"/>
    <w:rsid w:val="000A6E6A"/>
    <w:rsid w:val="000A708E"/>
    <w:rsid w:val="000A717D"/>
    <w:rsid w:val="000A7224"/>
    <w:rsid w:val="000A72F8"/>
    <w:rsid w:val="000A759B"/>
    <w:rsid w:val="000A763C"/>
    <w:rsid w:val="000A76FB"/>
    <w:rsid w:val="000A774B"/>
    <w:rsid w:val="000A77F2"/>
    <w:rsid w:val="000A77F7"/>
    <w:rsid w:val="000A79ED"/>
    <w:rsid w:val="000A7A28"/>
    <w:rsid w:val="000A7A55"/>
    <w:rsid w:val="000A7AB6"/>
    <w:rsid w:val="000A7BA3"/>
    <w:rsid w:val="000A7BC8"/>
    <w:rsid w:val="000A7F8E"/>
    <w:rsid w:val="000B019C"/>
    <w:rsid w:val="000B0495"/>
    <w:rsid w:val="000B065E"/>
    <w:rsid w:val="000B0700"/>
    <w:rsid w:val="000B08D1"/>
    <w:rsid w:val="000B0B9D"/>
    <w:rsid w:val="000B0C9D"/>
    <w:rsid w:val="000B0D74"/>
    <w:rsid w:val="000B0EE7"/>
    <w:rsid w:val="000B1008"/>
    <w:rsid w:val="000B11FF"/>
    <w:rsid w:val="000B12CF"/>
    <w:rsid w:val="000B143F"/>
    <w:rsid w:val="000B150F"/>
    <w:rsid w:val="000B1511"/>
    <w:rsid w:val="000B1754"/>
    <w:rsid w:val="000B1764"/>
    <w:rsid w:val="000B17A4"/>
    <w:rsid w:val="000B1D35"/>
    <w:rsid w:val="000B1F39"/>
    <w:rsid w:val="000B2253"/>
    <w:rsid w:val="000B2587"/>
    <w:rsid w:val="000B25B5"/>
    <w:rsid w:val="000B25EC"/>
    <w:rsid w:val="000B2872"/>
    <w:rsid w:val="000B294B"/>
    <w:rsid w:val="000B2BD1"/>
    <w:rsid w:val="000B2D53"/>
    <w:rsid w:val="000B2FC2"/>
    <w:rsid w:val="000B3046"/>
    <w:rsid w:val="000B304A"/>
    <w:rsid w:val="000B31EE"/>
    <w:rsid w:val="000B3214"/>
    <w:rsid w:val="000B32EF"/>
    <w:rsid w:val="000B34B3"/>
    <w:rsid w:val="000B34FB"/>
    <w:rsid w:val="000B3521"/>
    <w:rsid w:val="000B353D"/>
    <w:rsid w:val="000B3588"/>
    <w:rsid w:val="000B388D"/>
    <w:rsid w:val="000B396D"/>
    <w:rsid w:val="000B3A04"/>
    <w:rsid w:val="000B3A88"/>
    <w:rsid w:val="000B3AC4"/>
    <w:rsid w:val="000B3C96"/>
    <w:rsid w:val="000B3EDD"/>
    <w:rsid w:val="000B3F4B"/>
    <w:rsid w:val="000B4018"/>
    <w:rsid w:val="000B4163"/>
    <w:rsid w:val="000B4199"/>
    <w:rsid w:val="000B41A8"/>
    <w:rsid w:val="000B4500"/>
    <w:rsid w:val="000B458F"/>
    <w:rsid w:val="000B45DE"/>
    <w:rsid w:val="000B474A"/>
    <w:rsid w:val="000B4834"/>
    <w:rsid w:val="000B4AB9"/>
    <w:rsid w:val="000B4E35"/>
    <w:rsid w:val="000B4F09"/>
    <w:rsid w:val="000B4F58"/>
    <w:rsid w:val="000B4FE7"/>
    <w:rsid w:val="000B512C"/>
    <w:rsid w:val="000B5181"/>
    <w:rsid w:val="000B520D"/>
    <w:rsid w:val="000B53F4"/>
    <w:rsid w:val="000B55AC"/>
    <w:rsid w:val="000B585B"/>
    <w:rsid w:val="000B58CC"/>
    <w:rsid w:val="000B5AD9"/>
    <w:rsid w:val="000B5B0B"/>
    <w:rsid w:val="000B5CC1"/>
    <w:rsid w:val="000B5D79"/>
    <w:rsid w:val="000B608D"/>
    <w:rsid w:val="000B6135"/>
    <w:rsid w:val="000B614F"/>
    <w:rsid w:val="000B6202"/>
    <w:rsid w:val="000B637D"/>
    <w:rsid w:val="000B640B"/>
    <w:rsid w:val="000B6457"/>
    <w:rsid w:val="000B653F"/>
    <w:rsid w:val="000B6697"/>
    <w:rsid w:val="000B66D9"/>
    <w:rsid w:val="000B671B"/>
    <w:rsid w:val="000B67BB"/>
    <w:rsid w:val="000B683B"/>
    <w:rsid w:val="000B68AD"/>
    <w:rsid w:val="000B694A"/>
    <w:rsid w:val="000B694F"/>
    <w:rsid w:val="000B6A59"/>
    <w:rsid w:val="000B6A98"/>
    <w:rsid w:val="000B6BC7"/>
    <w:rsid w:val="000B6C59"/>
    <w:rsid w:val="000B6E31"/>
    <w:rsid w:val="000B6E72"/>
    <w:rsid w:val="000B6FA1"/>
    <w:rsid w:val="000B70B3"/>
    <w:rsid w:val="000B7111"/>
    <w:rsid w:val="000B72F0"/>
    <w:rsid w:val="000B7502"/>
    <w:rsid w:val="000B7552"/>
    <w:rsid w:val="000B755F"/>
    <w:rsid w:val="000B75A6"/>
    <w:rsid w:val="000B77F3"/>
    <w:rsid w:val="000B7A39"/>
    <w:rsid w:val="000B7BB3"/>
    <w:rsid w:val="000B7C1A"/>
    <w:rsid w:val="000B7CA4"/>
    <w:rsid w:val="000B7D47"/>
    <w:rsid w:val="000B7EED"/>
    <w:rsid w:val="000C004B"/>
    <w:rsid w:val="000C0171"/>
    <w:rsid w:val="000C018D"/>
    <w:rsid w:val="000C0322"/>
    <w:rsid w:val="000C0597"/>
    <w:rsid w:val="000C06A2"/>
    <w:rsid w:val="000C0785"/>
    <w:rsid w:val="000C0791"/>
    <w:rsid w:val="000C0889"/>
    <w:rsid w:val="000C0890"/>
    <w:rsid w:val="000C09AE"/>
    <w:rsid w:val="000C09CD"/>
    <w:rsid w:val="000C0BBF"/>
    <w:rsid w:val="000C1199"/>
    <w:rsid w:val="000C12AC"/>
    <w:rsid w:val="000C1343"/>
    <w:rsid w:val="000C14B5"/>
    <w:rsid w:val="000C159E"/>
    <w:rsid w:val="000C1706"/>
    <w:rsid w:val="000C1867"/>
    <w:rsid w:val="000C1975"/>
    <w:rsid w:val="000C1A21"/>
    <w:rsid w:val="000C1B03"/>
    <w:rsid w:val="000C1B6A"/>
    <w:rsid w:val="000C1CEA"/>
    <w:rsid w:val="000C1FDF"/>
    <w:rsid w:val="000C2149"/>
    <w:rsid w:val="000C2246"/>
    <w:rsid w:val="000C2491"/>
    <w:rsid w:val="000C26A9"/>
    <w:rsid w:val="000C27E0"/>
    <w:rsid w:val="000C281F"/>
    <w:rsid w:val="000C2D6C"/>
    <w:rsid w:val="000C2E4B"/>
    <w:rsid w:val="000C2E7D"/>
    <w:rsid w:val="000C2FE9"/>
    <w:rsid w:val="000C304B"/>
    <w:rsid w:val="000C338C"/>
    <w:rsid w:val="000C392B"/>
    <w:rsid w:val="000C3997"/>
    <w:rsid w:val="000C3B4A"/>
    <w:rsid w:val="000C3BB7"/>
    <w:rsid w:val="000C3C44"/>
    <w:rsid w:val="000C3C6B"/>
    <w:rsid w:val="000C3DB8"/>
    <w:rsid w:val="000C3DD5"/>
    <w:rsid w:val="000C3EB8"/>
    <w:rsid w:val="000C3FE2"/>
    <w:rsid w:val="000C4096"/>
    <w:rsid w:val="000C4126"/>
    <w:rsid w:val="000C4187"/>
    <w:rsid w:val="000C43D2"/>
    <w:rsid w:val="000C4427"/>
    <w:rsid w:val="000C47D7"/>
    <w:rsid w:val="000C47EE"/>
    <w:rsid w:val="000C4830"/>
    <w:rsid w:val="000C4854"/>
    <w:rsid w:val="000C4997"/>
    <w:rsid w:val="000C4A7C"/>
    <w:rsid w:val="000C4AAD"/>
    <w:rsid w:val="000C4CC5"/>
    <w:rsid w:val="000C4E9C"/>
    <w:rsid w:val="000C4EB6"/>
    <w:rsid w:val="000C4F2F"/>
    <w:rsid w:val="000C4F31"/>
    <w:rsid w:val="000C4F94"/>
    <w:rsid w:val="000C52F1"/>
    <w:rsid w:val="000C5319"/>
    <w:rsid w:val="000C5321"/>
    <w:rsid w:val="000C53BC"/>
    <w:rsid w:val="000C5423"/>
    <w:rsid w:val="000C54BC"/>
    <w:rsid w:val="000C5690"/>
    <w:rsid w:val="000C580F"/>
    <w:rsid w:val="000C5D89"/>
    <w:rsid w:val="000C61C4"/>
    <w:rsid w:val="000C6251"/>
    <w:rsid w:val="000C625B"/>
    <w:rsid w:val="000C62AF"/>
    <w:rsid w:val="000C66FF"/>
    <w:rsid w:val="000C6780"/>
    <w:rsid w:val="000C6869"/>
    <w:rsid w:val="000C6B0A"/>
    <w:rsid w:val="000C6E02"/>
    <w:rsid w:val="000C72CA"/>
    <w:rsid w:val="000C72CB"/>
    <w:rsid w:val="000C72DF"/>
    <w:rsid w:val="000C7468"/>
    <w:rsid w:val="000C77A6"/>
    <w:rsid w:val="000C795D"/>
    <w:rsid w:val="000C7A18"/>
    <w:rsid w:val="000C7AC7"/>
    <w:rsid w:val="000C7BA9"/>
    <w:rsid w:val="000C7C6A"/>
    <w:rsid w:val="000C7D0E"/>
    <w:rsid w:val="000C7D50"/>
    <w:rsid w:val="000C7DB5"/>
    <w:rsid w:val="000C7DD7"/>
    <w:rsid w:val="000C7F8C"/>
    <w:rsid w:val="000C7FAF"/>
    <w:rsid w:val="000D0245"/>
    <w:rsid w:val="000D0280"/>
    <w:rsid w:val="000D02DF"/>
    <w:rsid w:val="000D0367"/>
    <w:rsid w:val="000D03BE"/>
    <w:rsid w:val="000D04F9"/>
    <w:rsid w:val="000D07FD"/>
    <w:rsid w:val="000D08A9"/>
    <w:rsid w:val="000D08FA"/>
    <w:rsid w:val="000D0960"/>
    <w:rsid w:val="000D09C2"/>
    <w:rsid w:val="000D09F9"/>
    <w:rsid w:val="000D0E9F"/>
    <w:rsid w:val="000D0FD1"/>
    <w:rsid w:val="000D1370"/>
    <w:rsid w:val="000D1615"/>
    <w:rsid w:val="000D17B6"/>
    <w:rsid w:val="000D193B"/>
    <w:rsid w:val="000D1A9E"/>
    <w:rsid w:val="000D1C4C"/>
    <w:rsid w:val="000D1CA5"/>
    <w:rsid w:val="000D1CC1"/>
    <w:rsid w:val="000D1DC9"/>
    <w:rsid w:val="000D1E3D"/>
    <w:rsid w:val="000D2005"/>
    <w:rsid w:val="000D20C9"/>
    <w:rsid w:val="000D20F4"/>
    <w:rsid w:val="000D21D7"/>
    <w:rsid w:val="000D236C"/>
    <w:rsid w:val="000D2614"/>
    <w:rsid w:val="000D26E8"/>
    <w:rsid w:val="000D2800"/>
    <w:rsid w:val="000D2872"/>
    <w:rsid w:val="000D2889"/>
    <w:rsid w:val="000D2986"/>
    <w:rsid w:val="000D2A0A"/>
    <w:rsid w:val="000D2A53"/>
    <w:rsid w:val="000D2F5B"/>
    <w:rsid w:val="000D2FB3"/>
    <w:rsid w:val="000D2FD2"/>
    <w:rsid w:val="000D3080"/>
    <w:rsid w:val="000D30E4"/>
    <w:rsid w:val="000D3280"/>
    <w:rsid w:val="000D37E0"/>
    <w:rsid w:val="000D38EA"/>
    <w:rsid w:val="000D3938"/>
    <w:rsid w:val="000D394F"/>
    <w:rsid w:val="000D3AB7"/>
    <w:rsid w:val="000D3C48"/>
    <w:rsid w:val="000D3C72"/>
    <w:rsid w:val="000D3C91"/>
    <w:rsid w:val="000D3CA4"/>
    <w:rsid w:val="000D3DB1"/>
    <w:rsid w:val="000D3F11"/>
    <w:rsid w:val="000D3F5A"/>
    <w:rsid w:val="000D406A"/>
    <w:rsid w:val="000D417B"/>
    <w:rsid w:val="000D4200"/>
    <w:rsid w:val="000D432D"/>
    <w:rsid w:val="000D4344"/>
    <w:rsid w:val="000D4457"/>
    <w:rsid w:val="000D449A"/>
    <w:rsid w:val="000D44B5"/>
    <w:rsid w:val="000D45DE"/>
    <w:rsid w:val="000D47FF"/>
    <w:rsid w:val="000D485C"/>
    <w:rsid w:val="000D4A06"/>
    <w:rsid w:val="000D4B58"/>
    <w:rsid w:val="000D4BB0"/>
    <w:rsid w:val="000D4D0E"/>
    <w:rsid w:val="000D4D72"/>
    <w:rsid w:val="000D4DE5"/>
    <w:rsid w:val="000D51CC"/>
    <w:rsid w:val="000D5310"/>
    <w:rsid w:val="000D5321"/>
    <w:rsid w:val="000D53B6"/>
    <w:rsid w:val="000D56C4"/>
    <w:rsid w:val="000D583E"/>
    <w:rsid w:val="000D59CA"/>
    <w:rsid w:val="000D5C95"/>
    <w:rsid w:val="000D5CE9"/>
    <w:rsid w:val="000D5EB8"/>
    <w:rsid w:val="000D5EC9"/>
    <w:rsid w:val="000D5F29"/>
    <w:rsid w:val="000D631C"/>
    <w:rsid w:val="000D641A"/>
    <w:rsid w:val="000D65A8"/>
    <w:rsid w:val="000D660E"/>
    <w:rsid w:val="000D664A"/>
    <w:rsid w:val="000D68C8"/>
    <w:rsid w:val="000D692B"/>
    <w:rsid w:val="000D6C28"/>
    <w:rsid w:val="000D6CDE"/>
    <w:rsid w:val="000D7149"/>
    <w:rsid w:val="000D753D"/>
    <w:rsid w:val="000D7640"/>
    <w:rsid w:val="000D7710"/>
    <w:rsid w:val="000D7927"/>
    <w:rsid w:val="000D798F"/>
    <w:rsid w:val="000D79D9"/>
    <w:rsid w:val="000D7BD7"/>
    <w:rsid w:val="000D7E4D"/>
    <w:rsid w:val="000D7E5B"/>
    <w:rsid w:val="000E0099"/>
    <w:rsid w:val="000E0275"/>
    <w:rsid w:val="000E03FC"/>
    <w:rsid w:val="000E04BB"/>
    <w:rsid w:val="000E056B"/>
    <w:rsid w:val="000E06DC"/>
    <w:rsid w:val="000E07D3"/>
    <w:rsid w:val="000E0812"/>
    <w:rsid w:val="000E0AF6"/>
    <w:rsid w:val="000E0CBF"/>
    <w:rsid w:val="000E0E7B"/>
    <w:rsid w:val="000E0F56"/>
    <w:rsid w:val="000E11A3"/>
    <w:rsid w:val="000E142D"/>
    <w:rsid w:val="000E153B"/>
    <w:rsid w:val="000E1586"/>
    <w:rsid w:val="000E1630"/>
    <w:rsid w:val="000E18D6"/>
    <w:rsid w:val="000E1B6B"/>
    <w:rsid w:val="000E1C63"/>
    <w:rsid w:val="000E1F09"/>
    <w:rsid w:val="000E2040"/>
    <w:rsid w:val="000E204B"/>
    <w:rsid w:val="000E20E6"/>
    <w:rsid w:val="000E2316"/>
    <w:rsid w:val="000E2461"/>
    <w:rsid w:val="000E248F"/>
    <w:rsid w:val="000E2559"/>
    <w:rsid w:val="000E261F"/>
    <w:rsid w:val="000E26C5"/>
    <w:rsid w:val="000E2772"/>
    <w:rsid w:val="000E27A7"/>
    <w:rsid w:val="000E29DA"/>
    <w:rsid w:val="000E2D1A"/>
    <w:rsid w:val="000E2E28"/>
    <w:rsid w:val="000E2F20"/>
    <w:rsid w:val="000E31D4"/>
    <w:rsid w:val="000E3316"/>
    <w:rsid w:val="000E331E"/>
    <w:rsid w:val="000E3499"/>
    <w:rsid w:val="000E3793"/>
    <w:rsid w:val="000E385F"/>
    <w:rsid w:val="000E3A57"/>
    <w:rsid w:val="000E3A67"/>
    <w:rsid w:val="000E3CBD"/>
    <w:rsid w:val="000E3D6F"/>
    <w:rsid w:val="000E3D7E"/>
    <w:rsid w:val="000E3DE3"/>
    <w:rsid w:val="000E3F57"/>
    <w:rsid w:val="000E4057"/>
    <w:rsid w:val="000E4334"/>
    <w:rsid w:val="000E436B"/>
    <w:rsid w:val="000E438F"/>
    <w:rsid w:val="000E4555"/>
    <w:rsid w:val="000E4604"/>
    <w:rsid w:val="000E4690"/>
    <w:rsid w:val="000E481D"/>
    <w:rsid w:val="000E482A"/>
    <w:rsid w:val="000E485A"/>
    <w:rsid w:val="000E4864"/>
    <w:rsid w:val="000E488A"/>
    <w:rsid w:val="000E4C54"/>
    <w:rsid w:val="000E4C90"/>
    <w:rsid w:val="000E4E45"/>
    <w:rsid w:val="000E4F05"/>
    <w:rsid w:val="000E4F8F"/>
    <w:rsid w:val="000E510A"/>
    <w:rsid w:val="000E5112"/>
    <w:rsid w:val="000E52C9"/>
    <w:rsid w:val="000E5386"/>
    <w:rsid w:val="000E54FA"/>
    <w:rsid w:val="000E5581"/>
    <w:rsid w:val="000E55B3"/>
    <w:rsid w:val="000E5648"/>
    <w:rsid w:val="000E5984"/>
    <w:rsid w:val="000E5AB4"/>
    <w:rsid w:val="000E5C33"/>
    <w:rsid w:val="000E5C6D"/>
    <w:rsid w:val="000E5CD4"/>
    <w:rsid w:val="000E5D42"/>
    <w:rsid w:val="000E6085"/>
    <w:rsid w:val="000E63A1"/>
    <w:rsid w:val="000E63F3"/>
    <w:rsid w:val="000E64C3"/>
    <w:rsid w:val="000E65DC"/>
    <w:rsid w:val="000E65FD"/>
    <w:rsid w:val="000E6613"/>
    <w:rsid w:val="000E66F5"/>
    <w:rsid w:val="000E67E6"/>
    <w:rsid w:val="000E68FA"/>
    <w:rsid w:val="000E6CB8"/>
    <w:rsid w:val="000E6E6F"/>
    <w:rsid w:val="000E6F7D"/>
    <w:rsid w:val="000E700E"/>
    <w:rsid w:val="000E7188"/>
    <w:rsid w:val="000E7297"/>
    <w:rsid w:val="000E7440"/>
    <w:rsid w:val="000E7458"/>
    <w:rsid w:val="000E74A3"/>
    <w:rsid w:val="000E7576"/>
    <w:rsid w:val="000E769B"/>
    <w:rsid w:val="000E76DB"/>
    <w:rsid w:val="000E7788"/>
    <w:rsid w:val="000E7822"/>
    <w:rsid w:val="000E7C7E"/>
    <w:rsid w:val="000E7E59"/>
    <w:rsid w:val="000E7EB5"/>
    <w:rsid w:val="000E7F2C"/>
    <w:rsid w:val="000E7F44"/>
    <w:rsid w:val="000F0249"/>
    <w:rsid w:val="000F0334"/>
    <w:rsid w:val="000F035A"/>
    <w:rsid w:val="000F0435"/>
    <w:rsid w:val="000F0796"/>
    <w:rsid w:val="000F0896"/>
    <w:rsid w:val="000F097A"/>
    <w:rsid w:val="000F0A73"/>
    <w:rsid w:val="000F0A91"/>
    <w:rsid w:val="000F0A9C"/>
    <w:rsid w:val="000F0AB7"/>
    <w:rsid w:val="000F0F22"/>
    <w:rsid w:val="000F1063"/>
    <w:rsid w:val="000F10DF"/>
    <w:rsid w:val="000F1170"/>
    <w:rsid w:val="000F11CA"/>
    <w:rsid w:val="000F11D3"/>
    <w:rsid w:val="000F131F"/>
    <w:rsid w:val="000F145A"/>
    <w:rsid w:val="000F173A"/>
    <w:rsid w:val="000F178A"/>
    <w:rsid w:val="000F1905"/>
    <w:rsid w:val="000F198C"/>
    <w:rsid w:val="000F1B3B"/>
    <w:rsid w:val="000F1C69"/>
    <w:rsid w:val="000F1C82"/>
    <w:rsid w:val="000F1CB4"/>
    <w:rsid w:val="000F1D78"/>
    <w:rsid w:val="000F1EFF"/>
    <w:rsid w:val="000F1F99"/>
    <w:rsid w:val="000F2110"/>
    <w:rsid w:val="000F2195"/>
    <w:rsid w:val="000F23DB"/>
    <w:rsid w:val="000F25DE"/>
    <w:rsid w:val="000F26C5"/>
    <w:rsid w:val="000F2862"/>
    <w:rsid w:val="000F29E5"/>
    <w:rsid w:val="000F2A5A"/>
    <w:rsid w:val="000F2A6B"/>
    <w:rsid w:val="000F2B59"/>
    <w:rsid w:val="000F2EF6"/>
    <w:rsid w:val="000F2F87"/>
    <w:rsid w:val="000F2FC3"/>
    <w:rsid w:val="000F3118"/>
    <w:rsid w:val="000F31D2"/>
    <w:rsid w:val="000F324A"/>
    <w:rsid w:val="000F325E"/>
    <w:rsid w:val="000F336F"/>
    <w:rsid w:val="000F348C"/>
    <w:rsid w:val="000F3719"/>
    <w:rsid w:val="000F379B"/>
    <w:rsid w:val="000F37A5"/>
    <w:rsid w:val="000F39E9"/>
    <w:rsid w:val="000F39EF"/>
    <w:rsid w:val="000F3A63"/>
    <w:rsid w:val="000F3AAF"/>
    <w:rsid w:val="000F3BD3"/>
    <w:rsid w:val="000F3E17"/>
    <w:rsid w:val="000F3F6A"/>
    <w:rsid w:val="000F3F8F"/>
    <w:rsid w:val="000F4148"/>
    <w:rsid w:val="000F4190"/>
    <w:rsid w:val="000F4288"/>
    <w:rsid w:val="000F42C2"/>
    <w:rsid w:val="000F4678"/>
    <w:rsid w:val="000F477A"/>
    <w:rsid w:val="000F496C"/>
    <w:rsid w:val="000F49CE"/>
    <w:rsid w:val="000F4B19"/>
    <w:rsid w:val="000F4B64"/>
    <w:rsid w:val="000F4BB1"/>
    <w:rsid w:val="000F4D03"/>
    <w:rsid w:val="000F4D08"/>
    <w:rsid w:val="000F4DB7"/>
    <w:rsid w:val="000F4F21"/>
    <w:rsid w:val="000F5036"/>
    <w:rsid w:val="000F5642"/>
    <w:rsid w:val="000F58A0"/>
    <w:rsid w:val="000F5966"/>
    <w:rsid w:val="000F5BAE"/>
    <w:rsid w:val="000F5C6B"/>
    <w:rsid w:val="000F5D86"/>
    <w:rsid w:val="000F6002"/>
    <w:rsid w:val="000F6081"/>
    <w:rsid w:val="000F608D"/>
    <w:rsid w:val="000F612E"/>
    <w:rsid w:val="000F661E"/>
    <w:rsid w:val="000F6CBB"/>
    <w:rsid w:val="000F6E13"/>
    <w:rsid w:val="000F6F1F"/>
    <w:rsid w:val="000F6F35"/>
    <w:rsid w:val="000F7080"/>
    <w:rsid w:val="000F720A"/>
    <w:rsid w:val="000F7496"/>
    <w:rsid w:val="000F75E7"/>
    <w:rsid w:val="000F7696"/>
    <w:rsid w:val="000F76A7"/>
    <w:rsid w:val="000F771B"/>
    <w:rsid w:val="000F7AAA"/>
    <w:rsid w:val="000F7B55"/>
    <w:rsid w:val="000F7BFF"/>
    <w:rsid w:val="000F7C1E"/>
    <w:rsid w:val="000F7D6A"/>
    <w:rsid w:val="000F7E5B"/>
    <w:rsid w:val="000F7E69"/>
    <w:rsid w:val="000F7EF4"/>
    <w:rsid w:val="000F7F3C"/>
    <w:rsid w:val="000F7F90"/>
    <w:rsid w:val="000FE2CF"/>
    <w:rsid w:val="00100028"/>
    <w:rsid w:val="0010042B"/>
    <w:rsid w:val="0010044C"/>
    <w:rsid w:val="00100492"/>
    <w:rsid w:val="0010056D"/>
    <w:rsid w:val="001005B2"/>
    <w:rsid w:val="00100697"/>
    <w:rsid w:val="001007A2"/>
    <w:rsid w:val="001008A4"/>
    <w:rsid w:val="001009D8"/>
    <w:rsid w:val="00100AAB"/>
    <w:rsid w:val="00100C69"/>
    <w:rsid w:val="0010117D"/>
    <w:rsid w:val="00101296"/>
    <w:rsid w:val="0010148B"/>
    <w:rsid w:val="00101617"/>
    <w:rsid w:val="0010173F"/>
    <w:rsid w:val="00101742"/>
    <w:rsid w:val="00101853"/>
    <w:rsid w:val="00101938"/>
    <w:rsid w:val="001019F1"/>
    <w:rsid w:val="00101B4D"/>
    <w:rsid w:val="00101B84"/>
    <w:rsid w:val="00101BD9"/>
    <w:rsid w:val="00101BEC"/>
    <w:rsid w:val="00101C8D"/>
    <w:rsid w:val="00101D33"/>
    <w:rsid w:val="00101DE8"/>
    <w:rsid w:val="00101E0A"/>
    <w:rsid w:val="00101F60"/>
    <w:rsid w:val="0010209B"/>
    <w:rsid w:val="001021F7"/>
    <w:rsid w:val="0010225B"/>
    <w:rsid w:val="001024A1"/>
    <w:rsid w:val="00102A3B"/>
    <w:rsid w:val="00102C59"/>
    <w:rsid w:val="00102C96"/>
    <w:rsid w:val="00102E9A"/>
    <w:rsid w:val="00102ECA"/>
    <w:rsid w:val="0010312E"/>
    <w:rsid w:val="001033AC"/>
    <w:rsid w:val="001033E0"/>
    <w:rsid w:val="001036DB"/>
    <w:rsid w:val="00103B2D"/>
    <w:rsid w:val="00103BB0"/>
    <w:rsid w:val="00103DAF"/>
    <w:rsid w:val="00103F0F"/>
    <w:rsid w:val="00103F15"/>
    <w:rsid w:val="0010403A"/>
    <w:rsid w:val="001040BD"/>
    <w:rsid w:val="001040C4"/>
    <w:rsid w:val="001041CA"/>
    <w:rsid w:val="0010428D"/>
    <w:rsid w:val="001044B0"/>
    <w:rsid w:val="001046D6"/>
    <w:rsid w:val="00104740"/>
    <w:rsid w:val="00104859"/>
    <w:rsid w:val="001048A8"/>
    <w:rsid w:val="001048AB"/>
    <w:rsid w:val="00104A83"/>
    <w:rsid w:val="00104BEE"/>
    <w:rsid w:val="00105255"/>
    <w:rsid w:val="0010525E"/>
    <w:rsid w:val="00105316"/>
    <w:rsid w:val="0010565A"/>
    <w:rsid w:val="00105696"/>
    <w:rsid w:val="0010576F"/>
    <w:rsid w:val="001058B6"/>
    <w:rsid w:val="00105AB0"/>
    <w:rsid w:val="001060A3"/>
    <w:rsid w:val="001061FA"/>
    <w:rsid w:val="00106304"/>
    <w:rsid w:val="001063B1"/>
    <w:rsid w:val="001064BA"/>
    <w:rsid w:val="001065E9"/>
    <w:rsid w:val="001068AF"/>
    <w:rsid w:val="00106CF9"/>
    <w:rsid w:val="00106D18"/>
    <w:rsid w:val="00106E1D"/>
    <w:rsid w:val="00106FB8"/>
    <w:rsid w:val="00107387"/>
    <w:rsid w:val="0010776B"/>
    <w:rsid w:val="00107970"/>
    <w:rsid w:val="00107BF6"/>
    <w:rsid w:val="00107C64"/>
    <w:rsid w:val="00107CB9"/>
    <w:rsid w:val="00107DB9"/>
    <w:rsid w:val="00107E02"/>
    <w:rsid w:val="001100BB"/>
    <w:rsid w:val="0011032F"/>
    <w:rsid w:val="00110335"/>
    <w:rsid w:val="0011040A"/>
    <w:rsid w:val="00110421"/>
    <w:rsid w:val="00110477"/>
    <w:rsid w:val="00110661"/>
    <w:rsid w:val="00110E27"/>
    <w:rsid w:val="00110E69"/>
    <w:rsid w:val="00110F15"/>
    <w:rsid w:val="00110FB2"/>
    <w:rsid w:val="001110C2"/>
    <w:rsid w:val="00111182"/>
    <w:rsid w:val="00111352"/>
    <w:rsid w:val="001116A0"/>
    <w:rsid w:val="0011191B"/>
    <w:rsid w:val="00111A21"/>
    <w:rsid w:val="00111AEA"/>
    <w:rsid w:val="00111C21"/>
    <w:rsid w:val="00111CD1"/>
    <w:rsid w:val="00112007"/>
    <w:rsid w:val="00112020"/>
    <w:rsid w:val="00112110"/>
    <w:rsid w:val="00112347"/>
    <w:rsid w:val="001123D1"/>
    <w:rsid w:val="001124A0"/>
    <w:rsid w:val="001127B8"/>
    <w:rsid w:val="00112989"/>
    <w:rsid w:val="00112A33"/>
    <w:rsid w:val="00112D16"/>
    <w:rsid w:val="00112D6B"/>
    <w:rsid w:val="00112D84"/>
    <w:rsid w:val="00112F73"/>
    <w:rsid w:val="00112FAB"/>
    <w:rsid w:val="00112FD1"/>
    <w:rsid w:val="0011301C"/>
    <w:rsid w:val="0011310A"/>
    <w:rsid w:val="001131EB"/>
    <w:rsid w:val="00113205"/>
    <w:rsid w:val="001132A9"/>
    <w:rsid w:val="0011331F"/>
    <w:rsid w:val="0011349B"/>
    <w:rsid w:val="001134A5"/>
    <w:rsid w:val="00113506"/>
    <w:rsid w:val="00113510"/>
    <w:rsid w:val="0011367A"/>
    <w:rsid w:val="001136FF"/>
    <w:rsid w:val="00113759"/>
    <w:rsid w:val="00113981"/>
    <w:rsid w:val="00113994"/>
    <w:rsid w:val="00113AF4"/>
    <w:rsid w:val="00113B0B"/>
    <w:rsid w:val="00113B7A"/>
    <w:rsid w:val="00113CA0"/>
    <w:rsid w:val="00113CA5"/>
    <w:rsid w:val="00113E75"/>
    <w:rsid w:val="001140C5"/>
    <w:rsid w:val="0011416F"/>
    <w:rsid w:val="00114341"/>
    <w:rsid w:val="001143E0"/>
    <w:rsid w:val="001146B1"/>
    <w:rsid w:val="00114755"/>
    <w:rsid w:val="001147B5"/>
    <w:rsid w:val="00114870"/>
    <w:rsid w:val="00114A61"/>
    <w:rsid w:val="00114C56"/>
    <w:rsid w:val="00114CED"/>
    <w:rsid w:val="00114DB4"/>
    <w:rsid w:val="00114F9A"/>
    <w:rsid w:val="00115066"/>
    <w:rsid w:val="0011506C"/>
    <w:rsid w:val="0011511A"/>
    <w:rsid w:val="001151A8"/>
    <w:rsid w:val="001151E0"/>
    <w:rsid w:val="001154C8"/>
    <w:rsid w:val="001155E4"/>
    <w:rsid w:val="0011582B"/>
    <w:rsid w:val="00115925"/>
    <w:rsid w:val="001159A3"/>
    <w:rsid w:val="001159D8"/>
    <w:rsid w:val="00115C1D"/>
    <w:rsid w:val="00115CD2"/>
    <w:rsid w:val="00115F4A"/>
    <w:rsid w:val="00115FD6"/>
    <w:rsid w:val="00116031"/>
    <w:rsid w:val="001160AC"/>
    <w:rsid w:val="0011630E"/>
    <w:rsid w:val="00116571"/>
    <w:rsid w:val="00116595"/>
    <w:rsid w:val="001165A0"/>
    <w:rsid w:val="001165DF"/>
    <w:rsid w:val="00116630"/>
    <w:rsid w:val="00116684"/>
    <w:rsid w:val="00117393"/>
    <w:rsid w:val="001177BA"/>
    <w:rsid w:val="0011783B"/>
    <w:rsid w:val="0011785E"/>
    <w:rsid w:val="00117ACC"/>
    <w:rsid w:val="00117BB0"/>
    <w:rsid w:val="00117C78"/>
    <w:rsid w:val="00117EB2"/>
    <w:rsid w:val="00117F3F"/>
    <w:rsid w:val="00120101"/>
    <w:rsid w:val="001201B6"/>
    <w:rsid w:val="001201C8"/>
    <w:rsid w:val="00120207"/>
    <w:rsid w:val="0012021C"/>
    <w:rsid w:val="0012023B"/>
    <w:rsid w:val="001202C5"/>
    <w:rsid w:val="00120303"/>
    <w:rsid w:val="0012058E"/>
    <w:rsid w:val="001208A9"/>
    <w:rsid w:val="00120985"/>
    <w:rsid w:val="00120A05"/>
    <w:rsid w:val="00120A15"/>
    <w:rsid w:val="00120A36"/>
    <w:rsid w:val="00120ACB"/>
    <w:rsid w:val="00120DCE"/>
    <w:rsid w:val="00120F1C"/>
    <w:rsid w:val="001210E6"/>
    <w:rsid w:val="001211BB"/>
    <w:rsid w:val="00121230"/>
    <w:rsid w:val="001212A9"/>
    <w:rsid w:val="001212D9"/>
    <w:rsid w:val="001212DA"/>
    <w:rsid w:val="001213C1"/>
    <w:rsid w:val="0012140E"/>
    <w:rsid w:val="00121583"/>
    <w:rsid w:val="0012170D"/>
    <w:rsid w:val="00121899"/>
    <w:rsid w:val="00121939"/>
    <w:rsid w:val="00121949"/>
    <w:rsid w:val="00121CFF"/>
    <w:rsid w:val="00121EAF"/>
    <w:rsid w:val="00121EC1"/>
    <w:rsid w:val="00122025"/>
    <w:rsid w:val="001225C6"/>
    <w:rsid w:val="00122748"/>
    <w:rsid w:val="0012276C"/>
    <w:rsid w:val="001227B9"/>
    <w:rsid w:val="0012282C"/>
    <w:rsid w:val="00122B4F"/>
    <w:rsid w:val="00122D63"/>
    <w:rsid w:val="00122D72"/>
    <w:rsid w:val="00122EA0"/>
    <w:rsid w:val="00122EDF"/>
    <w:rsid w:val="0012316C"/>
    <w:rsid w:val="00123253"/>
    <w:rsid w:val="001233A3"/>
    <w:rsid w:val="00123567"/>
    <w:rsid w:val="00123649"/>
    <w:rsid w:val="00123690"/>
    <w:rsid w:val="0012388E"/>
    <w:rsid w:val="00123C7F"/>
    <w:rsid w:val="00123DD8"/>
    <w:rsid w:val="00124048"/>
    <w:rsid w:val="00124123"/>
    <w:rsid w:val="0012419A"/>
    <w:rsid w:val="00124232"/>
    <w:rsid w:val="001243D7"/>
    <w:rsid w:val="001243FF"/>
    <w:rsid w:val="001244AA"/>
    <w:rsid w:val="001244B2"/>
    <w:rsid w:val="0012469F"/>
    <w:rsid w:val="001246A5"/>
    <w:rsid w:val="001246C3"/>
    <w:rsid w:val="0012488B"/>
    <w:rsid w:val="00124930"/>
    <w:rsid w:val="00124949"/>
    <w:rsid w:val="00124A66"/>
    <w:rsid w:val="00124A6A"/>
    <w:rsid w:val="00124A8A"/>
    <w:rsid w:val="00124A96"/>
    <w:rsid w:val="00124C8C"/>
    <w:rsid w:val="00124CE9"/>
    <w:rsid w:val="00124CF8"/>
    <w:rsid w:val="00124DD3"/>
    <w:rsid w:val="00124E7C"/>
    <w:rsid w:val="0012503F"/>
    <w:rsid w:val="001250C3"/>
    <w:rsid w:val="001253B7"/>
    <w:rsid w:val="00125431"/>
    <w:rsid w:val="00125484"/>
    <w:rsid w:val="00125662"/>
    <w:rsid w:val="001256B5"/>
    <w:rsid w:val="001258A4"/>
    <w:rsid w:val="00125A05"/>
    <w:rsid w:val="00125A5E"/>
    <w:rsid w:val="00125C91"/>
    <w:rsid w:val="00126118"/>
    <w:rsid w:val="001261E5"/>
    <w:rsid w:val="001263B8"/>
    <w:rsid w:val="001265B2"/>
    <w:rsid w:val="001265D4"/>
    <w:rsid w:val="00126712"/>
    <w:rsid w:val="001268EA"/>
    <w:rsid w:val="00126972"/>
    <w:rsid w:val="00126987"/>
    <w:rsid w:val="00126C8A"/>
    <w:rsid w:val="00126EF8"/>
    <w:rsid w:val="00127044"/>
    <w:rsid w:val="00127130"/>
    <w:rsid w:val="00127133"/>
    <w:rsid w:val="00127167"/>
    <w:rsid w:val="0012716D"/>
    <w:rsid w:val="00127327"/>
    <w:rsid w:val="001276C1"/>
    <w:rsid w:val="0012785D"/>
    <w:rsid w:val="001278D7"/>
    <w:rsid w:val="00127BF9"/>
    <w:rsid w:val="00127C35"/>
    <w:rsid w:val="00127DD5"/>
    <w:rsid w:val="00129348"/>
    <w:rsid w:val="00130418"/>
    <w:rsid w:val="00130517"/>
    <w:rsid w:val="0013079B"/>
    <w:rsid w:val="001307DC"/>
    <w:rsid w:val="001307DD"/>
    <w:rsid w:val="00130AEF"/>
    <w:rsid w:val="00130EFF"/>
    <w:rsid w:val="00131244"/>
    <w:rsid w:val="001313B7"/>
    <w:rsid w:val="00131497"/>
    <w:rsid w:val="00131540"/>
    <w:rsid w:val="00131554"/>
    <w:rsid w:val="001316BA"/>
    <w:rsid w:val="001316E0"/>
    <w:rsid w:val="00131798"/>
    <w:rsid w:val="001318EE"/>
    <w:rsid w:val="0013191F"/>
    <w:rsid w:val="00131A5B"/>
    <w:rsid w:val="00131E96"/>
    <w:rsid w:val="001324FC"/>
    <w:rsid w:val="001327A3"/>
    <w:rsid w:val="001329EF"/>
    <w:rsid w:val="00132B61"/>
    <w:rsid w:val="00132CD5"/>
    <w:rsid w:val="00132F0A"/>
    <w:rsid w:val="00133054"/>
    <w:rsid w:val="0013309A"/>
    <w:rsid w:val="00133268"/>
    <w:rsid w:val="001332AE"/>
    <w:rsid w:val="00133392"/>
    <w:rsid w:val="00133398"/>
    <w:rsid w:val="001333A5"/>
    <w:rsid w:val="001333FE"/>
    <w:rsid w:val="0013345C"/>
    <w:rsid w:val="0013360E"/>
    <w:rsid w:val="001336E0"/>
    <w:rsid w:val="00133755"/>
    <w:rsid w:val="00133AD0"/>
    <w:rsid w:val="00133B8C"/>
    <w:rsid w:val="00133F31"/>
    <w:rsid w:val="00133FD1"/>
    <w:rsid w:val="001340A6"/>
    <w:rsid w:val="00134174"/>
    <w:rsid w:val="0013423B"/>
    <w:rsid w:val="00134417"/>
    <w:rsid w:val="00134451"/>
    <w:rsid w:val="0013470A"/>
    <w:rsid w:val="00134814"/>
    <w:rsid w:val="00134BE4"/>
    <w:rsid w:val="00134F6F"/>
    <w:rsid w:val="00134FF5"/>
    <w:rsid w:val="00135171"/>
    <w:rsid w:val="0013530A"/>
    <w:rsid w:val="0013536A"/>
    <w:rsid w:val="001353B0"/>
    <w:rsid w:val="0013543F"/>
    <w:rsid w:val="0013572F"/>
    <w:rsid w:val="001357E5"/>
    <w:rsid w:val="001358C5"/>
    <w:rsid w:val="001358D3"/>
    <w:rsid w:val="00135A06"/>
    <w:rsid w:val="00135C9B"/>
    <w:rsid w:val="00135D4D"/>
    <w:rsid w:val="00135D53"/>
    <w:rsid w:val="00135DFE"/>
    <w:rsid w:val="00135E0F"/>
    <w:rsid w:val="00135E74"/>
    <w:rsid w:val="00135E9F"/>
    <w:rsid w:val="0013622F"/>
    <w:rsid w:val="001366EE"/>
    <w:rsid w:val="001369FE"/>
    <w:rsid w:val="00136ACB"/>
    <w:rsid w:val="00136B34"/>
    <w:rsid w:val="00136B37"/>
    <w:rsid w:val="00136D59"/>
    <w:rsid w:val="0013700A"/>
    <w:rsid w:val="001370D6"/>
    <w:rsid w:val="00137100"/>
    <w:rsid w:val="001371B4"/>
    <w:rsid w:val="001373E7"/>
    <w:rsid w:val="00137544"/>
    <w:rsid w:val="0013759A"/>
    <w:rsid w:val="001375C5"/>
    <w:rsid w:val="0013765E"/>
    <w:rsid w:val="00137B7E"/>
    <w:rsid w:val="00137DFC"/>
    <w:rsid w:val="0014003A"/>
    <w:rsid w:val="00140081"/>
    <w:rsid w:val="00140131"/>
    <w:rsid w:val="001401DB"/>
    <w:rsid w:val="0014027B"/>
    <w:rsid w:val="0014038B"/>
    <w:rsid w:val="00140550"/>
    <w:rsid w:val="00140558"/>
    <w:rsid w:val="0014055D"/>
    <w:rsid w:val="00140A4D"/>
    <w:rsid w:val="00140BFA"/>
    <w:rsid w:val="00140F6B"/>
    <w:rsid w:val="00141028"/>
    <w:rsid w:val="00141106"/>
    <w:rsid w:val="00141108"/>
    <w:rsid w:val="0014125B"/>
    <w:rsid w:val="00141432"/>
    <w:rsid w:val="00141673"/>
    <w:rsid w:val="001416F3"/>
    <w:rsid w:val="0014174D"/>
    <w:rsid w:val="001418E8"/>
    <w:rsid w:val="001419A4"/>
    <w:rsid w:val="00141A3D"/>
    <w:rsid w:val="00141AAC"/>
    <w:rsid w:val="0014207A"/>
    <w:rsid w:val="00142095"/>
    <w:rsid w:val="001422B0"/>
    <w:rsid w:val="00142577"/>
    <w:rsid w:val="001427C4"/>
    <w:rsid w:val="00142A77"/>
    <w:rsid w:val="00142B2A"/>
    <w:rsid w:val="00142B47"/>
    <w:rsid w:val="00142CDD"/>
    <w:rsid w:val="00142D74"/>
    <w:rsid w:val="001431DC"/>
    <w:rsid w:val="001431FC"/>
    <w:rsid w:val="00143603"/>
    <w:rsid w:val="00143755"/>
    <w:rsid w:val="00143934"/>
    <w:rsid w:val="00143B0B"/>
    <w:rsid w:val="00143BAA"/>
    <w:rsid w:val="00143D1E"/>
    <w:rsid w:val="00143F15"/>
    <w:rsid w:val="00144267"/>
    <w:rsid w:val="001442EE"/>
    <w:rsid w:val="0014444A"/>
    <w:rsid w:val="00144515"/>
    <w:rsid w:val="001445C2"/>
    <w:rsid w:val="0014474E"/>
    <w:rsid w:val="00144813"/>
    <w:rsid w:val="00144A6B"/>
    <w:rsid w:val="00144C2D"/>
    <w:rsid w:val="00144CAB"/>
    <w:rsid w:val="00144E3A"/>
    <w:rsid w:val="00145049"/>
    <w:rsid w:val="00145060"/>
    <w:rsid w:val="00145639"/>
    <w:rsid w:val="00145857"/>
    <w:rsid w:val="001458CB"/>
    <w:rsid w:val="00145B04"/>
    <w:rsid w:val="00145BE3"/>
    <w:rsid w:val="00145D94"/>
    <w:rsid w:val="00145F2E"/>
    <w:rsid w:val="00145FC8"/>
    <w:rsid w:val="0014607A"/>
    <w:rsid w:val="00146105"/>
    <w:rsid w:val="001463D2"/>
    <w:rsid w:val="001465C8"/>
    <w:rsid w:val="001465D4"/>
    <w:rsid w:val="001466D3"/>
    <w:rsid w:val="00146952"/>
    <w:rsid w:val="00146A1F"/>
    <w:rsid w:val="00146A3E"/>
    <w:rsid w:val="00146A9C"/>
    <w:rsid w:val="00146C59"/>
    <w:rsid w:val="00146C8F"/>
    <w:rsid w:val="00147024"/>
    <w:rsid w:val="001473AE"/>
    <w:rsid w:val="001476EB"/>
    <w:rsid w:val="00147A19"/>
    <w:rsid w:val="00147BA2"/>
    <w:rsid w:val="00147D66"/>
    <w:rsid w:val="001500B3"/>
    <w:rsid w:val="001500B5"/>
    <w:rsid w:val="00150462"/>
    <w:rsid w:val="00150620"/>
    <w:rsid w:val="00150654"/>
    <w:rsid w:val="00150679"/>
    <w:rsid w:val="001506D7"/>
    <w:rsid w:val="0015079C"/>
    <w:rsid w:val="00150D14"/>
    <w:rsid w:val="00150E29"/>
    <w:rsid w:val="00150E97"/>
    <w:rsid w:val="00150F23"/>
    <w:rsid w:val="00150F31"/>
    <w:rsid w:val="0015105A"/>
    <w:rsid w:val="0015107A"/>
    <w:rsid w:val="00151198"/>
    <w:rsid w:val="001511F4"/>
    <w:rsid w:val="001514B2"/>
    <w:rsid w:val="001514E8"/>
    <w:rsid w:val="00151A3D"/>
    <w:rsid w:val="00151CC3"/>
    <w:rsid w:val="00151D52"/>
    <w:rsid w:val="00151DF6"/>
    <w:rsid w:val="00151F2C"/>
    <w:rsid w:val="0015215F"/>
    <w:rsid w:val="00152187"/>
    <w:rsid w:val="00152201"/>
    <w:rsid w:val="0015222E"/>
    <w:rsid w:val="001523B1"/>
    <w:rsid w:val="001525C3"/>
    <w:rsid w:val="00152609"/>
    <w:rsid w:val="00152756"/>
    <w:rsid w:val="001527D8"/>
    <w:rsid w:val="001528F8"/>
    <w:rsid w:val="00152B2F"/>
    <w:rsid w:val="00152BEF"/>
    <w:rsid w:val="00152E3C"/>
    <w:rsid w:val="00152ED9"/>
    <w:rsid w:val="001532A7"/>
    <w:rsid w:val="00153368"/>
    <w:rsid w:val="001535C1"/>
    <w:rsid w:val="00153906"/>
    <w:rsid w:val="0015395D"/>
    <w:rsid w:val="00153B3D"/>
    <w:rsid w:val="00153B3F"/>
    <w:rsid w:val="00153CD4"/>
    <w:rsid w:val="00153D91"/>
    <w:rsid w:val="00153DA0"/>
    <w:rsid w:val="00153F54"/>
    <w:rsid w:val="00154020"/>
    <w:rsid w:val="001543FF"/>
    <w:rsid w:val="001545B3"/>
    <w:rsid w:val="001549A0"/>
    <w:rsid w:val="00154AA5"/>
    <w:rsid w:val="00154B2A"/>
    <w:rsid w:val="00154C12"/>
    <w:rsid w:val="00154F3D"/>
    <w:rsid w:val="00155085"/>
    <w:rsid w:val="001552B0"/>
    <w:rsid w:val="001553E7"/>
    <w:rsid w:val="001553ED"/>
    <w:rsid w:val="001554C2"/>
    <w:rsid w:val="0015550F"/>
    <w:rsid w:val="0015552A"/>
    <w:rsid w:val="0015553E"/>
    <w:rsid w:val="00155635"/>
    <w:rsid w:val="00155678"/>
    <w:rsid w:val="00155A5F"/>
    <w:rsid w:val="00155BC7"/>
    <w:rsid w:val="00155BC8"/>
    <w:rsid w:val="00155C87"/>
    <w:rsid w:val="00155CA4"/>
    <w:rsid w:val="00155D02"/>
    <w:rsid w:val="00155DA4"/>
    <w:rsid w:val="00155F72"/>
    <w:rsid w:val="00156107"/>
    <w:rsid w:val="00156330"/>
    <w:rsid w:val="00156343"/>
    <w:rsid w:val="001564EF"/>
    <w:rsid w:val="0015655F"/>
    <w:rsid w:val="001565B8"/>
    <w:rsid w:val="001565E3"/>
    <w:rsid w:val="00156653"/>
    <w:rsid w:val="00156668"/>
    <w:rsid w:val="001566CE"/>
    <w:rsid w:val="001567B4"/>
    <w:rsid w:val="00156863"/>
    <w:rsid w:val="00156938"/>
    <w:rsid w:val="00156B4A"/>
    <w:rsid w:val="00156D12"/>
    <w:rsid w:val="00156E3F"/>
    <w:rsid w:val="00156EAC"/>
    <w:rsid w:val="00156F3F"/>
    <w:rsid w:val="0015704E"/>
    <w:rsid w:val="001570A7"/>
    <w:rsid w:val="001572AD"/>
    <w:rsid w:val="001574E3"/>
    <w:rsid w:val="001575A4"/>
    <w:rsid w:val="0015772F"/>
    <w:rsid w:val="00157835"/>
    <w:rsid w:val="00157951"/>
    <w:rsid w:val="00157C83"/>
    <w:rsid w:val="00157D2A"/>
    <w:rsid w:val="00157D58"/>
    <w:rsid w:val="00157DA2"/>
    <w:rsid w:val="00157E09"/>
    <w:rsid w:val="00160090"/>
    <w:rsid w:val="001601A5"/>
    <w:rsid w:val="00160211"/>
    <w:rsid w:val="00160369"/>
    <w:rsid w:val="001603E0"/>
    <w:rsid w:val="00160611"/>
    <w:rsid w:val="001606BC"/>
    <w:rsid w:val="00160741"/>
    <w:rsid w:val="00160802"/>
    <w:rsid w:val="0016093C"/>
    <w:rsid w:val="00160CB2"/>
    <w:rsid w:val="00160E8C"/>
    <w:rsid w:val="00161186"/>
    <w:rsid w:val="001612BA"/>
    <w:rsid w:val="001614B8"/>
    <w:rsid w:val="001614C8"/>
    <w:rsid w:val="001614C9"/>
    <w:rsid w:val="001617CE"/>
    <w:rsid w:val="001618E8"/>
    <w:rsid w:val="00161918"/>
    <w:rsid w:val="001619A9"/>
    <w:rsid w:val="001619EF"/>
    <w:rsid w:val="00161BA0"/>
    <w:rsid w:val="001620DA"/>
    <w:rsid w:val="00162145"/>
    <w:rsid w:val="001626CD"/>
    <w:rsid w:val="0016292A"/>
    <w:rsid w:val="0016292B"/>
    <w:rsid w:val="00162A98"/>
    <w:rsid w:val="00162B6F"/>
    <w:rsid w:val="00162C37"/>
    <w:rsid w:val="00162D1D"/>
    <w:rsid w:val="00162E72"/>
    <w:rsid w:val="00162FBB"/>
    <w:rsid w:val="00163192"/>
    <w:rsid w:val="0016322D"/>
    <w:rsid w:val="001632FF"/>
    <w:rsid w:val="001633E8"/>
    <w:rsid w:val="001634FC"/>
    <w:rsid w:val="00163752"/>
    <w:rsid w:val="00163796"/>
    <w:rsid w:val="0016392C"/>
    <w:rsid w:val="00163EF0"/>
    <w:rsid w:val="001640C8"/>
    <w:rsid w:val="0016422B"/>
    <w:rsid w:val="0016432B"/>
    <w:rsid w:val="00164482"/>
    <w:rsid w:val="0016456C"/>
    <w:rsid w:val="0016482C"/>
    <w:rsid w:val="001648E4"/>
    <w:rsid w:val="001648FC"/>
    <w:rsid w:val="00164910"/>
    <w:rsid w:val="001649F9"/>
    <w:rsid w:val="00164A64"/>
    <w:rsid w:val="00164AD2"/>
    <w:rsid w:val="00164BCE"/>
    <w:rsid w:val="00164BF6"/>
    <w:rsid w:val="00164C3A"/>
    <w:rsid w:val="00164D37"/>
    <w:rsid w:val="00164FBB"/>
    <w:rsid w:val="001651FD"/>
    <w:rsid w:val="0016526F"/>
    <w:rsid w:val="001652E2"/>
    <w:rsid w:val="0016537B"/>
    <w:rsid w:val="001654B6"/>
    <w:rsid w:val="0016564B"/>
    <w:rsid w:val="0016566C"/>
    <w:rsid w:val="00165714"/>
    <w:rsid w:val="001657B0"/>
    <w:rsid w:val="001657BB"/>
    <w:rsid w:val="001657C1"/>
    <w:rsid w:val="00165922"/>
    <w:rsid w:val="0016595E"/>
    <w:rsid w:val="00165AD2"/>
    <w:rsid w:val="00165C12"/>
    <w:rsid w:val="00165C14"/>
    <w:rsid w:val="00165CAE"/>
    <w:rsid w:val="00165D62"/>
    <w:rsid w:val="00165E6E"/>
    <w:rsid w:val="00165F96"/>
    <w:rsid w:val="00166019"/>
    <w:rsid w:val="00166077"/>
    <w:rsid w:val="00166136"/>
    <w:rsid w:val="001661B5"/>
    <w:rsid w:val="00166285"/>
    <w:rsid w:val="001663C3"/>
    <w:rsid w:val="001665A1"/>
    <w:rsid w:val="00166679"/>
    <w:rsid w:val="001666C9"/>
    <w:rsid w:val="001666DD"/>
    <w:rsid w:val="00166729"/>
    <w:rsid w:val="00166750"/>
    <w:rsid w:val="0016698F"/>
    <w:rsid w:val="00166AF8"/>
    <w:rsid w:val="00166B20"/>
    <w:rsid w:val="00166B22"/>
    <w:rsid w:val="00166CAC"/>
    <w:rsid w:val="00166F4E"/>
    <w:rsid w:val="00166F5D"/>
    <w:rsid w:val="00166FF9"/>
    <w:rsid w:val="001670E1"/>
    <w:rsid w:val="001670FF"/>
    <w:rsid w:val="001671B1"/>
    <w:rsid w:val="001672A9"/>
    <w:rsid w:val="0016736C"/>
    <w:rsid w:val="00167474"/>
    <w:rsid w:val="001674E4"/>
    <w:rsid w:val="0016753C"/>
    <w:rsid w:val="00167596"/>
    <w:rsid w:val="0016762F"/>
    <w:rsid w:val="00167877"/>
    <w:rsid w:val="00167C12"/>
    <w:rsid w:val="00167D35"/>
    <w:rsid w:val="00167D82"/>
    <w:rsid w:val="00167E1D"/>
    <w:rsid w:val="00167E43"/>
    <w:rsid w:val="00167F59"/>
    <w:rsid w:val="00167FA2"/>
    <w:rsid w:val="0017023A"/>
    <w:rsid w:val="0017027B"/>
    <w:rsid w:val="0017055F"/>
    <w:rsid w:val="00170739"/>
    <w:rsid w:val="0017078E"/>
    <w:rsid w:val="001707AD"/>
    <w:rsid w:val="001708BB"/>
    <w:rsid w:val="00170AE9"/>
    <w:rsid w:val="00170C30"/>
    <w:rsid w:val="00170C38"/>
    <w:rsid w:val="00170C98"/>
    <w:rsid w:val="00170FE1"/>
    <w:rsid w:val="00170FE3"/>
    <w:rsid w:val="001712EF"/>
    <w:rsid w:val="0017138B"/>
    <w:rsid w:val="00171447"/>
    <w:rsid w:val="001714B8"/>
    <w:rsid w:val="00171547"/>
    <w:rsid w:val="00171C73"/>
    <w:rsid w:val="00171D17"/>
    <w:rsid w:val="00171E66"/>
    <w:rsid w:val="00171EBF"/>
    <w:rsid w:val="00171FE8"/>
    <w:rsid w:val="00172025"/>
    <w:rsid w:val="00172168"/>
    <w:rsid w:val="001721D7"/>
    <w:rsid w:val="00172250"/>
    <w:rsid w:val="00172287"/>
    <w:rsid w:val="00172295"/>
    <w:rsid w:val="00172339"/>
    <w:rsid w:val="0017256A"/>
    <w:rsid w:val="001725AC"/>
    <w:rsid w:val="0017292A"/>
    <w:rsid w:val="00172B94"/>
    <w:rsid w:val="00172C67"/>
    <w:rsid w:val="00172C86"/>
    <w:rsid w:val="00172E1E"/>
    <w:rsid w:val="00172EE8"/>
    <w:rsid w:val="00172FC2"/>
    <w:rsid w:val="0017302D"/>
    <w:rsid w:val="00173125"/>
    <w:rsid w:val="00173126"/>
    <w:rsid w:val="001733D5"/>
    <w:rsid w:val="00173700"/>
    <w:rsid w:val="0017376D"/>
    <w:rsid w:val="00173A53"/>
    <w:rsid w:val="00173A7C"/>
    <w:rsid w:val="00173B76"/>
    <w:rsid w:val="00173C0A"/>
    <w:rsid w:val="00173C60"/>
    <w:rsid w:val="00173E3E"/>
    <w:rsid w:val="00173E5B"/>
    <w:rsid w:val="00173E6B"/>
    <w:rsid w:val="00174033"/>
    <w:rsid w:val="0017408B"/>
    <w:rsid w:val="001740FB"/>
    <w:rsid w:val="001741EA"/>
    <w:rsid w:val="00174443"/>
    <w:rsid w:val="00174452"/>
    <w:rsid w:val="0017458E"/>
    <w:rsid w:val="0017463B"/>
    <w:rsid w:val="001748F4"/>
    <w:rsid w:val="00174A52"/>
    <w:rsid w:val="00174B36"/>
    <w:rsid w:val="00175208"/>
    <w:rsid w:val="001753AE"/>
    <w:rsid w:val="0017548D"/>
    <w:rsid w:val="00175588"/>
    <w:rsid w:val="00175614"/>
    <w:rsid w:val="0017574B"/>
    <w:rsid w:val="001758DC"/>
    <w:rsid w:val="00175927"/>
    <w:rsid w:val="00175A99"/>
    <w:rsid w:val="00175AB1"/>
    <w:rsid w:val="00175B5F"/>
    <w:rsid w:val="00175F08"/>
    <w:rsid w:val="0017604E"/>
    <w:rsid w:val="00176172"/>
    <w:rsid w:val="00176201"/>
    <w:rsid w:val="00176472"/>
    <w:rsid w:val="00176764"/>
    <w:rsid w:val="0017682D"/>
    <w:rsid w:val="001769EB"/>
    <w:rsid w:val="00176BA4"/>
    <w:rsid w:val="00176C7F"/>
    <w:rsid w:val="00176CDE"/>
    <w:rsid w:val="00176D97"/>
    <w:rsid w:val="00176F11"/>
    <w:rsid w:val="001771B6"/>
    <w:rsid w:val="00177220"/>
    <w:rsid w:val="00177866"/>
    <w:rsid w:val="00177934"/>
    <w:rsid w:val="00177968"/>
    <w:rsid w:val="0017797C"/>
    <w:rsid w:val="00177A27"/>
    <w:rsid w:val="00177BE4"/>
    <w:rsid w:val="00177CBF"/>
    <w:rsid w:val="00177EBD"/>
    <w:rsid w:val="00177FF0"/>
    <w:rsid w:val="00180060"/>
    <w:rsid w:val="00180165"/>
    <w:rsid w:val="00180376"/>
    <w:rsid w:val="00180386"/>
    <w:rsid w:val="001804D1"/>
    <w:rsid w:val="0018065D"/>
    <w:rsid w:val="001807B8"/>
    <w:rsid w:val="001808E3"/>
    <w:rsid w:val="00180A14"/>
    <w:rsid w:val="00180A49"/>
    <w:rsid w:val="00180BF3"/>
    <w:rsid w:val="00180C4D"/>
    <w:rsid w:val="00180D51"/>
    <w:rsid w:val="00180E55"/>
    <w:rsid w:val="00180F23"/>
    <w:rsid w:val="00180F39"/>
    <w:rsid w:val="00180F6E"/>
    <w:rsid w:val="0018116D"/>
    <w:rsid w:val="00181179"/>
    <w:rsid w:val="001811AA"/>
    <w:rsid w:val="00181360"/>
    <w:rsid w:val="00181367"/>
    <w:rsid w:val="00181554"/>
    <w:rsid w:val="00181690"/>
    <w:rsid w:val="001818F0"/>
    <w:rsid w:val="00181D2D"/>
    <w:rsid w:val="00181F03"/>
    <w:rsid w:val="00181F27"/>
    <w:rsid w:val="0018204D"/>
    <w:rsid w:val="00182095"/>
    <w:rsid w:val="00182108"/>
    <w:rsid w:val="00182275"/>
    <w:rsid w:val="00182524"/>
    <w:rsid w:val="00182581"/>
    <w:rsid w:val="00182763"/>
    <w:rsid w:val="00182889"/>
    <w:rsid w:val="00182979"/>
    <w:rsid w:val="00182A58"/>
    <w:rsid w:val="00182C45"/>
    <w:rsid w:val="00182FEE"/>
    <w:rsid w:val="00183040"/>
    <w:rsid w:val="0018319F"/>
    <w:rsid w:val="00183327"/>
    <w:rsid w:val="001834B9"/>
    <w:rsid w:val="001834FA"/>
    <w:rsid w:val="0018359A"/>
    <w:rsid w:val="00183653"/>
    <w:rsid w:val="00183768"/>
    <w:rsid w:val="00183970"/>
    <w:rsid w:val="00183B8B"/>
    <w:rsid w:val="00183E2E"/>
    <w:rsid w:val="00183F8C"/>
    <w:rsid w:val="00183FA4"/>
    <w:rsid w:val="0018415D"/>
    <w:rsid w:val="00184259"/>
    <w:rsid w:val="001842CD"/>
    <w:rsid w:val="00184339"/>
    <w:rsid w:val="001843ED"/>
    <w:rsid w:val="00184522"/>
    <w:rsid w:val="001845A1"/>
    <w:rsid w:val="001845E5"/>
    <w:rsid w:val="0018466A"/>
    <w:rsid w:val="0018467B"/>
    <w:rsid w:val="00184693"/>
    <w:rsid w:val="00184710"/>
    <w:rsid w:val="00184C37"/>
    <w:rsid w:val="00184C74"/>
    <w:rsid w:val="00184CD1"/>
    <w:rsid w:val="00184CF3"/>
    <w:rsid w:val="00184E6F"/>
    <w:rsid w:val="00184F12"/>
    <w:rsid w:val="00184F78"/>
    <w:rsid w:val="00184FF5"/>
    <w:rsid w:val="00185136"/>
    <w:rsid w:val="001851CC"/>
    <w:rsid w:val="001853D9"/>
    <w:rsid w:val="001857A2"/>
    <w:rsid w:val="00185976"/>
    <w:rsid w:val="00185FBA"/>
    <w:rsid w:val="00186044"/>
    <w:rsid w:val="00186048"/>
    <w:rsid w:val="0018631A"/>
    <w:rsid w:val="001864A1"/>
    <w:rsid w:val="0018652D"/>
    <w:rsid w:val="00186614"/>
    <w:rsid w:val="001868A3"/>
    <w:rsid w:val="001868C8"/>
    <w:rsid w:val="00186941"/>
    <w:rsid w:val="00186B48"/>
    <w:rsid w:val="00186C9B"/>
    <w:rsid w:val="00186D0D"/>
    <w:rsid w:val="00186E7F"/>
    <w:rsid w:val="00186E85"/>
    <w:rsid w:val="00186F9C"/>
    <w:rsid w:val="00187387"/>
    <w:rsid w:val="001873E6"/>
    <w:rsid w:val="001875D4"/>
    <w:rsid w:val="001875EC"/>
    <w:rsid w:val="0018774F"/>
    <w:rsid w:val="00187765"/>
    <w:rsid w:val="001877A2"/>
    <w:rsid w:val="00187986"/>
    <w:rsid w:val="001879C4"/>
    <w:rsid w:val="00187DD3"/>
    <w:rsid w:val="00187EA6"/>
    <w:rsid w:val="001901DB"/>
    <w:rsid w:val="00190233"/>
    <w:rsid w:val="001903A5"/>
    <w:rsid w:val="001904AD"/>
    <w:rsid w:val="0019057C"/>
    <w:rsid w:val="00190672"/>
    <w:rsid w:val="0019068F"/>
    <w:rsid w:val="0019072C"/>
    <w:rsid w:val="0019074D"/>
    <w:rsid w:val="00190B92"/>
    <w:rsid w:val="00190BB9"/>
    <w:rsid w:val="00190CC9"/>
    <w:rsid w:val="00190D89"/>
    <w:rsid w:val="00190EB4"/>
    <w:rsid w:val="00191096"/>
    <w:rsid w:val="00191169"/>
    <w:rsid w:val="00191253"/>
    <w:rsid w:val="00191271"/>
    <w:rsid w:val="00191348"/>
    <w:rsid w:val="0019143C"/>
    <w:rsid w:val="001918BE"/>
    <w:rsid w:val="001918C8"/>
    <w:rsid w:val="001919A6"/>
    <w:rsid w:val="00191A0A"/>
    <w:rsid w:val="00191A14"/>
    <w:rsid w:val="00191A65"/>
    <w:rsid w:val="00191CD6"/>
    <w:rsid w:val="00191D19"/>
    <w:rsid w:val="00191E03"/>
    <w:rsid w:val="00191E1C"/>
    <w:rsid w:val="001922E8"/>
    <w:rsid w:val="001922EB"/>
    <w:rsid w:val="0019233E"/>
    <w:rsid w:val="0019237D"/>
    <w:rsid w:val="00192780"/>
    <w:rsid w:val="001927FA"/>
    <w:rsid w:val="00192840"/>
    <w:rsid w:val="001928ED"/>
    <w:rsid w:val="00192C09"/>
    <w:rsid w:val="00192EDC"/>
    <w:rsid w:val="00193029"/>
    <w:rsid w:val="00193056"/>
    <w:rsid w:val="0019333B"/>
    <w:rsid w:val="0019339C"/>
    <w:rsid w:val="001934EA"/>
    <w:rsid w:val="0019369E"/>
    <w:rsid w:val="001936B9"/>
    <w:rsid w:val="001936C9"/>
    <w:rsid w:val="00193729"/>
    <w:rsid w:val="0019373A"/>
    <w:rsid w:val="001937BE"/>
    <w:rsid w:val="0019386B"/>
    <w:rsid w:val="00193A37"/>
    <w:rsid w:val="00193A55"/>
    <w:rsid w:val="00193C5A"/>
    <w:rsid w:val="00193C83"/>
    <w:rsid w:val="00193CB2"/>
    <w:rsid w:val="00193CDD"/>
    <w:rsid w:val="00194192"/>
    <w:rsid w:val="001941F8"/>
    <w:rsid w:val="0019430A"/>
    <w:rsid w:val="0019435D"/>
    <w:rsid w:val="001943E4"/>
    <w:rsid w:val="00194423"/>
    <w:rsid w:val="0019449E"/>
    <w:rsid w:val="001945F4"/>
    <w:rsid w:val="0019461D"/>
    <w:rsid w:val="00194650"/>
    <w:rsid w:val="00194799"/>
    <w:rsid w:val="001947D4"/>
    <w:rsid w:val="00194B48"/>
    <w:rsid w:val="00194CEB"/>
    <w:rsid w:val="00194DE8"/>
    <w:rsid w:val="00194E0E"/>
    <w:rsid w:val="00194F89"/>
    <w:rsid w:val="001952EE"/>
    <w:rsid w:val="00195323"/>
    <w:rsid w:val="00195408"/>
    <w:rsid w:val="0019548B"/>
    <w:rsid w:val="001955D9"/>
    <w:rsid w:val="001955E6"/>
    <w:rsid w:val="001957CF"/>
    <w:rsid w:val="0019585F"/>
    <w:rsid w:val="0019593B"/>
    <w:rsid w:val="00195966"/>
    <w:rsid w:val="001959C2"/>
    <w:rsid w:val="00195B7F"/>
    <w:rsid w:val="00195E0A"/>
    <w:rsid w:val="00195F4B"/>
    <w:rsid w:val="00195F54"/>
    <w:rsid w:val="00195FA7"/>
    <w:rsid w:val="0019610D"/>
    <w:rsid w:val="00196191"/>
    <w:rsid w:val="001962DD"/>
    <w:rsid w:val="00196317"/>
    <w:rsid w:val="00196397"/>
    <w:rsid w:val="0019641F"/>
    <w:rsid w:val="001964C9"/>
    <w:rsid w:val="00196545"/>
    <w:rsid w:val="001965AA"/>
    <w:rsid w:val="00196771"/>
    <w:rsid w:val="001967F3"/>
    <w:rsid w:val="00196872"/>
    <w:rsid w:val="00196A54"/>
    <w:rsid w:val="00196CBD"/>
    <w:rsid w:val="00196D13"/>
    <w:rsid w:val="00196D84"/>
    <w:rsid w:val="0019701A"/>
    <w:rsid w:val="0019708E"/>
    <w:rsid w:val="00197133"/>
    <w:rsid w:val="00197150"/>
    <w:rsid w:val="00197233"/>
    <w:rsid w:val="00197288"/>
    <w:rsid w:val="00197329"/>
    <w:rsid w:val="0019743D"/>
    <w:rsid w:val="001974D2"/>
    <w:rsid w:val="00197567"/>
    <w:rsid w:val="00197600"/>
    <w:rsid w:val="0019763D"/>
    <w:rsid w:val="00197656"/>
    <w:rsid w:val="001976DE"/>
    <w:rsid w:val="00197724"/>
    <w:rsid w:val="0019776E"/>
    <w:rsid w:val="00197918"/>
    <w:rsid w:val="001979AB"/>
    <w:rsid w:val="00197DB7"/>
    <w:rsid w:val="001A0373"/>
    <w:rsid w:val="001A03A4"/>
    <w:rsid w:val="001A03AD"/>
    <w:rsid w:val="001A0474"/>
    <w:rsid w:val="001A0636"/>
    <w:rsid w:val="001A07F9"/>
    <w:rsid w:val="001A0850"/>
    <w:rsid w:val="001A0983"/>
    <w:rsid w:val="001A0B20"/>
    <w:rsid w:val="001A0BE8"/>
    <w:rsid w:val="001A0CA6"/>
    <w:rsid w:val="001A0CC3"/>
    <w:rsid w:val="001A0D19"/>
    <w:rsid w:val="001A0DAF"/>
    <w:rsid w:val="001A0DE3"/>
    <w:rsid w:val="001A0E68"/>
    <w:rsid w:val="001A0F12"/>
    <w:rsid w:val="001A0F56"/>
    <w:rsid w:val="001A0FEE"/>
    <w:rsid w:val="001A11B9"/>
    <w:rsid w:val="001A13EE"/>
    <w:rsid w:val="001A152E"/>
    <w:rsid w:val="001A15AB"/>
    <w:rsid w:val="001A15C9"/>
    <w:rsid w:val="001A186A"/>
    <w:rsid w:val="001A19FF"/>
    <w:rsid w:val="001A1A7D"/>
    <w:rsid w:val="001A1AC6"/>
    <w:rsid w:val="001A1AFB"/>
    <w:rsid w:val="001A1FC3"/>
    <w:rsid w:val="001A1FD8"/>
    <w:rsid w:val="001A229B"/>
    <w:rsid w:val="001A2485"/>
    <w:rsid w:val="001A24F2"/>
    <w:rsid w:val="001A25B4"/>
    <w:rsid w:val="001A25CD"/>
    <w:rsid w:val="001A2715"/>
    <w:rsid w:val="001A27FC"/>
    <w:rsid w:val="001A283F"/>
    <w:rsid w:val="001A2911"/>
    <w:rsid w:val="001A2947"/>
    <w:rsid w:val="001A2A1F"/>
    <w:rsid w:val="001A2B03"/>
    <w:rsid w:val="001A2B60"/>
    <w:rsid w:val="001A2C08"/>
    <w:rsid w:val="001A2CC5"/>
    <w:rsid w:val="001A2D70"/>
    <w:rsid w:val="001A2E82"/>
    <w:rsid w:val="001A2F4F"/>
    <w:rsid w:val="001A3081"/>
    <w:rsid w:val="001A30F6"/>
    <w:rsid w:val="001A316A"/>
    <w:rsid w:val="001A3259"/>
    <w:rsid w:val="001A32C3"/>
    <w:rsid w:val="001A3491"/>
    <w:rsid w:val="001A34E3"/>
    <w:rsid w:val="001A3607"/>
    <w:rsid w:val="001A3B54"/>
    <w:rsid w:val="001A3B80"/>
    <w:rsid w:val="001A3D80"/>
    <w:rsid w:val="001A3F6A"/>
    <w:rsid w:val="001A4109"/>
    <w:rsid w:val="001A4142"/>
    <w:rsid w:val="001A453F"/>
    <w:rsid w:val="001A45F6"/>
    <w:rsid w:val="001A460D"/>
    <w:rsid w:val="001A47A6"/>
    <w:rsid w:val="001A48A5"/>
    <w:rsid w:val="001A48CB"/>
    <w:rsid w:val="001A4B9E"/>
    <w:rsid w:val="001A4C32"/>
    <w:rsid w:val="001A4E70"/>
    <w:rsid w:val="001A4ECB"/>
    <w:rsid w:val="001A4F1A"/>
    <w:rsid w:val="001A4F24"/>
    <w:rsid w:val="001A4F9C"/>
    <w:rsid w:val="001A51DC"/>
    <w:rsid w:val="001A526C"/>
    <w:rsid w:val="001A542B"/>
    <w:rsid w:val="001A55B1"/>
    <w:rsid w:val="001A55CE"/>
    <w:rsid w:val="001A5620"/>
    <w:rsid w:val="001A5694"/>
    <w:rsid w:val="001A5ABB"/>
    <w:rsid w:val="001A5B0C"/>
    <w:rsid w:val="001A5DD0"/>
    <w:rsid w:val="001A5E9C"/>
    <w:rsid w:val="001A5FBD"/>
    <w:rsid w:val="001A62E2"/>
    <w:rsid w:val="001A62F0"/>
    <w:rsid w:val="001A63A6"/>
    <w:rsid w:val="001A6551"/>
    <w:rsid w:val="001A6679"/>
    <w:rsid w:val="001A66E6"/>
    <w:rsid w:val="001A66EE"/>
    <w:rsid w:val="001A67C2"/>
    <w:rsid w:val="001A67C7"/>
    <w:rsid w:val="001A68B2"/>
    <w:rsid w:val="001A6993"/>
    <w:rsid w:val="001A69D4"/>
    <w:rsid w:val="001A6B07"/>
    <w:rsid w:val="001A6BBE"/>
    <w:rsid w:val="001A6D4C"/>
    <w:rsid w:val="001A6D68"/>
    <w:rsid w:val="001A6F7B"/>
    <w:rsid w:val="001A6FDC"/>
    <w:rsid w:val="001A7120"/>
    <w:rsid w:val="001A71B4"/>
    <w:rsid w:val="001A7219"/>
    <w:rsid w:val="001A72E5"/>
    <w:rsid w:val="001A74C9"/>
    <w:rsid w:val="001A7768"/>
    <w:rsid w:val="001A78B1"/>
    <w:rsid w:val="001A795A"/>
    <w:rsid w:val="001A7B03"/>
    <w:rsid w:val="001A7B52"/>
    <w:rsid w:val="001A7D8E"/>
    <w:rsid w:val="001A7E55"/>
    <w:rsid w:val="001A7F66"/>
    <w:rsid w:val="001A95B4"/>
    <w:rsid w:val="001B0018"/>
    <w:rsid w:val="001B0620"/>
    <w:rsid w:val="001B0663"/>
    <w:rsid w:val="001B0859"/>
    <w:rsid w:val="001B094C"/>
    <w:rsid w:val="001B0B28"/>
    <w:rsid w:val="001B0B9C"/>
    <w:rsid w:val="001B0BEE"/>
    <w:rsid w:val="001B0DFB"/>
    <w:rsid w:val="001B0E21"/>
    <w:rsid w:val="001B0ED4"/>
    <w:rsid w:val="001B10BF"/>
    <w:rsid w:val="001B1169"/>
    <w:rsid w:val="001B15EF"/>
    <w:rsid w:val="001B1603"/>
    <w:rsid w:val="001B162E"/>
    <w:rsid w:val="001B168B"/>
    <w:rsid w:val="001B16F3"/>
    <w:rsid w:val="001B1745"/>
    <w:rsid w:val="001B1751"/>
    <w:rsid w:val="001B1761"/>
    <w:rsid w:val="001B17ED"/>
    <w:rsid w:val="001B18BA"/>
    <w:rsid w:val="001B1902"/>
    <w:rsid w:val="001B1914"/>
    <w:rsid w:val="001B1B69"/>
    <w:rsid w:val="001B1BC6"/>
    <w:rsid w:val="001B1C7F"/>
    <w:rsid w:val="001B1D0F"/>
    <w:rsid w:val="001B1DE1"/>
    <w:rsid w:val="001B1FD7"/>
    <w:rsid w:val="001B210C"/>
    <w:rsid w:val="001B2162"/>
    <w:rsid w:val="001B26A9"/>
    <w:rsid w:val="001B2827"/>
    <w:rsid w:val="001B2929"/>
    <w:rsid w:val="001B29CF"/>
    <w:rsid w:val="001B2C7E"/>
    <w:rsid w:val="001B2E42"/>
    <w:rsid w:val="001B2E5B"/>
    <w:rsid w:val="001B30C1"/>
    <w:rsid w:val="001B33E3"/>
    <w:rsid w:val="001B34E9"/>
    <w:rsid w:val="001B3814"/>
    <w:rsid w:val="001B3903"/>
    <w:rsid w:val="001B395F"/>
    <w:rsid w:val="001B3985"/>
    <w:rsid w:val="001B3BCA"/>
    <w:rsid w:val="001B3E84"/>
    <w:rsid w:val="001B40AF"/>
    <w:rsid w:val="001B40C7"/>
    <w:rsid w:val="001B41C6"/>
    <w:rsid w:val="001B41FA"/>
    <w:rsid w:val="001B42E4"/>
    <w:rsid w:val="001B4359"/>
    <w:rsid w:val="001B438C"/>
    <w:rsid w:val="001B43C1"/>
    <w:rsid w:val="001B444C"/>
    <w:rsid w:val="001B4638"/>
    <w:rsid w:val="001B4664"/>
    <w:rsid w:val="001B4704"/>
    <w:rsid w:val="001B474E"/>
    <w:rsid w:val="001B48D0"/>
    <w:rsid w:val="001B4BBC"/>
    <w:rsid w:val="001B4C24"/>
    <w:rsid w:val="001B4CE3"/>
    <w:rsid w:val="001B4E30"/>
    <w:rsid w:val="001B529D"/>
    <w:rsid w:val="001B540B"/>
    <w:rsid w:val="001B5439"/>
    <w:rsid w:val="001B55E7"/>
    <w:rsid w:val="001B5759"/>
    <w:rsid w:val="001B5818"/>
    <w:rsid w:val="001B5832"/>
    <w:rsid w:val="001B58CE"/>
    <w:rsid w:val="001B58FB"/>
    <w:rsid w:val="001B59EB"/>
    <w:rsid w:val="001B5A90"/>
    <w:rsid w:val="001B5BAB"/>
    <w:rsid w:val="001B5C1A"/>
    <w:rsid w:val="001B604D"/>
    <w:rsid w:val="001B60A9"/>
    <w:rsid w:val="001B60B4"/>
    <w:rsid w:val="001B6374"/>
    <w:rsid w:val="001B660A"/>
    <w:rsid w:val="001B6622"/>
    <w:rsid w:val="001B6684"/>
    <w:rsid w:val="001B68D0"/>
    <w:rsid w:val="001B6A40"/>
    <w:rsid w:val="001B6C65"/>
    <w:rsid w:val="001B6CC0"/>
    <w:rsid w:val="001B6EA1"/>
    <w:rsid w:val="001B71CD"/>
    <w:rsid w:val="001B728D"/>
    <w:rsid w:val="001B7536"/>
    <w:rsid w:val="001B7612"/>
    <w:rsid w:val="001B7647"/>
    <w:rsid w:val="001B77D6"/>
    <w:rsid w:val="001B78E5"/>
    <w:rsid w:val="001B7919"/>
    <w:rsid w:val="001B7981"/>
    <w:rsid w:val="001B7A89"/>
    <w:rsid w:val="001B7B6E"/>
    <w:rsid w:val="001B7BF0"/>
    <w:rsid w:val="001B7C61"/>
    <w:rsid w:val="001B7C9C"/>
    <w:rsid w:val="001B7E45"/>
    <w:rsid w:val="001B7F3C"/>
    <w:rsid w:val="001C000E"/>
    <w:rsid w:val="001C00C4"/>
    <w:rsid w:val="001C01E2"/>
    <w:rsid w:val="001C029D"/>
    <w:rsid w:val="001C02FE"/>
    <w:rsid w:val="001C0413"/>
    <w:rsid w:val="001C045C"/>
    <w:rsid w:val="001C047F"/>
    <w:rsid w:val="001C053B"/>
    <w:rsid w:val="001C0767"/>
    <w:rsid w:val="001C0A2C"/>
    <w:rsid w:val="001C0B8C"/>
    <w:rsid w:val="001C0CE1"/>
    <w:rsid w:val="001C0D67"/>
    <w:rsid w:val="001C0E7A"/>
    <w:rsid w:val="001C0EA7"/>
    <w:rsid w:val="001C0F47"/>
    <w:rsid w:val="001C1033"/>
    <w:rsid w:val="001C1090"/>
    <w:rsid w:val="001C10FF"/>
    <w:rsid w:val="001C11FD"/>
    <w:rsid w:val="001C1290"/>
    <w:rsid w:val="001C1328"/>
    <w:rsid w:val="001C1394"/>
    <w:rsid w:val="001C175E"/>
    <w:rsid w:val="001C177C"/>
    <w:rsid w:val="001C1783"/>
    <w:rsid w:val="001C17D5"/>
    <w:rsid w:val="001C1823"/>
    <w:rsid w:val="001C1AC2"/>
    <w:rsid w:val="001C1AF3"/>
    <w:rsid w:val="001C1D49"/>
    <w:rsid w:val="001C1EDE"/>
    <w:rsid w:val="001C1FB5"/>
    <w:rsid w:val="001C1FD1"/>
    <w:rsid w:val="001C2073"/>
    <w:rsid w:val="001C215A"/>
    <w:rsid w:val="001C2213"/>
    <w:rsid w:val="001C23F3"/>
    <w:rsid w:val="001C2452"/>
    <w:rsid w:val="001C2541"/>
    <w:rsid w:val="001C2623"/>
    <w:rsid w:val="001C266D"/>
    <w:rsid w:val="001C28C5"/>
    <w:rsid w:val="001C2D9D"/>
    <w:rsid w:val="001C2F50"/>
    <w:rsid w:val="001C3189"/>
    <w:rsid w:val="001C3264"/>
    <w:rsid w:val="001C32DA"/>
    <w:rsid w:val="001C359E"/>
    <w:rsid w:val="001C36EE"/>
    <w:rsid w:val="001C3927"/>
    <w:rsid w:val="001C3B7A"/>
    <w:rsid w:val="001C3B8E"/>
    <w:rsid w:val="001C3B91"/>
    <w:rsid w:val="001C3CEB"/>
    <w:rsid w:val="001C4666"/>
    <w:rsid w:val="001C4842"/>
    <w:rsid w:val="001C48FC"/>
    <w:rsid w:val="001C4972"/>
    <w:rsid w:val="001C4BDB"/>
    <w:rsid w:val="001C4C53"/>
    <w:rsid w:val="001C4FA8"/>
    <w:rsid w:val="001C5029"/>
    <w:rsid w:val="001C5051"/>
    <w:rsid w:val="001C5065"/>
    <w:rsid w:val="001C51CB"/>
    <w:rsid w:val="001C53ED"/>
    <w:rsid w:val="001C5552"/>
    <w:rsid w:val="001C5965"/>
    <w:rsid w:val="001C5988"/>
    <w:rsid w:val="001C5A8A"/>
    <w:rsid w:val="001C5C0A"/>
    <w:rsid w:val="001C5C2F"/>
    <w:rsid w:val="001C5DA2"/>
    <w:rsid w:val="001C5EA2"/>
    <w:rsid w:val="001C62A3"/>
    <w:rsid w:val="001C6370"/>
    <w:rsid w:val="001C64EE"/>
    <w:rsid w:val="001C65CE"/>
    <w:rsid w:val="001C66B6"/>
    <w:rsid w:val="001C67A4"/>
    <w:rsid w:val="001C67F3"/>
    <w:rsid w:val="001C69BF"/>
    <w:rsid w:val="001C6A11"/>
    <w:rsid w:val="001C6A70"/>
    <w:rsid w:val="001C6A81"/>
    <w:rsid w:val="001C6AAF"/>
    <w:rsid w:val="001C6AF9"/>
    <w:rsid w:val="001C6BA6"/>
    <w:rsid w:val="001C6BC6"/>
    <w:rsid w:val="001C6C7A"/>
    <w:rsid w:val="001C6C85"/>
    <w:rsid w:val="001C6CB4"/>
    <w:rsid w:val="001C6CB9"/>
    <w:rsid w:val="001C6E61"/>
    <w:rsid w:val="001C700D"/>
    <w:rsid w:val="001C711F"/>
    <w:rsid w:val="001C7264"/>
    <w:rsid w:val="001C747E"/>
    <w:rsid w:val="001C748B"/>
    <w:rsid w:val="001C7571"/>
    <w:rsid w:val="001C75F3"/>
    <w:rsid w:val="001C7784"/>
    <w:rsid w:val="001C7983"/>
    <w:rsid w:val="001C7B90"/>
    <w:rsid w:val="001C7C35"/>
    <w:rsid w:val="001C7C88"/>
    <w:rsid w:val="001C7D7D"/>
    <w:rsid w:val="001C7EA0"/>
    <w:rsid w:val="001C7EB5"/>
    <w:rsid w:val="001C7EBC"/>
    <w:rsid w:val="001C7EBF"/>
    <w:rsid w:val="001D006B"/>
    <w:rsid w:val="001D00AA"/>
    <w:rsid w:val="001D00C6"/>
    <w:rsid w:val="001D014E"/>
    <w:rsid w:val="001D025B"/>
    <w:rsid w:val="001D047D"/>
    <w:rsid w:val="001D04C3"/>
    <w:rsid w:val="001D055D"/>
    <w:rsid w:val="001D07A1"/>
    <w:rsid w:val="001D07BE"/>
    <w:rsid w:val="001D0C4C"/>
    <w:rsid w:val="001D0C58"/>
    <w:rsid w:val="001D0CC4"/>
    <w:rsid w:val="001D0CF0"/>
    <w:rsid w:val="001D0D5A"/>
    <w:rsid w:val="001D0E49"/>
    <w:rsid w:val="001D0EAE"/>
    <w:rsid w:val="001D0F4F"/>
    <w:rsid w:val="001D0FC1"/>
    <w:rsid w:val="001D1050"/>
    <w:rsid w:val="001D107C"/>
    <w:rsid w:val="001D10E2"/>
    <w:rsid w:val="001D11C7"/>
    <w:rsid w:val="001D1453"/>
    <w:rsid w:val="001D14AB"/>
    <w:rsid w:val="001D152D"/>
    <w:rsid w:val="001D1771"/>
    <w:rsid w:val="001D18F6"/>
    <w:rsid w:val="001D1A5C"/>
    <w:rsid w:val="001D1ABB"/>
    <w:rsid w:val="001D1D60"/>
    <w:rsid w:val="001D1E32"/>
    <w:rsid w:val="001D1EAE"/>
    <w:rsid w:val="001D1EEE"/>
    <w:rsid w:val="001D1F30"/>
    <w:rsid w:val="001D1FCC"/>
    <w:rsid w:val="001D20BC"/>
    <w:rsid w:val="001D20C5"/>
    <w:rsid w:val="001D22BA"/>
    <w:rsid w:val="001D28F8"/>
    <w:rsid w:val="001D2AB2"/>
    <w:rsid w:val="001D2E8C"/>
    <w:rsid w:val="001D327E"/>
    <w:rsid w:val="001D3318"/>
    <w:rsid w:val="001D3C3A"/>
    <w:rsid w:val="001D3CB3"/>
    <w:rsid w:val="001D3CE7"/>
    <w:rsid w:val="001D3D22"/>
    <w:rsid w:val="001D3D71"/>
    <w:rsid w:val="001D4026"/>
    <w:rsid w:val="001D40A8"/>
    <w:rsid w:val="001D431A"/>
    <w:rsid w:val="001D43F6"/>
    <w:rsid w:val="001D4424"/>
    <w:rsid w:val="001D4470"/>
    <w:rsid w:val="001D4586"/>
    <w:rsid w:val="001D49C0"/>
    <w:rsid w:val="001D4A2E"/>
    <w:rsid w:val="001D4D1C"/>
    <w:rsid w:val="001D4D73"/>
    <w:rsid w:val="001D4DD0"/>
    <w:rsid w:val="001D4F33"/>
    <w:rsid w:val="001D4FD7"/>
    <w:rsid w:val="001D5175"/>
    <w:rsid w:val="001D51AE"/>
    <w:rsid w:val="001D53B3"/>
    <w:rsid w:val="001D5486"/>
    <w:rsid w:val="001D5540"/>
    <w:rsid w:val="001D5542"/>
    <w:rsid w:val="001D5684"/>
    <w:rsid w:val="001D56AE"/>
    <w:rsid w:val="001D5702"/>
    <w:rsid w:val="001D57F9"/>
    <w:rsid w:val="001D5FB3"/>
    <w:rsid w:val="001D638C"/>
    <w:rsid w:val="001D64D7"/>
    <w:rsid w:val="001D662E"/>
    <w:rsid w:val="001D699D"/>
    <w:rsid w:val="001D6AD3"/>
    <w:rsid w:val="001D6AE4"/>
    <w:rsid w:val="001D6B03"/>
    <w:rsid w:val="001D6B20"/>
    <w:rsid w:val="001D6D54"/>
    <w:rsid w:val="001D6F59"/>
    <w:rsid w:val="001D6F63"/>
    <w:rsid w:val="001D70D6"/>
    <w:rsid w:val="001D721C"/>
    <w:rsid w:val="001D7276"/>
    <w:rsid w:val="001D740C"/>
    <w:rsid w:val="001D746D"/>
    <w:rsid w:val="001D7603"/>
    <w:rsid w:val="001D7A1E"/>
    <w:rsid w:val="001D7C1F"/>
    <w:rsid w:val="001E00BE"/>
    <w:rsid w:val="001E014F"/>
    <w:rsid w:val="001E020E"/>
    <w:rsid w:val="001E0313"/>
    <w:rsid w:val="001E05CF"/>
    <w:rsid w:val="001E06BE"/>
    <w:rsid w:val="001E07C2"/>
    <w:rsid w:val="001E0828"/>
    <w:rsid w:val="001E0960"/>
    <w:rsid w:val="001E099F"/>
    <w:rsid w:val="001E09E8"/>
    <w:rsid w:val="001E0AD7"/>
    <w:rsid w:val="001E0B14"/>
    <w:rsid w:val="001E0C50"/>
    <w:rsid w:val="001E0CEE"/>
    <w:rsid w:val="001E0F9D"/>
    <w:rsid w:val="001E0FA5"/>
    <w:rsid w:val="001E11FF"/>
    <w:rsid w:val="001E12BA"/>
    <w:rsid w:val="001E144E"/>
    <w:rsid w:val="001E14FE"/>
    <w:rsid w:val="001E17C0"/>
    <w:rsid w:val="001E17F9"/>
    <w:rsid w:val="001E1885"/>
    <w:rsid w:val="001E19FE"/>
    <w:rsid w:val="001E1A7C"/>
    <w:rsid w:val="001E1BCF"/>
    <w:rsid w:val="001E1CD8"/>
    <w:rsid w:val="001E1F94"/>
    <w:rsid w:val="001E20B2"/>
    <w:rsid w:val="001E224C"/>
    <w:rsid w:val="001E22F5"/>
    <w:rsid w:val="001E248F"/>
    <w:rsid w:val="001E2771"/>
    <w:rsid w:val="001E281D"/>
    <w:rsid w:val="001E28C1"/>
    <w:rsid w:val="001E2979"/>
    <w:rsid w:val="001E29D7"/>
    <w:rsid w:val="001E2B8C"/>
    <w:rsid w:val="001E2D90"/>
    <w:rsid w:val="001E2F44"/>
    <w:rsid w:val="001E30C2"/>
    <w:rsid w:val="001E3108"/>
    <w:rsid w:val="001E31BD"/>
    <w:rsid w:val="001E3267"/>
    <w:rsid w:val="001E32B6"/>
    <w:rsid w:val="001E357B"/>
    <w:rsid w:val="001E37BC"/>
    <w:rsid w:val="001E3908"/>
    <w:rsid w:val="001E3CFE"/>
    <w:rsid w:val="001E3DB9"/>
    <w:rsid w:val="001E4164"/>
    <w:rsid w:val="001E428F"/>
    <w:rsid w:val="001E4511"/>
    <w:rsid w:val="001E45E3"/>
    <w:rsid w:val="001E4695"/>
    <w:rsid w:val="001E484C"/>
    <w:rsid w:val="001E4B3E"/>
    <w:rsid w:val="001E4D83"/>
    <w:rsid w:val="001E4DBA"/>
    <w:rsid w:val="001E4E04"/>
    <w:rsid w:val="001E4E25"/>
    <w:rsid w:val="001E4EE5"/>
    <w:rsid w:val="001E4F74"/>
    <w:rsid w:val="001E50B4"/>
    <w:rsid w:val="001E51E1"/>
    <w:rsid w:val="001E5233"/>
    <w:rsid w:val="001E5348"/>
    <w:rsid w:val="001E545D"/>
    <w:rsid w:val="001E5554"/>
    <w:rsid w:val="001E5603"/>
    <w:rsid w:val="001E5821"/>
    <w:rsid w:val="001E5906"/>
    <w:rsid w:val="001E5A78"/>
    <w:rsid w:val="001E5B42"/>
    <w:rsid w:val="001E5BB5"/>
    <w:rsid w:val="001E5BD5"/>
    <w:rsid w:val="001E5D8C"/>
    <w:rsid w:val="001E5DD9"/>
    <w:rsid w:val="001E5E67"/>
    <w:rsid w:val="001E60CC"/>
    <w:rsid w:val="001E61B5"/>
    <w:rsid w:val="001E6239"/>
    <w:rsid w:val="001E630D"/>
    <w:rsid w:val="001E6312"/>
    <w:rsid w:val="001E665B"/>
    <w:rsid w:val="001E6712"/>
    <w:rsid w:val="001E67EF"/>
    <w:rsid w:val="001E68CC"/>
    <w:rsid w:val="001E68FC"/>
    <w:rsid w:val="001E69D7"/>
    <w:rsid w:val="001E6B03"/>
    <w:rsid w:val="001E6B49"/>
    <w:rsid w:val="001E6B9D"/>
    <w:rsid w:val="001E6CF3"/>
    <w:rsid w:val="001E6F1C"/>
    <w:rsid w:val="001E6F40"/>
    <w:rsid w:val="001E6F7F"/>
    <w:rsid w:val="001E7020"/>
    <w:rsid w:val="001E7026"/>
    <w:rsid w:val="001E70F5"/>
    <w:rsid w:val="001E7120"/>
    <w:rsid w:val="001E7327"/>
    <w:rsid w:val="001E7426"/>
    <w:rsid w:val="001E7433"/>
    <w:rsid w:val="001E7485"/>
    <w:rsid w:val="001E7525"/>
    <w:rsid w:val="001E756D"/>
    <w:rsid w:val="001E7C4D"/>
    <w:rsid w:val="001E7C5F"/>
    <w:rsid w:val="001E7DD3"/>
    <w:rsid w:val="001E7E23"/>
    <w:rsid w:val="001E7F3C"/>
    <w:rsid w:val="001F0028"/>
    <w:rsid w:val="001F003F"/>
    <w:rsid w:val="001F0079"/>
    <w:rsid w:val="001F0081"/>
    <w:rsid w:val="001F00C0"/>
    <w:rsid w:val="001F03B6"/>
    <w:rsid w:val="001F05BE"/>
    <w:rsid w:val="001F05C1"/>
    <w:rsid w:val="001F0B5D"/>
    <w:rsid w:val="001F0CA6"/>
    <w:rsid w:val="001F0E72"/>
    <w:rsid w:val="001F0EF4"/>
    <w:rsid w:val="001F0F6E"/>
    <w:rsid w:val="001F1023"/>
    <w:rsid w:val="001F10B3"/>
    <w:rsid w:val="001F10B8"/>
    <w:rsid w:val="001F1208"/>
    <w:rsid w:val="001F1267"/>
    <w:rsid w:val="001F1581"/>
    <w:rsid w:val="001F15AE"/>
    <w:rsid w:val="001F18BE"/>
    <w:rsid w:val="001F18DF"/>
    <w:rsid w:val="001F1999"/>
    <w:rsid w:val="001F19F3"/>
    <w:rsid w:val="001F1CEF"/>
    <w:rsid w:val="001F1E34"/>
    <w:rsid w:val="001F1E68"/>
    <w:rsid w:val="001F1EB5"/>
    <w:rsid w:val="001F1F43"/>
    <w:rsid w:val="001F206E"/>
    <w:rsid w:val="001F2258"/>
    <w:rsid w:val="001F2338"/>
    <w:rsid w:val="001F2438"/>
    <w:rsid w:val="001F2851"/>
    <w:rsid w:val="001F2980"/>
    <w:rsid w:val="001F29E9"/>
    <w:rsid w:val="001F2BB5"/>
    <w:rsid w:val="001F2C05"/>
    <w:rsid w:val="001F2D82"/>
    <w:rsid w:val="001F3091"/>
    <w:rsid w:val="001F32A1"/>
    <w:rsid w:val="001F3471"/>
    <w:rsid w:val="001F38CC"/>
    <w:rsid w:val="001F397F"/>
    <w:rsid w:val="001F3EEF"/>
    <w:rsid w:val="001F401D"/>
    <w:rsid w:val="001F403D"/>
    <w:rsid w:val="001F4055"/>
    <w:rsid w:val="001F4088"/>
    <w:rsid w:val="001F4119"/>
    <w:rsid w:val="001F41DF"/>
    <w:rsid w:val="001F41EF"/>
    <w:rsid w:val="001F4357"/>
    <w:rsid w:val="001F4392"/>
    <w:rsid w:val="001F44C5"/>
    <w:rsid w:val="001F44D8"/>
    <w:rsid w:val="001F45F3"/>
    <w:rsid w:val="001F4648"/>
    <w:rsid w:val="001F47CB"/>
    <w:rsid w:val="001F490B"/>
    <w:rsid w:val="001F4A52"/>
    <w:rsid w:val="001F4C15"/>
    <w:rsid w:val="001F4DC9"/>
    <w:rsid w:val="001F4E19"/>
    <w:rsid w:val="001F4E94"/>
    <w:rsid w:val="001F4EE5"/>
    <w:rsid w:val="001F5023"/>
    <w:rsid w:val="001F5087"/>
    <w:rsid w:val="001F5157"/>
    <w:rsid w:val="001F5183"/>
    <w:rsid w:val="001F5385"/>
    <w:rsid w:val="001F5409"/>
    <w:rsid w:val="001F56F5"/>
    <w:rsid w:val="001F579E"/>
    <w:rsid w:val="001F5C51"/>
    <w:rsid w:val="001F5DFE"/>
    <w:rsid w:val="001F5E07"/>
    <w:rsid w:val="001F5F61"/>
    <w:rsid w:val="001F5FA4"/>
    <w:rsid w:val="001F60F3"/>
    <w:rsid w:val="001F6147"/>
    <w:rsid w:val="001F62B9"/>
    <w:rsid w:val="001F6849"/>
    <w:rsid w:val="001F6900"/>
    <w:rsid w:val="001F69B5"/>
    <w:rsid w:val="001F6AFC"/>
    <w:rsid w:val="001F6D66"/>
    <w:rsid w:val="001F6E28"/>
    <w:rsid w:val="001F6E5D"/>
    <w:rsid w:val="001F6E5E"/>
    <w:rsid w:val="001F6E75"/>
    <w:rsid w:val="001F6F30"/>
    <w:rsid w:val="001F6F78"/>
    <w:rsid w:val="001F748E"/>
    <w:rsid w:val="001F7E24"/>
    <w:rsid w:val="001FEC83"/>
    <w:rsid w:val="00200028"/>
    <w:rsid w:val="002000FA"/>
    <w:rsid w:val="00200142"/>
    <w:rsid w:val="00200281"/>
    <w:rsid w:val="00200346"/>
    <w:rsid w:val="00200402"/>
    <w:rsid w:val="0020041C"/>
    <w:rsid w:val="0020050B"/>
    <w:rsid w:val="0020053A"/>
    <w:rsid w:val="002005FD"/>
    <w:rsid w:val="00200659"/>
    <w:rsid w:val="002006D4"/>
    <w:rsid w:val="002007F8"/>
    <w:rsid w:val="00200800"/>
    <w:rsid w:val="00200A86"/>
    <w:rsid w:val="00200AAA"/>
    <w:rsid w:val="00200B92"/>
    <w:rsid w:val="00200C17"/>
    <w:rsid w:val="00200DAD"/>
    <w:rsid w:val="002011FB"/>
    <w:rsid w:val="002017A4"/>
    <w:rsid w:val="00201A6D"/>
    <w:rsid w:val="00201C72"/>
    <w:rsid w:val="00201EB9"/>
    <w:rsid w:val="00202076"/>
    <w:rsid w:val="00202276"/>
    <w:rsid w:val="00202482"/>
    <w:rsid w:val="002025BB"/>
    <w:rsid w:val="002027A4"/>
    <w:rsid w:val="0020293B"/>
    <w:rsid w:val="00202E40"/>
    <w:rsid w:val="00202ED3"/>
    <w:rsid w:val="00203039"/>
    <w:rsid w:val="00203383"/>
    <w:rsid w:val="002035FD"/>
    <w:rsid w:val="002037E2"/>
    <w:rsid w:val="0020385F"/>
    <w:rsid w:val="00203956"/>
    <w:rsid w:val="00203AAD"/>
    <w:rsid w:val="00203B7D"/>
    <w:rsid w:val="00203BE8"/>
    <w:rsid w:val="00203C46"/>
    <w:rsid w:val="00203F0E"/>
    <w:rsid w:val="00203F51"/>
    <w:rsid w:val="00203FBF"/>
    <w:rsid w:val="0020400B"/>
    <w:rsid w:val="00204023"/>
    <w:rsid w:val="00204135"/>
    <w:rsid w:val="00204217"/>
    <w:rsid w:val="00204326"/>
    <w:rsid w:val="002043B0"/>
    <w:rsid w:val="00204652"/>
    <w:rsid w:val="002047D9"/>
    <w:rsid w:val="00204B03"/>
    <w:rsid w:val="00204C66"/>
    <w:rsid w:val="00204CAA"/>
    <w:rsid w:val="00204D65"/>
    <w:rsid w:val="00204E35"/>
    <w:rsid w:val="00204F6D"/>
    <w:rsid w:val="0020551F"/>
    <w:rsid w:val="002055D0"/>
    <w:rsid w:val="002057D5"/>
    <w:rsid w:val="0020587E"/>
    <w:rsid w:val="00205A31"/>
    <w:rsid w:val="00205B38"/>
    <w:rsid w:val="00205B66"/>
    <w:rsid w:val="00205CBF"/>
    <w:rsid w:val="00205FA1"/>
    <w:rsid w:val="0020614A"/>
    <w:rsid w:val="002061D1"/>
    <w:rsid w:val="0020622F"/>
    <w:rsid w:val="00206249"/>
    <w:rsid w:val="00206445"/>
    <w:rsid w:val="00206483"/>
    <w:rsid w:val="002064E5"/>
    <w:rsid w:val="00206620"/>
    <w:rsid w:val="0020670C"/>
    <w:rsid w:val="002068C7"/>
    <w:rsid w:val="002069EB"/>
    <w:rsid w:val="00206C08"/>
    <w:rsid w:val="00206D8E"/>
    <w:rsid w:val="00206F91"/>
    <w:rsid w:val="00206FA6"/>
    <w:rsid w:val="00207033"/>
    <w:rsid w:val="0020709C"/>
    <w:rsid w:val="002070F7"/>
    <w:rsid w:val="0020728A"/>
    <w:rsid w:val="002073C0"/>
    <w:rsid w:val="00207469"/>
    <w:rsid w:val="00207637"/>
    <w:rsid w:val="00207768"/>
    <w:rsid w:val="00207AE7"/>
    <w:rsid w:val="00207B38"/>
    <w:rsid w:val="00207D94"/>
    <w:rsid w:val="0020C192"/>
    <w:rsid w:val="00210097"/>
    <w:rsid w:val="002102F2"/>
    <w:rsid w:val="00210523"/>
    <w:rsid w:val="00210611"/>
    <w:rsid w:val="002107DD"/>
    <w:rsid w:val="00210896"/>
    <w:rsid w:val="00210946"/>
    <w:rsid w:val="002109DB"/>
    <w:rsid w:val="00210B2D"/>
    <w:rsid w:val="00210B34"/>
    <w:rsid w:val="00210C06"/>
    <w:rsid w:val="00211211"/>
    <w:rsid w:val="0021138E"/>
    <w:rsid w:val="0021143C"/>
    <w:rsid w:val="002117A3"/>
    <w:rsid w:val="0021182A"/>
    <w:rsid w:val="00211878"/>
    <w:rsid w:val="0021187C"/>
    <w:rsid w:val="0021196F"/>
    <w:rsid w:val="00211A64"/>
    <w:rsid w:val="00211C4D"/>
    <w:rsid w:val="00211D9E"/>
    <w:rsid w:val="00211E0A"/>
    <w:rsid w:val="002120FB"/>
    <w:rsid w:val="0021235E"/>
    <w:rsid w:val="00212681"/>
    <w:rsid w:val="0021279A"/>
    <w:rsid w:val="002127D2"/>
    <w:rsid w:val="00212841"/>
    <w:rsid w:val="002129B0"/>
    <w:rsid w:val="00212AA4"/>
    <w:rsid w:val="00212C1E"/>
    <w:rsid w:val="00212CDE"/>
    <w:rsid w:val="00212DCF"/>
    <w:rsid w:val="00212EB3"/>
    <w:rsid w:val="002131E0"/>
    <w:rsid w:val="002132BF"/>
    <w:rsid w:val="00213475"/>
    <w:rsid w:val="002134ED"/>
    <w:rsid w:val="002134EE"/>
    <w:rsid w:val="00213712"/>
    <w:rsid w:val="002137A0"/>
    <w:rsid w:val="00213831"/>
    <w:rsid w:val="002138DF"/>
    <w:rsid w:val="002139F0"/>
    <w:rsid w:val="00213C00"/>
    <w:rsid w:val="00213C31"/>
    <w:rsid w:val="00213D02"/>
    <w:rsid w:val="00213D52"/>
    <w:rsid w:val="00213FF5"/>
    <w:rsid w:val="00214061"/>
    <w:rsid w:val="0021416F"/>
    <w:rsid w:val="00214319"/>
    <w:rsid w:val="002145FB"/>
    <w:rsid w:val="00214788"/>
    <w:rsid w:val="002147EE"/>
    <w:rsid w:val="00214ADF"/>
    <w:rsid w:val="00214BA3"/>
    <w:rsid w:val="00214BC4"/>
    <w:rsid w:val="00214C56"/>
    <w:rsid w:val="00214C57"/>
    <w:rsid w:val="002150C4"/>
    <w:rsid w:val="00215116"/>
    <w:rsid w:val="00215315"/>
    <w:rsid w:val="00215470"/>
    <w:rsid w:val="0021563A"/>
    <w:rsid w:val="00215A8C"/>
    <w:rsid w:val="00215EDD"/>
    <w:rsid w:val="002161CE"/>
    <w:rsid w:val="002164A7"/>
    <w:rsid w:val="0021657A"/>
    <w:rsid w:val="002167A6"/>
    <w:rsid w:val="002167BB"/>
    <w:rsid w:val="002169B3"/>
    <w:rsid w:val="00216DA6"/>
    <w:rsid w:val="00216E0E"/>
    <w:rsid w:val="00216EA0"/>
    <w:rsid w:val="00217064"/>
    <w:rsid w:val="002171C8"/>
    <w:rsid w:val="0021723F"/>
    <w:rsid w:val="0021732B"/>
    <w:rsid w:val="002177B5"/>
    <w:rsid w:val="002179B6"/>
    <w:rsid w:val="00217A71"/>
    <w:rsid w:val="00217B3C"/>
    <w:rsid w:val="00217BBE"/>
    <w:rsid w:val="00217CA2"/>
    <w:rsid w:val="00217CC8"/>
    <w:rsid w:val="00217DEA"/>
    <w:rsid w:val="00217EAF"/>
    <w:rsid w:val="00217EC1"/>
    <w:rsid w:val="0022023F"/>
    <w:rsid w:val="002208F3"/>
    <w:rsid w:val="00220A55"/>
    <w:rsid w:val="00220ACD"/>
    <w:rsid w:val="00220C5B"/>
    <w:rsid w:val="00220F91"/>
    <w:rsid w:val="00221223"/>
    <w:rsid w:val="00221247"/>
    <w:rsid w:val="00221278"/>
    <w:rsid w:val="002212CD"/>
    <w:rsid w:val="00221443"/>
    <w:rsid w:val="002214A1"/>
    <w:rsid w:val="0022170E"/>
    <w:rsid w:val="0022185A"/>
    <w:rsid w:val="0022198C"/>
    <w:rsid w:val="00221A95"/>
    <w:rsid w:val="00221AC1"/>
    <w:rsid w:val="00221C25"/>
    <w:rsid w:val="00221C6B"/>
    <w:rsid w:val="00222005"/>
    <w:rsid w:val="00222091"/>
    <w:rsid w:val="0022231A"/>
    <w:rsid w:val="00222405"/>
    <w:rsid w:val="0022265C"/>
    <w:rsid w:val="00222694"/>
    <w:rsid w:val="002226AD"/>
    <w:rsid w:val="00222731"/>
    <w:rsid w:val="00222868"/>
    <w:rsid w:val="0022292F"/>
    <w:rsid w:val="0022293C"/>
    <w:rsid w:val="00222980"/>
    <w:rsid w:val="002229A7"/>
    <w:rsid w:val="002229DC"/>
    <w:rsid w:val="002229DE"/>
    <w:rsid w:val="00222A0D"/>
    <w:rsid w:val="00222B53"/>
    <w:rsid w:val="00222D5A"/>
    <w:rsid w:val="00222FF6"/>
    <w:rsid w:val="0022356A"/>
    <w:rsid w:val="00223575"/>
    <w:rsid w:val="0022360C"/>
    <w:rsid w:val="00223625"/>
    <w:rsid w:val="00223626"/>
    <w:rsid w:val="0022374C"/>
    <w:rsid w:val="002237A2"/>
    <w:rsid w:val="002237CC"/>
    <w:rsid w:val="0022389E"/>
    <w:rsid w:val="002238E3"/>
    <w:rsid w:val="00223B1F"/>
    <w:rsid w:val="00223B53"/>
    <w:rsid w:val="00223CA1"/>
    <w:rsid w:val="00223E26"/>
    <w:rsid w:val="002240E5"/>
    <w:rsid w:val="00224311"/>
    <w:rsid w:val="00224545"/>
    <w:rsid w:val="002246A3"/>
    <w:rsid w:val="00224700"/>
    <w:rsid w:val="002247B2"/>
    <w:rsid w:val="002247C4"/>
    <w:rsid w:val="002248E7"/>
    <w:rsid w:val="002249F5"/>
    <w:rsid w:val="00224ACB"/>
    <w:rsid w:val="00224FE0"/>
    <w:rsid w:val="00225051"/>
    <w:rsid w:val="0022512E"/>
    <w:rsid w:val="0022527D"/>
    <w:rsid w:val="0022537A"/>
    <w:rsid w:val="00225538"/>
    <w:rsid w:val="002255F7"/>
    <w:rsid w:val="00225692"/>
    <w:rsid w:val="0022577A"/>
    <w:rsid w:val="0022591B"/>
    <w:rsid w:val="002259C5"/>
    <w:rsid w:val="00225AA4"/>
    <w:rsid w:val="00225AF8"/>
    <w:rsid w:val="00225EC0"/>
    <w:rsid w:val="00225EC3"/>
    <w:rsid w:val="00225F7F"/>
    <w:rsid w:val="00226049"/>
    <w:rsid w:val="002262D9"/>
    <w:rsid w:val="002263C7"/>
    <w:rsid w:val="0022661B"/>
    <w:rsid w:val="00226738"/>
    <w:rsid w:val="002267D5"/>
    <w:rsid w:val="00226AFA"/>
    <w:rsid w:val="00226D30"/>
    <w:rsid w:val="00226DA5"/>
    <w:rsid w:val="00226E93"/>
    <w:rsid w:val="00226FA4"/>
    <w:rsid w:val="0022704C"/>
    <w:rsid w:val="0022708A"/>
    <w:rsid w:val="0022715D"/>
    <w:rsid w:val="002271BF"/>
    <w:rsid w:val="002271F8"/>
    <w:rsid w:val="00227287"/>
    <w:rsid w:val="002273EE"/>
    <w:rsid w:val="0022762E"/>
    <w:rsid w:val="0022775D"/>
    <w:rsid w:val="00227854"/>
    <w:rsid w:val="002278DE"/>
    <w:rsid w:val="00227D62"/>
    <w:rsid w:val="00227D82"/>
    <w:rsid w:val="00227F54"/>
    <w:rsid w:val="00230029"/>
    <w:rsid w:val="002301F8"/>
    <w:rsid w:val="002303F7"/>
    <w:rsid w:val="0023060A"/>
    <w:rsid w:val="0023068F"/>
    <w:rsid w:val="0023070C"/>
    <w:rsid w:val="00230730"/>
    <w:rsid w:val="002308B8"/>
    <w:rsid w:val="002308D7"/>
    <w:rsid w:val="00230D43"/>
    <w:rsid w:val="00230F80"/>
    <w:rsid w:val="00230FD8"/>
    <w:rsid w:val="002310CC"/>
    <w:rsid w:val="00231129"/>
    <w:rsid w:val="002311F7"/>
    <w:rsid w:val="00231317"/>
    <w:rsid w:val="002315E3"/>
    <w:rsid w:val="002315EE"/>
    <w:rsid w:val="002315F4"/>
    <w:rsid w:val="002315FD"/>
    <w:rsid w:val="002316C2"/>
    <w:rsid w:val="00231737"/>
    <w:rsid w:val="0023189F"/>
    <w:rsid w:val="00231A09"/>
    <w:rsid w:val="00231B60"/>
    <w:rsid w:val="00231D45"/>
    <w:rsid w:val="00231F97"/>
    <w:rsid w:val="00232030"/>
    <w:rsid w:val="002321B1"/>
    <w:rsid w:val="002321CC"/>
    <w:rsid w:val="002321EA"/>
    <w:rsid w:val="0023237A"/>
    <w:rsid w:val="002323E0"/>
    <w:rsid w:val="00232444"/>
    <w:rsid w:val="002324D3"/>
    <w:rsid w:val="00232D29"/>
    <w:rsid w:val="00232E32"/>
    <w:rsid w:val="00232F18"/>
    <w:rsid w:val="00232F8D"/>
    <w:rsid w:val="002331E6"/>
    <w:rsid w:val="002331E8"/>
    <w:rsid w:val="00233389"/>
    <w:rsid w:val="002334F5"/>
    <w:rsid w:val="00233509"/>
    <w:rsid w:val="002336D7"/>
    <w:rsid w:val="00233820"/>
    <w:rsid w:val="002339B7"/>
    <w:rsid w:val="00233E04"/>
    <w:rsid w:val="00233E31"/>
    <w:rsid w:val="0023413F"/>
    <w:rsid w:val="002348BC"/>
    <w:rsid w:val="00234BE9"/>
    <w:rsid w:val="00234C07"/>
    <w:rsid w:val="00234D17"/>
    <w:rsid w:val="00234D1E"/>
    <w:rsid w:val="00234F5C"/>
    <w:rsid w:val="0023504D"/>
    <w:rsid w:val="00235079"/>
    <w:rsid w:val="0023509C"/>
    <w:rsid w:val="002350F4"/>
    <w:rsid w:val="002351BC"/>
    <w:rsid w:val="002351DC"/>
    <w:rsid w:val="00235265"/>
    <w:rsid w:val="002353BC"/>
    <w:rsid w:val="002353D4"/>
    <w:rsid w:val="0023541E"/>
    <w:rsid w:val="002354D6"/>
    <w:rsid w:val="00235502"/>
    <w:rsid w:val="00235506"/>
    <w:rsid w:val="00235908"/>
    <w:rsid w:val="002359EB"/>
    <w:rsid w:val="00235A41"/>
    <w:rsid w:val="00235C64"/>
    <w:rsid w:val="00235DE0"/>
    <w:rsid w:val="00235EEA"/>
    <w:rsid w:val="00235EFD"/>
    <w:rsid w:val="0023603F"/>
    <w:rsid w:val="002360E9"/>
    <w:rsid w:val="0023637C"/>
    <w:rsid w:val="00236658"/>
    <w:rsid w:val="0023666F"/>
    <w:rsid w:val="00236783"/>
    <w:rsid w:val="0023682F"/>
    <w:rsid w:val="00236843"/>
    <w:rsid w:val="00236A7E"/>
    <w:rsid w:val="00236C4C"/>
    <w:rsid w:val="00236D8E"/>
    <w:rsid w:val="002370E0"/>
    <w:rsid w:val="0023718F"/>
    <w:rsid w:val="002372B2"/>
    <w:rsid w:val="00237392"/>
    <w:rsid w:val="002376CA"/>
    <w:rsid w:val="00237B21"/>
    <w:rsid w:val="00237B8A"/>
    <w:rsid w:val="00237F49"/>
    <w:rsid w:val="00240069"/>
    <w:rsid w:val="00240526"/>
    <w:rsid w:val="0024053E"/>
    <w:rsid w:val="00240617"/>
    <w:rsid w:val="0024061C"/>
    <w:rsid w:val="0024066C"/>
    <w:rsid w:val="0024070A"/>
    <w:rsid w:val="00240711"/>
    <w:rsid w:val="00240883"/>
    <w:rsid w:val="002408B0"/>
    <w:rsid w:val="002408EA"/>
    <w:rsid w:val="0024091E"/>
    <w:rsid w:val="00240C28"/>
    <w:rsid w:val="00240C5A"/>
    <w:rsid w:val="00240E6A"/>
    <w:rsid w:val="00240E97"/>
    <w:rsid w:val="00240F22"/>
    <w:rsid w:val="0024103D"/>
    <w:rsid w:val="00241365"/>
    <w:rsid w:val="00241370"/>
    <w:rsid w:val="00241398"/>
    <w:rsid w:val="002414B9"/>
    <w:rsid w:val="00241599"/>
    <w:rsid w:val="0024167F"/>
    <w:rsid w:val="002416B9"/>
    <w:rsid w:val="0024189B"/>
    <w:rsid w:val="00241905"/>
    <w:rsid w:val="00241960"/>
    <w:rsid w:val="002419C9"/>
    <w:rsid w:val="00241A5B"/>
    <w:rsid w:val="00241A9D"/>
    <w:rsid w:val="00241AB2"/>
    <w:rsid w:val="00241C38"/>
    <w:rsid w:val="0024210E"/>
    <w:rsid w:val="0024227A"/>
    <w:rsid w:val="0024262B"/>
    <w:rsid w:val="002427A7"/>
    <w:rsid w:val="00242A82"/>
    <w:rsid w:val="00242A99"/>
    <w:rsid w:val="00242C1B"/>
    <w:rsid w:val="00242D65"/>
    <w:rsid w:val="00242FA9"/>
    <w:rsid w:val="002430C6"/>
    <w:rsid w:val="00243152"/>
    <w:rsid w:val="0024320B"/>
    <w:rsid w:val="00243639"/>
    <w:rsid w:val="00243886"/>
    <w:rsid w:val="002438FD"/>
    <w:rsid w:val="00243AC4"/>
    <w:rsid w:val="00243BEF"/>
    <w:rsid w:val="00243C96"/>
    <w:rsid w:val="00243DB9"/>
    <w:rsid w:val="00243DE9"/>
    <w:rsid w:val="00243DED"/>
    <w:rsid w:val="00243E1E"/>
    <w:rsid w:val="00243E6C"/>
    <w:rsid w:val="00243EBD"/>
    <w:rsid w:val="00243F9E"/>
    <w:rsid w:val="0024407E"/>
    <w:rsid w:val="00244092"/>
    <w:rsid w:val="002442B2"/>
    <w:rsid w:val="00244332"/>
    <w:rsid w:val="00244414"/>
    <w:rsid w:val="00244539"/>
    <w:rsid w:val="00244A80"/>
    <w:rsid w:val="00244C41"/>
    <w:rsid w:val="00244CD5"/>
    <w:rsid w:val="00244F67"/>
    <w:rsid w:val="00244FC3"/>
    <w:rsid w:val="00245066"/>
    <w:rsid w:val="002452F9"/>
    <w:rsid w:val="00245820"/>
    <w:rsid w:val="00245BB7"/>
    <w:rsid w:val="00245C26"/>
    <w:rsid w:val="00245D63"/>
    <w:rsid w:val="00245DA6"/>
    <w:rsid w:val="002461B5"/>
    <w:rsid w:val="0024627E"/>
    <w:rsid w:val="00246350"/>
    <w:rsid w:val="00246358"/>
    <w:rsid w:val="00246439"/>
    <w:rsid w:val="0024660C"/>
    <w:rsid w:val="002468A5"/>
    <w:rsid w:val="00246A2D"/>
    <w:rsid w:val="00246A84"/>
    <w:rsid w:val="00246B1E"/>
    <w:rsid w:val="00246D44"/>
    <w:rsid w:val="0024700B"/>
    <w:rsid w:val="00247188"/>
    <w:rsid w:val="002471AB"/>
    <w:rsid w:val="0024732B"/>
    <w:rsid w:val="002473B5"/>
    <w:rsid w:val="002473E4"/>
    <w:rsid w:val="002473F7"/>
    <w:rsid w:val="00247788"/>
    <w:rsid w:val="00247924"/>
    <w:rsid w:val="00247A22"/>
    <w:rsid w:val="00247B83"/>
    <w:rsid w:val="00247F51"/>
    <w:rsid w:val="0024D9E8"/>
    <w:rsid w:val="00250077"/>
    <w:rsid w:val="00250238"/>
    <w:rsid w:val="00250287"/>
    <w:rsid w:val="0025030B"/>
    <w:rsid w:val="0025039B"/>
    <w:rsid w:val="0025049D"/>
    <w:rsid w:val="002504F5"/>
    <w:rsid w:val="00250515"/>
    <w:rsid w:val="002507C4"/>
    <w:rsid w:val="00250B93"/>
    <w:rsid w:val="00250D06"/>
    <w:rsid w:val="00250DB4"/>
    <w:rsid w:val="00250F0E"/>
    <w:rsid w:val="00251148"/>
    <w:rsid w:val="002512B8"/>
    <w:rsid w:val="002513EB"/>
    <w:rsid w:val="00251436"/>
    <w:rsid w:val="00251793"/>
    <w:rsid w:val="002518C3"/>
    <w:rsid w:val="002519D2"/>
    <w:rsid w:val="00251A4F"/>
    <w:rsid w:val="00251CCD"/>
    <w:rsid w:val="00251DDE"/>
    <w:rsid w:val="00251E1F"/>
    <w:rsid w:val="00251E7F"/>
    <w:rsid w:val="00251F7B"/>
    <w:rsid w:val="00251FAD"/>
    <w:rsid w:val="00252035"/>
    <w:rsid w:val="0025205C"/>
    <w:rsid w:val="00252062"/>
    <w:rsid w:val="0025209F"/>
    <w:rsid w:val="002522BE"/>
    <w:rsid w:val="002523D0"/>
    <w:rsid w:val="002524E9"/>
    <w:rsid w:val="002527D8"/>
    <w:rsid w:val="00252822"/>
    <w:rsid w:val="00252847"/>
    <w:rsid w:val="002528DA"/>
    <w:rsid w:val="0025293E"/>
    <w:rsid w:val="00252943"/>
    <w:rsid w:val="00252E4B"/>
    <w:rsid w:val="00252E4F"/>
    <w:rsid w:val="00252E8F"/>
    <w:rsid w:val="00252F75"/>
    <w:rsid w:val="00253509"/>
    <w:rsid w:val="00253648"/>
    <w:rsid w:val="00253683"/>
    <w:rsid w:val="002536B4"/>
    <w:rsid w:val="0025377E"/>
    <w:rsid w:val="0025378C"/>
    <w:rsid w:val="00253889"/>
    <w:rsid w:val="002539EE"/>
    <w:rsid w:val="00253E2B"/>
    <w:rsid w:val="00253E7F"/>
    <w:rsid w:val="002540E0"/>
    <w:rsid w:val="002542E9"/>
    <w:rsid w:val="002543A6"/>
    <w:rsid w:val="00254548"/>
    <w:rsid w:val="00254608"/>
    <w:rsid w:val="0025463C"/>
    <w:rsid w:val="00254689"/>
    <w:rsid w:val="00254704"/>
    <w:rsid w:val="0025470B"/>
    <w:rsid w:val="00254836"/>
    <w:rsid w:val="0025483C"/>
    <w:rsid w:val="00254B0C"/>
    <w:rsid w:val="00254C38"/>
    <w:rsid w:val="00255093"/>
    <w:rsid w:val="002550BE"/>
    <w:rsid w:val="00255185"/>
    <w:rsid w:val="0025531A"/>
    <w:rsid w:val="002553CC"/>
    <w:rsid w:val="00255444"/>
    <w:rsid w:val="00255534"/>
    <w:rsid w:val="002558BB"/>
    <w:rsid w:val="00255B1E"/>
    <w:rsid w:val="00255B86"/>
    <w:rsid w:val="00255F27"/>
    <w:rsid w:val="0025601C"/>
    <w:rsid w:val="00256196"/>
    <w:rsid w:val="00256381"/>
    <w:rsid w:val="002564F9"/>
    <w:rsid w:val="002566D5"/>
    <w:rsid w:val="0025686D"/>
    <w:rsid w:val="00256A68"/>
    <w:rsid w:val="00256BF4"/>
    <w:rsid w:val="00256C6D"/>
    <w:rsid w:val="00256D9F"/>
    <w:rsid w:val="00256FDA"/>
    <w:rsid w:val="0025700F"/>
    <w:rsid w:val="00257162"/>
    <w:rsid w:val="00257524"/>
    <w:rsid w:val="002579CD"/>
    <w:rsid w:val="00257AF6"/>
    <w:rsid w:val="00257BEE"/>
    <w:rsid w:val="00257C33"/>
    <w:rsid w:val="00257FB1"/>
    <w:rsid w:val="0026072B"/>
    <w:rsid w:val="0026089E"/>
    <w:rsid w:val="0026097A"/>
    <w:rsid w:val="00260A6E"/>
    <w:rsid w:val="00260AF5"/>
    <w:rsid w:val="00260C5D"/>
    <w:rsid w:val="00260F63"/>
    <w:rsid w:val="002611E9"/>
    <w:rsid w:val="00261213"/>
    <w:rsid w:val="002613FC"/>
    <w:rsid w:val="0026142B"/>
    <w:rsid w:val="00261482"/>
    <w:rsid w:val="0026157D"/>
    <w:rsid w:val="00261722"/>
    <w:rsid w:val="002617B6"/>
    <w:rsid w:val="0026181C"/>
    <w:rsid w:val="002619AB"/>
    <w:rsid w:val="00261F10"/>
    <w:rsid w:val="0026215E"/>
    <w:rsid w:val="002621ED"/>
    <w:rsid w:val="002622ED"/>
    <w:rsid w:val="002627A0"/>
    <w:rsid w:val="00262BBB"/>
    <w:rsid w:val="00262F04"/>
    <w:rsid w:val="002631B5"/>
    <w:rsid w:val="002631CD"/>
    <w:rsid w:val="002632DB"/>
    <w:rsid w:val="00263316"/>
    <w:rsid w:val="002633C0"/>
    <w:rsid w:val="00263626"/>
    <w:rsid w:val="002636DE"/>
    <w:rsid w:val="002636E7"/>
    <w:rsid w:val="00263702"/>
    <w:rsid w:val="0026375C"/>
    <w:rsid w:val="0026386C"/>
    <w:rsid w:val="002638A0"/>
    <w:rsid w:val="00263979"/>
    <w:rsid w:val="00263A14"/>
    <w:rsid w:val="00263C6B"/>
    <w:rsid w:val="00263ECE"/>
    <w:rsid w:val="002640B9"/>
    <w:rsid w:val="00264247"/>
    <w:rsid w:val="002642C5"/>
    <w:rsid w:val="0026435E"/>
    <w:rsid w:val="00264370"/>
    <w:rsid w:val="002643FB"/>
    <w:rsid w:val="00264498"/>
    <w:rsid w:val="00264734"/>
    <w:rsid w:val="00264833"/>
    <w:rsid w:val="00264DB5"/>
    <w:rsid w:val="00264FF3"/>
    <w:rsid w:val="00265084"/>
    <w:rsid w:val="00265117"/>
    <w:rsid w:val="00265185"/>
    <w:rsid w:val="0026527E"/>
    <w:rsid w:val="0026533B"/>
    <w:rsid w:val="002653AE"/>
    <w:rsid w:val="002653E0"/>
    <w:rsid w:val="0026540C"/>
    <w:rsid w:val="002654CB"/>
    <w:rsid w:val="002655F8"/>
    <w:rsid w:val="002656D0"/>
    <w:rsid w:val="002657DD"/>
    <w:rsid w:val="002658D9"/>
    <w:rsid w:val="00265908"/>
    <w:rsid w:val="00265910"/>
    <w:rsid w:val="00265995"/>
    <w:rsid w:val="002659C0"/>
    <w:rsid w:val="002659E1"/>
    <w:rsid w:val="002659EE"/>
    <w:rsid w:val="00265A91"/>
    <w:rsid w:val="00265B99"/>
    <w:rsid w:val="00265C04"/>
    <w:rsid w:val="00265C47"/>
    <w:rsid w:val="00265CB9"/>
    <w:rsid w:val="00265DA0"/>
    <w:rsid w:val="00265DDE"/>
    <w:rsid w:val="00265F04"/>
    <w:rsid w:val="002663CA"/>
    <w:rsid w:val="00266597"/>
    <w:rsid w:val="00266727"/>
    <w:rsid w:val="0026682F"/>
    <w:rsid w:val="0026696C"/>
    <w:rsid w:val="00266A17"/>
    <w:rsid w:val="00266AD3"/>
    <w:rsid w:val="00266B08"/>
    <w:rsid w:val="00266E49"/>
    <w:rsid w:val="0026704B"/>
    <w:rsid w:val="00267493"/>
    <w:rsid w:val="00267574"/>
    <w:rsid w:val="002675B9"/>
    <w:rsid w:val="002676DA"/>
    <w:rsid w:val="00267787"/>
    <w:rsid w:val="00267981"/>
    <w:rsid w:val="00267AF3"/>
    <w:rsid w:val="00267B1F"/>
    <w:rsid w:val="00267B37"/>
    <w:rsid w:val="00267D0C"/>
    <w:rsid w:val="00267D85"/>
    <w:rsid w:val="00267DD9"/>
    <w:rsid w:val="00267F52"/>
    <w:rsid w:val="00267F6F"/>
    <w:rsid w:val="0026F9E3"/>
    <w:rsid w:val="00270017"/>
    <w:rsid w:val="00270150"/>
    <w:rsid w:val="002702BF"/>
    <w:rsid w:val="002702CB"/>
    <w:rsid w:val="0027047F"/>
    <w:rsid w:val="0027056F"/>
    <w:rsid w:val="00270705"/>
    <w:rsid w:val="00270769"/>
    <w:rsid w:val="0027076F"/>
    <w:rsid w:val="002707D7"/>
    <w:rsid w:val="00270C68"/>
    <w:rsid w:val="00270CFF"/>
    <w:rsid w:val="00270D0F"/>
    <w:rsid w:val="00270D22"/>
    <w:rsid w:val="00270E5C"/>
    <w:rsid w:val="0027127C"/>
    <w:rsid w:val="0027148B"/>
    <w:rsid w:val="0027156D"/>
    <w:rsid w:val="002715E0"/>
    <w:rsid w:val="00271690"/>
    <w:rsid w:val="002717AB"/>
    <w:rsid w:val="0027189D"/>
    <w:rsid w:val="00271AB0"/>
    <w:rsid w:val="00271BAC"/>
    <w:rsid w:val="00271CF0"/>
    <w:rsid w:val="00272167"/>
    <w:rsid w:val="002722A2"/>
    <w:rsid w:val="0027288C"/>
    <w:rsid w:val="00272932"/>
    <w:rsid w:val="00272B1C"/>
    <w:rsid w:val="00272CA1"/>
    <w:rsid w:val="00272F67"/>
    <w:rsid w:val="002734B0"/>
    <w:rsid w:val="0027356F"/>
    <w:rsid w:val="00273666"/>
    <w:rsid w:val="002736AC"/>
    <w:rsid w:val="002736F1"/>
    <w:rsid w:val="00273896"/>
    <w:rsid w:val="00273904"/>
    <w:rsid w:val="0027390C"/>
    <w:rsid w:val="00273928"/>
    <w:rsid w:val="0027392F"/>
    <w:rsid w:val="00273B1A"/>
    <w:rsid w:val="00273B9A"/>
    <w:rsid w:val="00273C0B"/>
    <w:rsid w:val="00273C34"/>
    <w:rsid w:val="00273D9F"/>
    <w:rsid w:val="00273EC4"/>
    <w:rsid w:val="00274010"/>
    <w:rsid w:val="002741AC"/>
    <w:rsid w:val="0027423C"/>
    <w:rsid w:val="002742A2"/>
    <w:rsid w:val="0027434C"/>
    <w:rsid w:val="00274480"/>
    <w:rsid w:val="002744F5"/>
    <w:rsid w:val="002746D3"/>
    <w:rsid w:val="002746E0"/>
    <w:rsid w:val="002747C9"/>
    <w:rsid w:val="002747E9"/>
    <w:rsid w:val="00274B7C"/>
    <w:rsid w:val="00274BBB"/>
    <w:rsid w:val="00274C47"/>
    <w:rsid w:val="00274C62"/>
    <w:rsid w:val="00274D73"/>
    <w:rsid w:val="00274DF2"/>
    <w:rsid w:val="00274F60"/>
    <w:rsid w:val="00274FCB"/>
    <w:rsid w:val="0027509F"/>
    <w:rsid w:val="0027519B"/>
    <w:rsid w:val="002752C9"/>
    <w:rsid w:val="00275371"/>
    <w:rsid w:val="002753D4"/>
    <w:rsid w:val="00275496"/>
    <w:rsid w:val="002756BF"/>
    <w:rsid w:val="00275BBD"/>
    <w:rsid w:val="00275C5F"/>
    <w:rsid w:val="00275D66"/>
    <w:rsid w:val="00275DEE"/>
    <w:rsid w:val="00275FE4"/>
    <w:rsid w:val="0027602F"/>
    <w:rsid w:val="0027619C"/>
    <w:rsid w:val="002762E4"/>
    <w:rsid w:val="002762EB"/>
    <w:rsid w:val="002764EF"/>
    <w:rsid w:val="002766CD"/>
    <w:rsid w:val="00276739"/>
    <w:rsid w:val="00276927"/>
    <w:rsid w:val="0027697A"/>
    <w:rsid w:val="00276A0A"/>
    <w:rsid w:val="00276A61"/>
    <w:rsid w:val="00276B4D"/>
    <w:rsid w:val="00276C2F"/>
    <w:rsid w:val="00276CD5"/>
    <w:rsid w:val="00276DC1"/>
    <w:rsid w:val="00277271"/>
    <w:rsid w:val="002773EB"/>
    <w:rsid w:val="00277654"/>
    <w:rsid w:val="0027765A"/>
    <w:rsid w:val="002779B5"/>
    <w:rsid w:val="002779FE"/>
    <w:rsid w:val="00277B07"/>
    <w:rsid w:val="00277B6F"/>
    <w:rsid w:val="00277C4A"/>
    <w:rsid w:val="00277E4E"/>
    <w:rsid w:val="00277E81"/>
    <w:rsid w:val="00277F56"/>
    <w:rsid w:val="00280031"/>
    <w:rsid w:val="002800D9"/>
    <w:rsid w:val="00280492"/>
    <w:rsid w:val="0028059B"/>
    <w:rsid w:val="00280774"/>
    <w:rsid w:val="0028096A"/>
    <w:rsid w:val="00280CF2"/>
    <w:rsid w:val="00280D76"/>
    <w:rsid w:val="00280DEB"/>
    <w:rsid w:val="00280FCF"/>
    <w:rsid w:val="00281012"/>
    <w:rsid w:val="0028108D"/>
    <w:rsid w:val="002810D1"/>
    <w:rsid w:val="00281114"/>
    <w:rsid w:val="002815BA"/>
    <w:rsid w:val="00281B46"/>
    <w:rsid w:val="00281D69"/>
    <w:rsid w:val="00281DDF"/>
    <w:rsid w:val="00281DE7"/>
    <w:rsid w:val="00281EB2"/>
    <w:rsid w:val="00281EF5"/>
    <w:rsid w:val="00282013"/>
    <w:rsid w:val="0028249A"/>
    <w:rsid w:val="00282520"/>
    <w:rsid w:val="00282526"/>
    <w:rsid w:val="002827EE"/>
    <w:rsid w:val="00282810"/>
    <w:rsid w:val="00282972"/>
    <w:rsid w:val="00282D49"/>
    <w:rsid w:val="00282DE2"/>
    <w:rsid w:val="00282F43"/>
    <w:rsid w:val="00282FD0"/>
    <w:rsid w:val="0028302B"/>
    <w:rsid w:val="0028329D"/>
    <w:rsid w:val="002835FC"/>
    <w:rsid w:val="002837B8"/>
    <w:rsid w:val="0028384C"/>
    <w:rsid w:val="00283886"/>
    <w:rsid w:val="002838AE"/>
    <w:rsid w:val="00283C25"/>
    <w:rsid w:val="00283F58"/>
    <w:rsid w:val="00284253"/>
    <w:rsid w:val="0028429E"/>
    <w:rsid w:val="00284341"/>
    <w:rsid w:val="0028458B"/>
    <w:rsid w:val="00284840"/>
    <w:rsid w:val="00284C3D"/>
    <w:rsid w:val="00284CA7"/>
    <w:rsid w:val="0028519A"/>
    <w:rsid w:val="0028546C"/>
    <w:rsid w:val="002854C7"/>
    <w:rsid w:val="0028562D"/>
    <w:rsid w:val="0028565F"/>
    <w:rsid w:val="002857C5"/>
    <w:rsid w:val="002858B4"/>
    <w:rsid w:val="00285BE1"/>
    <w:rsid w:val="00285CA4"/>
    <w:rsid w:val="00285D93"/>
    <w:rsid w:val="00285E70"/>
    <w:rsid w:val="0028659E"/>
    <w:rsid w:val="0028660F"/>
    <w:rsid w:val="0028677B"/>
    <w:rsid w:val="00286828"/>
    <w:rsid w:val="0028689F"/>
    <w:rsid w:val="00286967"/>
    <w:rsid w:val="00286ADC"/>
    <w:rsid w:val="00286C6C"/>
    <w:rsid w:val="00286C91"/>
    <w:rsid w:val="00286E04"/>
    <w:rsid w:val="0028733E"/>
    <w:rsid w:val="0028751E"/>
    <w:rsid w:val="0028768F"/>
    <w:rsid w:val="002877C9"/>
    <w:rsid w:val="002878E7"/>
    <w:rsid w:val="0028792A"/>
    <w:rsid w:val="002879A8"/>
    <w:rsid w:val="00287A6E"/>
    <w:rsid w:val="00287D0B"/>
    <w:rsid w:val="00287E68"/>
    <w:rsid w:val="00287EF3"/>
    <w:rsid w:val="00287F09"/>
    <w:rsid w:val="0029053D"/>
    <w:rsid w:val="00290558"/>
    <w:rsid w:val="002906F2"/>
    <w:rsid w:val="002908CD"/>
    <w:rsid w:val="002909AC"/>
    <w:rsid w:val="00290BB0"/>
    <w:rsid w:val="00290DDB"/>
    <w:rsid w:val="00290E1C"/>
    <w:rsid w:val="00290E50"/>
    <w:rsid w:val="00290E90"/>
    <w:rsid w:val="0029108B"/>
    <w:rsid w:val="002911C3"/>
    <w:rsid w:val="002912A0"/>
    <w:rsid w:val="00291379"/>
    <w:rsid w:val="00291511"/>
    <w:rsid w:val="00291673"/>
    <w:rsid w:val="002919AC"/>
    <w:rsid w:val="00291B56"/>
    <w:rsid w:val="00291B57"/>
    <w:rsid w:val="00291C5F"/>
    <w:rsid w:val="00291C9B"/>
    <w:rsid w:val="00291E7E"/>
    <w:rsid w:val="00292126"/>
    <w:rsid w:val="00292436"/>
    <w:rsid w:val="002926E5"/>
    <w:rsid w:val="0029282E"/>
    <w:rsid w:val="002929D0"/>
    <w:rsid w:val="00292A0E"/>
    <w:rsid w:val="00292ABB"/>
    <w:rsid w:val="00292BC9"/>
    <w:rsid w:val="00292C13"/>
    <w:rsid w:val="00292DA2"/>
    <w:rsid w:val="0029312C"/>
    <w:rsid w:val="00293157"/>
    <w:rsid w:val="0029323D"/>
    <w:rsid w:val="0029327D"/>
    <w:rsid w:val="0029333A"/>
    <w:rsid w:val="002934A6"/>
    <w:rsid w:val="00293619"/>
    <w:rsid w:val="002936A8"/>
    <w:rsid w:val="002936B6"/>
    <w:rsid w:val="002936F7"/>
    <w:rsid w:val="002937B5"/>
    <w:rsid w:val="0029387C"/>
    <w:rsid w:val="00293995"/>
    <w:rsid w:val="00293BCC"/>
    <w:rsid w:val="00293C2F"/>
    <w:rsid w:val="00293D13"/>
    <w:rsid w:val="00293D2F"/>
    <w:rsid w:val="0029417E"/>
    <w:rsid w:val="00294735"/>
    <w:rsid w:val="00294797"/>
    <w:rsid w:val="00294865"/>
    <w:rsid w:val="00294920"/>
    <w:rsid w:val="002949BC"/>
    <w:rsid w:val="00294A23"/>
    <w:rsid w:val="00294BE2"/>
    <w:rsid w:val="00294E33"/>
    <w:rsid w:val="00294F3E"/>
    <w:rsid w:val="00294F41"/>
    <w:rsid w:val="0029507D"/>
    <w:rsid w:val="00295103"/>
    <w:rsid w:val="0029513A"/>
    <w:rsid w:val="00295170"/>
    <w:rsid w:val="0029525C"/>
    <w:rsid w:val="0029537A"/>
    <w:rsid w:val="00295422"/>
    <w:rsid w:val="0029555F"/>
    <w:rsid w:val="002955C6"/>
    <w:rsid w:val="002955D1"/>
    <w:rsid w:val="00295660"/>
    <w:rsid w:val="00295671"/>
    <w:rsid w:val="002956CA"/>
    <w:rsid w:val="002956E5"/>
    <w:rsid w:val="00295C13"/>
    <w:rsid w:val="00295CF7"/>
    <w:rsid w:val="00296051"/>
    <w:rsid w:val="00296059"/>
    <w:rsid w:val="00296120"/>
    <w:rsid w:val="002963C2"/>
    <w:rsid w:val="002964DC"/>
    <w:rsid w:val="00296799"/>
    <w:rsid w:val="00296912"/>
    <w:rsid w:val="0029691F"/>
    <w:rsid w:val="00296A6D"/>
    <w:rsid w:val="00296AFD"/>
    <w:rsid w:val="00296D32"/>
    <w:rsid w:val="00296DA4"/>
    <w:rsid w:val="00296ECD"/>
    <w:rsid w:val="00297160"/>
    <w:rsid w:val="00297474"/>
    <w:rsid w:val="002976F2"/>
    <w:rsid w:val="00297847"/>
    <w:rsid w:val="00297A45"/>
    <w:rsid w:val="00297B2E"/>
    <w:rsid w:val="00297C78"/>
    <w:rsid w:val="00297E83"/>
    <w:rsid w:val="00297EE3"/>
    <w:rsid w:val="00297FCE"/>
    <w:rsid w:val="002A0159"/>
    <w:rsid w:val="002A0184"/>
    <w:rsid w:val="002A020C"/>
    <w:rsid w:val="002A04B8"/>
    <w:rsid w:val="002A0750"/>
    <w:rsid w:val="002A0898"/>
    <w:rsid w:val="002A092B"/>
    <w:rsid w:val="002A09D4"/>
    <w:rsid w:val="002A0A31"/>
    <w:rsid w:val="002A0A7A"/>
    <w:rsid w:val="002A0B67"/>
    <w:rsid w:val="002A0D19"/>
    <w:rsid w:val="002A0F38"/>
    <w:rsid w:val="002A1034"/>
    <w:rsid w:val="002A112E"/>
    <w:rsid w:val="002A11E6"/>
    <w:rsid w:val="002A126F"/>
    <w:rsid w:val="002A1664"/>
    <w:rsid w:val="002A173D"/>
    <w:rsid w:val="002A1837"/>
    <w:rsid w:val="002A1932"/>
    <w:rsid w:val="002A1BDB"/>
    <w:rsid w:val="002A1DA8"/>
    <w:rsid w:val="002A1ED8"/>
    <w:rsid w:val="002A2188"/>
    <w:rsid w:val="002A2455"/>
    <w:rsid w:val="002A25DD"/>
    <w:rsid w:val="002A27A1"/>
    <w:rsid w:val="002A29A4"/>
    <w:rsid w:val="002A2AF5"/>
    <w:rsid w:val="002A2BDF"/>
    <w:rsid w:val="002A2C51"/>
    <w:rsid w:val="002A2C9B"/>
    <w:rsid w:val="002A2E27"/>
    <w:rsid w:val="002A2E76"/>
    <w:rsid w:val="002A3217"/>
    <w:rsid w:val="002A32F2"/>
    <w:rsid w:val="002A33C5"/>
    <w:rsid w:val="002A33CD"/>
    <w:rsid w:val="002A3538"/>
    <w:rsid w:val="002A3578"/>
    <w:rsid w:val="002A3766"/>
    <w:rsid w:val="002A377A"/>
    <w:rsid w:val="002A3782"/>
    <w:rsid w:val="002A3803"/>
    <w:rsid w:val="002A3824"/>
    <w:rsid w:val="002A3B14"/>
    <w:rsid w:val="002A3CB0"/>
    <w:rsid w:val="002A3E15"/>
    <w:rsid w:val="002A3F54"/>
    <w:rsid w:val="002A4107"/>
    <w:rsid w:val="002A424C"/>
    <w:rsid w:val="002A42FC"/>
    <w:rsid w:val="002A4363"/>
    <w:rsid w:val="002A43E4"/>
    <w:rsid w:val="002A448D"/>
    <w:rsid w:val="002A44F2"/>
    <w:rsid w:val="002A4691"/>
    <w:rsid w:val="002A4883"/>
    <w:rsid w:val="002A4B76"/>
    <w:rsid w:val="002A4D17"/>
    <w:rsid w:val="002A4D82"/>
    <w:rsid w:val="002A50B5"/>
    <w:rsid w:val="002A5114"/>
    <w:rsid w:val="002A5676"/>
    <w:rsid w:val="002A56CB"/>
    <w:rsid w:val="002A5719"/>
    <w:rsid w:val="002A588D"/>
    <w:rsid w:val="002A58C1"/>
    <w:rsid w:val="002A5BD9"/>
    <w:rsid w:val="002A5C14"/>
    <w:rsid w:val="002A5EC5"/>
    <w:rsid w:val="002A5F1C"/>
    <w:rsid w:val="002A5FAC"/>
    <w:rsid w:val="002A61D2"/>
    <w:rsid w:val="002A6257"/>
    <w:rsid w:val="002A6393"/>
    <w:rsid w:val="002A63C9"/>
    <w:rsid w:val="002A63E2"/>
    <w:rsid w:val="002A6611"/>
    <w:rsid w:val="002A66BC"/>
    <w:rsid w:val="002A66DD"/>
    <w:rsid w:val="002A672B"/>
    <w:rsid w:val="002A67C0"/>
    <w:rsid w:val="002A67D4"/>
    <w:rsid w:val="002A6AD1"/>
    <w:rsid w:val="002A6AD2"/>
    <w:rsid w:val="002A6B2E"/>
    <w:rsid w:val="002A6E3C"/>
    <w:rsid w:val="002A6E93"/>
    <w:rsid w:val="002A6F32"/>
    <w:rsid w:val="002A7089"/>
    <w:rsid w:val="002A71C2"/>
    <w:rsid w:val="002A721F"/>
    <w:rsid w:val="002A72E6"/>
    <w:rsid w:val="002A7338"/>
    <w:rsid w:val="002A73E5"/>
    <w:rsid w:val="002A7422"/>
    <w:rsid w:val="002A74BB"/>
    <w:rsid w:val="002A7536"/>
    <w:rsid w:val="002A7797"/>
    <w:rsid w:val="002A787B"/>
    <w:rsid w:val="002A7A08"/>
    <w:rsid w:val="002A7BBB"/>
    <w:rsid w:val="002A7C98"/>
    <w:rsid w:val="002A7DFA"/>
    <w:rsid w:val="002A7EB9"/>
    <w:rsid w:val="002A7EC4"/>
    <w:rsid w:val="002B0446"/>
    <w:rsid w:val="002B0448"/>
    <w:rsid w:val="002B0579"/>
    <w:rsid w:val="002B0698"/>
    <w:rsid w:val="002B0866"/>
    <w:rsid w:val="002B08A0"/>
    <w:rsid w:val="002B0A95"/>
    <w:rsid w:val="002B0BD4"/>
    <w:rsid w:val="002B101D"/>
    <w:rsid w:val="002B13EE"/>
    <w:rsid w:val="002B13F0"/>
    <w:rsid w:val="002B1450"/>
    <w:rsid w:val="002B1545"/>
    <w:rsid w:val="002B15BB"/>
    <w:rsid w:val="002B18EC"/>
    <w:rsid w:val="002B1957"/>
    <w:rsid w:val="002B1CDA"/>
    <w:rsid w:val="002B1CEC"/>
    <w:rsid w:val="002B1EA6"/>
    <w:rsid w:val="002B1F4F"/>
    <w:rsid w:val="002B2085"/>
    <w:rsid w:val="002B22C7"/>
    <w:rsid w:val="002B2592"/>
    <w:rsid w:val="002B26D3"/>
    <w:rsid w:val="002B2AF8"/>
    <w:rsid w:val="002B2C14"/>
    <w:rsid w:val="002B2CC2"/>
    <w:rsid w:val="002B2D06"/>
    <w:rsid w:val="002B2D84"/>
    <w:rsid w:val="002B2D97"/>
    <w:rsid w:val="002B2DAE"/>
    <w:rsid w:val="002B2DE4"/>
    <w:rsid w:val="002B2F9F"/>
    <w:rsid w:val="002B3076"/>
    <w:rsid w:val="002B3083"/>
    <w:rsid w:val="002B30B9"/>
    <w:rsid w:val="002B30DB"/>
    <w:rsid w:val="002B3188"/>
    <w:rsid w:val="002B330F"/>
    <w:rsid w:val="002B339A"/>
    <w:rsid w:val="002B3585"/>
    <w:rsid w:val="002B37F0"/>
    <w:rsid w:val="002B38CD"/>
    <w:rsid w:val="002B3968"/>
    <w:rsid w:val="002B3979"/>
    <w:rsid w:val="002B3B55"/>
    <w:rsid w:val="002B3BFF"/>
    <w:rsid w:val="002B3D4A"/>
    <w:rsid w:val="002B3DD7"/>
    <w:rsid w:val="002B3F7E"/>
    <w:rsid w:val="002B3FAA"/>
    <w:rsid w:val="002B3FD9"/>
    <w:rsid w:val="002B4055"/>
    <w:rsid w:val="002B46BB"/>
    <w:rsid w:val="002B475C"/>
    <w:rsid w:val="002B499B"/>
    <w:rsid w:val="002B4A1F"/>
    <w:rsid w:val="002B4C55"/>
    <w:rsid w:val="002B4F63"/>
    <w:rsid w:val="002B5085"/>
    <w:rsid w:val="002B516E"/>
    <w:rsid w:val="002B5174"/>
    <w:rsid w:val="002B5386"/>
    <w:rsid w:val="002B5401"/>
    <w:rsid w:val="002B545F"/>
    <w:rsid w:val="002B5534"/>
    <w:rsid w:val="002B562A"/>
    <w:rsid w:val="002B5777"/>
    <w:rsid w:val="002B58E6"/>
    <w:rsid w:val="002B5978"/>
    <w:rsid w:val="002B597A"/>
    <w:rsid w:val="002B5993"/>
    <w:rsid w:val="002B59C7"/>
    <w:rsid w:val="002B5AEC"/>
    <w:rsid w:val="002B5CA8"/>
    <w:rsid w:val="002B5CCB"/>
    <w:rsid w:val="002B5CCD"/>
    <w:rsid w:val="002B5E65"/>
    <w:rsid w:val="002B5F19"/>
    <w:rsid w:val="002B5FC4"/>
    <w:rsid w:val="002B641A"/>
    <w:rsid w:val="002B66E3"/>
    <w:rsid w:val="002B683E"/>
    <w:rsid w:val="002B6903"/>
    <w:rsid w:val="002B6906"/>
    <w:rsid w:val="002B6A99"/>
    <w:rsid w:val="002B6AC7"/>
    <w:rsid w:val="002B6B65"/>
    <w:rsid w:val="002B6CE0"/>
    <w:rsid w:val="002B6DDF"/>
    <w:rsid w:val="002B6FB3"/>
    <w:rsid w:val="002B703F"/>
    <w:rsid w:val="002B70C6"/>
    <w:rsid w:val="002B712F"/>
    <w:rsid w:val="002B7186"/>
    <w:rsid w:val="002B71FC"/>
    <w:rsid w:val="002B72B2"/>
    <w:rsid w:val="002B7460"/>
    <w:rsid w:val="002B76C3"/>
    <w:rsid w:val="002B77A9"/>
    <w:rsid w:val="002B78CD"/>
    <w:rsid w:val="002B7A19"/>
    <w:rsid w:val="002B7CAF"/>
    <w:rsid w:val="002B7DE0"/>
    <w:rsid w:val="002C023B"/>
    <w:rsid w:val="002C07DC"/>
    <w:rsid w:val="002C0864"/>
    <w:rsid w:val="002C0A52"/>
    <w:rsid w:val="002C0B8E"/>
    <w:rsid w:val="002C0BD1"/>
    <w:rsid w:val="002C1001"/>
    <w:rsid w:val="002C1124"/>
    <w:rsid w:val="002C1331"/>
    <w:rsid w:val="002C1387"/>
    <w:rsid w:val="002C1420"/>
    <w:rsid w:val="002C15CF"/>
    <w:rsid w:val="002C18C1"/>
    <w:rsid w:val="002C19C2"/>
    <w:rsid w:val="002C1B0E"/>
    <w:rsid w:val="002C1B29"/>
    <w:rsid w:val="002C1BF0"/>
    <w:rsid w:val="002C20BD"/>
    <w:rsid w:val="002C212B"/>
    <w:rsid w:val="002C21E7"/>
    <w:rsid w:val="002C2330"/>
    <w:rsid w:val="002C2340"/>
    <w:rsid w:val="002C2578"/>
    <w:rsid w:val="002C265E"/>
    <w:rsid w:val="002C26B8"/>
    <w:rsid w:val="002C274D"/>
    <w:rsid w:val="002C285D"/>
    <w:rsid w:val="002C2974"/>
    <w:rsid w:val="002C2A47"/>
    <w:rsid w:val="002C2B49"/>
    <w:rsid w:val="002C2BFD"/>
    <w:rsid w:val="002C2CC8"/>
    <w:rsid w:val="002C2D2D"/>
    <w:rsid w:val="002C2DF3"/>
    <w:rsid w:val="002C30A9"/>
    <w:rsid w:val="002C35E3"/>
    <w:rsid w:val="002C3757"/>
    <w:rsid w:val="002C3965"/>
    <w:rsid w:val="002C396C"/>
    <w:rsid w:val="002C3974"/>
    <w:rsid w:val="002C3C18"/>
    <w:rsid w:val="002C3C23"/>
    <w:rsid w:val="002C3D14"/>
    <w:rsid w:val="002C3F46"/>
    <w:rsid w:val="002C408F"/>
    <w:rsid w:val="002C4093"/>
    <w:rsid w:val="002C4286"/>
    <w:rsid w:val="002C4510"/>
    <w:rsid w:val="002C4768"/>
    <w:rsid w:val="002C486C"/>
    <w:rsid w:val="002C4906"/>
    <w:rsid w:val="002C4DC0"/>
    <w:rsid w:val="002C4F31"/>
    <w:rsid w:val="002C51BB"/>
    <w:rsid w:val="002C537B"/>
    <w:rsid w:val="002C5387"/>
    <w:rsid w:val="002C53A7"/>
    <w:rsid w:val="002C54BA"/>
    <w:rsid w:val="002C558A"/>
    <w:rsid w:val="002C55DA"/>
    <w:rsid w:val="002C5706"/>
    <w:rsid w:val="002C57FA"/>
    <w:rsid w:val="002C5983"/>
    <w:rsid w:val="002C59F1"/>
    <w:rsid w:val="002C5A1D"/>
    <w:rsid w:val="002C5A38"/>
    <w:rsid w:val="002C5A7D"/>
    <w:rsid w:val="002C5D6B"/>
    <w:rsid w:val="002C5EF9"/>
    <w:rsid w:val="002C5F99"/>
    <w:rsid w:val="002C6068"/>
    <w:rsid w:val="002C606E"/>
    <w:rsid w:val="002C6344"/>
    <w:rsid w:val="002C6840"/>
    <w:rsid w:val="002C68A7"/>
    <w:rsid w:val="002C68CE"/>
    <w:rsid w:val="002C68F5"/>
    <w:rsid w:val="002C69AD"/>
    <w:rsid w:val="002C6AF0"/>
    <w:rsid w:val="002C6B41"/>
    <w:rsid w:val="002C6FA4"/>
    <w:rsid w:val="002C7227"/>
    <w:rsid w:val="002C72B7"/>
    <w:rsid w:val="002C72E3"/>
    <w:rsid w:val="002C735F"/>
    <w:rsid w:val="002C73FF"/>
    <w:rsid w:val="002C74C6"/>
    <w:rsid w:val="002C7626"/>
    <w:rsid w:val="002C77C0"/>
    <w:rsid w:val="002C7802"/>
    <w:rsid w:val="002C7A53"/>
    <w:rsid w:val="002C7C1B"/>
    <w:rsid w:val="002C7C48"/>
    <w:rsid w:val="002C7D46"/>
    <w:rsid w:val="002C7E2E"/>
    <w:rsid w:val="002D0263"/>
    <w:rsid w:val="002D09AA"/>
    <w:rsid w:val="002D0A0D"/>
    <w:rsid w:val="002D0ABE"/>
    <w:rsid w:val="002D0BC9"/>
    <w:rsid w:val="002D0E25"/>
    <w:rsid w:val="002D0E32"/>
    <w:rsid w:val="002D0EC1"/>
    <w:rsid w:val="002D0EF9"/>
    <w:rsid w:val="002D1249"/>
    <w:rsid w:val="002D15F6"/>
    <w:rsid w:val="002D187B"/>
    <w:rsid w:val="002D1CAF"/>
    <w:rsid w:val="002D1EF1"/>
    <w:rsid w:val="002D1FEF"/>
    <w:rsid w:val="002D21E7"/>
    <w:rsid w:val="002D2382"/>
    <w:rsid w:val="002D24B3"/>
    <w:rsid w:val="002D24DF"/>
    <w:rsid w:val="002D24F4"/>
    <w:rsid w:val="002D265A"/>
    <w:rsid w:val="002D272D"/>
    <w:rsid w:val="002D278D"/>
    <w:rsid w:val="002D2865"/>
    <w:rsid w:val="002D29FD"/>
    <w:rsid w:val="002D3081"/>
    <w:rsid w:val="002D3190"/>
    <w:rsid w:val="002D3239"/>
    <w:rsid w:val="002D327A"/>
    <w:rsid w:val="002D3428"/>
    <w:rsid w:val="002D342E"/>
    <w:rsid w:val="002D3752"/>
    <w:rsid w:val="002D3791"/>
    <w:rsid w:val="002D38B6"/>
    <w:rsid w:val="002D3934"/>
    <w:rsid w:val="002D3E13"/>
    <w:rsid w:val="002D3EE2"/>
    <w:rsid w:val="002D3F2E"/>
    <w:rsid w:val="002D406F"/>
    <w:rsid w:val="002D4082"/>
    <w:rsid w:val="002D4101"/>
    <w:rsid w:val="002D4153"/>
    <w:rsid w:val="002D423F"/>
    <w:rsid w:val="002D43F6"/>
    <w:rsid w:val="002D444B"/>
    <w:rsid w:val="002D4459"/>
    <w:rsid w:val="002D4471"/>
    <w:rsid w:val="002D4588"/>
    <w:rsid w:val="002D46FE"/>
    <w:rsid w:val="002D4758"/>
    <w:rsid w:val="002D47A1"/>
    <w:rsid w:val="002D4812"/>
    <w:rsid w:val="002D489D"/>
    <w:rsid w:val="002D49FF"/>
    <w:rsid w:val="002D4D8F"/>
    <w:rsid w:val="002D4E60"/>
    <w:rsid w:val="002D4EA2"/>
    <w:rsid w:val="002D503F"/>
    <w:rsid w:val="002D5484"/>
    <w:rsid w:val="002D5539"/>
    <w:rsid w:val="002D555E"/>
    <w:rsid w:val="002D5B65"/>
    <w:rsid w:val="002D5B72"/>
    <w:rsid w:val="002D5DB9"/>
    <w:rsid w:val="002D5E17"/>
    <w:rsid w:val="002D60BE"/>
    <w:rsid w:val="002D61F4"/>
    <w:rsid w:val="002D6488"/>
    <w:rsid w:val="002D665F"/>
    <w:rsid w:val="002D692D"/>
    <w:rsid w:val="002D6B10"/>
    <w:rsid w:val="002D6B41"/>
    <w:rsid w:val="002D6D73"/>
    <w:rsid w:val="002D6E07"/>
    <w:rsid w:val="002D6E0F"/>
    <w:rsid w:val="002D6FD6"/>
    <w:rsid w:val="002D6FE7"/>
    <w:rsid w:val="002D7009"/>
    <w:rsid w:val="002D7068"/>
    <w:rsid w:val="002D7082"/>
    <w:rsid w:val="002D7119"/>
    <w:rsid w:val="002D761B"/>
    <w:rsid w:val="002D7684"/>
    <w:rsid w:val="002D76C5"/>
    <w:rsid w:val="002D7764"/>
    <w:rsid w:val="002D7A82"/>
    <w:rsid w:val="002D7B46"/>
    <w:rsid w:val="002D7BC5"/>
    <w:rsid w:val="002D7F1C"/>
    <w:rsid w:val="002E00C9"/>
    <w:rsid w:val="002E021A"/>
    <w:rsid w:val="002E023C"/>
    <w:rsid w:val="002E03C8"/>
    <w:rsid w:val="002E075E"/>
    <w:rsid w:val="002E079C"/>
    <w:rsid w:val="002E0853"/>
    <w:rsid w:val="002E0940"/>
    <w:rsid w:val="002E0A4B"/>
    <w:rsid w:val="002E0AAB"/>
    <w:rsid w:val="002E0E4D"/>
    <w:rsid w:val="002E124C"/>
    <w:rsid w:val="002E145E"/>
    <w:rsid w:val="002E19C2"/>
    <w:rsid w:val="002E1A0F"/>
    <w:rsid w:val="002E1A4C"/>
    <w:rsid w:val="002E1AFF"/>
    <w:rsid w:val="002E1D93"/>
    <w:rsid w:val="002E2169"/>
    <w:rsid w:val="002E2388"/>
    <w:rsid w:val="002E245A"/>
    <w:rsid w:val="002E24F7"/>
    <w:rsid w:val="002E2655"/>
    <w:rsid w:val="002E2676"/>
    <w:rsid w:val="002E2814"/>
    <w:rsid w:val="002E2842"/>
    <w:rsid w:val="002E28C9"/>
    <w:rsid w:val="002E2A13"/>
    <w:rsid w:val="002E2BC8"/>
    <w:rsid w:val="002E2C65"/>
    <w:rsid w:val="002E2E18"/>
    <w:rsid w:val="002E2F33"/>
    <w:rsid w:val="002E2F90"/>
    <w:rsid w:val="002E30BE"/>
    <w:rsid w:val="002E3223"/>
    <w:rsid w:val="002E3497"/>
    <w:rsid w:val="002E371C"/>
    <w:rsid w:val="002E3769"/>
    <w:rsid w:val="002E3AEB"/>
    <w:rsid w:val="002E3B29"/>
    <w:rsid w:val="002E3CBA"/>
    <w:rsid w:val="002E3CE7"/>
    <w:rsid w:val="002E3DBE"/>
    <w:rsid w:val="002E3E0A"/>
    <w:rsid w:val="002E3E55"/>
    <w:rsid w:val="002E40B6"/>
    <w:rsid w:val="002E410D"/>
    <w:rsid w:val="002E41E8"/>
    <w:rsid w:val="002E423E"/>
    <w:rsid w:val="002E46EB"/>
    <w:rsid w:val="002E482D"/>
    <w:rsid w:val="002E4958"/>
    <w:rsid w:val="002E49CD"/>
    <w:rsid w:val="002E4A62"/>
    <w:rsid w:val="002E4B6E"/>
    <w:rsid w:val="002E4D58"/>
    <w:rsid w:val="002E4DAB"/>
    <w:rsid w:val="002E4F46"/>
    <w:rsid w:val="002E4F9E"/>
    <w:rsid w:val="002E4FA9"/>
    <w:rsid w:val="002E5285"/>
    <w:rsid w:val="002E5319"/>
    <w:rsid w:val="002E53B7"/>
    <w:rsid w:val="002E542E"/>
    <w:rsid w:val="002E55C7"/>
    <w:rsid w:val="002E55E6"/>
    <w:rsid w:val="002E561F"/>
    <w:rsid w:val="002E56E8"/>
    <w:rsid w:val="002E58F4"/>
    <w:rsid w:val="002E59DD"/>
    <w:rsid w:val="002E5AA2"/>
    <w:rsid w:val="002E5DEC"/>
    <w:rsid w:val="002E5E2E"/>
    <w:rsid w:val="002E5E46"/>
    <w:rsid w:val="002E5F3B"/>
    <w:rsid w:val="002E617D"/>
    <w:rsid w:val="002E6198"/>
    <w:rsid w:val="002E62D0"/>
    <w:rsid w:val="002E62F9"/>
    <w:rsid w:val="002E6536"/>
    <w:rsid w:val="002E6641"/>
    <w:rsid w:val="002E6762"/>
    <w:rsid w:val="002E67BD"/>
    <w:rsid w:val="002E680D"/>
    <w:rsid w:val="002E6AC1"/>
    <w:rsid w:val="002E6B1B"/>
    <w:rsid w:val="002E6CDC"/>
    <w:rsid w:val="002E6E84"/>
    <w:rsid w:val="002E6FFA"/>
    <w:rsid w:val="002E7012"/>
    <w:rsid w:val="002E7239"/>
    <w:rsid w:val="002E7385"/>
    <w:rsid w:val="002E7398"/>
    <w:rsid w:val="002E7403"/>
    <w:rsid w:val="002E74EE"/>
    <w:rsid w:val="002E77C2"/>
    <w:rsid w:val="002E786B"/>
    <w:rsid w:val="002E7C86"/>
    <w:rsid w:val="002E7C92"/>
    <w:rsid w:val="002F010F"/>
    <w:rsid w:val="002F0126"/>
    <w:rsid w:val="002F01AD"/>
    <w:rsid w:val="002F02B3"/>
    <w:rsid w:val="002F03F6"/>
    <w:rsid w:val="002F0584"/>
    <w:rsid w:val="002F0612"/>
    <w:rsid w:val="002F0795"/>
    <w:rsid w:val="002F087D"/>
    <w:rsid w:val="002F08EA"/>
    <w:rsid w:val="002F08F3"/>
    <w:rsid w:val="002F0A17"/>
    <w:rsid w:val="002F0C76"/>
    <w:rsid w:val="002F0F2C"/>
    <w:rsid w:val="002F0F31"/>
    <w:rsid w:val="002F1012"/>
    <w:rsid w:val="002F112A"/>
    <w:rsid w:val="002F1598"/>
    <w:rsid w:val="002F1966"/>
    <w:rsid w:val="002F19C2"/>
    <w:rsid w:val="002F19D5"/>
    <w:rsid w:val="002F1A22"/>
    <w:rsid w:val="002F1AB1"/>
    <w:rsid w:val="002F1B82"/>
    <w:rsid w:val="002F1CB5"/>
    <w:rsid w:val="002F1EE1"/>
    <w:rsid w:val="002F1F58"/>
    <w:rsid w:val="002F2041"/>
    <w:rsid w:val="002F21A5"/>
    <w:rsid w:val="002F220D"/>
    <w:rsid w:val="002F2304"/>
    <w:rsid w:val="002F2496"/>
    <w:rsid w:val="002F2539"/>
    <w:rsid w:val="002F259C"/>
    <w:rsid w:val="002F25AF"/>
    <w:rsid w:val="002F2A37"/>
    <w:rsid w:val="002F2BCC"/>
    <w:rsid w:val="002F31AA"/>
    <w:rsid w:val="002F3305"/>
    <w:rsid w:val="002F3382"/>
    <w:rsid w:val="002F38A3"/>
    <w:rsid w:val="002F392E"/>
    <w:rsid w:val="002F3968"/>
    <w:rsid w:val="002F3C75"/>
    <w:rsid w:val="002F3CE5"/>
    <w:rsid w:val="002F3DA0"/>
    <w:rsid w:val="002F3FF0"/>
    <w:rsid w:val="002F418F"/>
    <w:rsid w:val="002F4223"/>
    <w:rsid w:val="002F4275"/>
    <w:rsid w:val="002F42C9"/>
    <w:rsid w:val="002F43B9"/>
    <w:rsid w:val="002F4A49"/>
    <w:rsid w:val="002F4BF4"/>
    <w:rsid w:val="002F4C4E"/>
    <w:rsid w:val="002F4CAE"/>
    <w:rsid w:val="002F4D07"/>
    <w:rsid w:val="002F4EEC"/>
    <w:rsid w:val="002F4F65"/>
    <w:rsid w:val="002F4F9C"/>
    <w:rsid w:val="002F4FE7"/>
    <w:rsid w:val="002F51CF"/>
    <w:rsid w:val="002F51FA"/>
    <w:rsid w:val="002F535D"/>
    <w:rsid w:val="002F53EF"/>
    <w:rsid w:val="002F550C"/>
    <w:rsid w:val="002F56E8"/>
    <w:rsid w:val="002F5786"/>
    <w:rsid w:val="002F5A7E"/>
    <w:rsid w:val="002F5C62"/>
    <w:rsid w:val="002F5D6F"/>
    <w:rsid w:val="002F6196"/>
    <w:rsid w:val="002F63D1"/>
    <w:rsid w:val="002F6713"/>
    <w:rsid w:val="002F6881"/>
    <w:rsid w:val="002F6AAB"/>
    <w:rsid w:val="002F6AEE"/>
    <w:rsid w:val="002F6E35"/>
    <w:rsid w:val="002F6FF8"/>
    <w:rsid w:val="002F702E"/>
    <w:rsid w:val="002F7173"/>
    <w:rsid w:val="002F71E7"/>
    <w:rsid w:val="002F7315"/>
    <w:rsid w:val="002F746C"/>
    <w:rsid w:val="002F7509"/>
    <w:rsid w:val="002F7625"/>
    <w:rsid w:val="002F770B"/>
    <w:rsid w:val="002F77D5"/>
    <w:rsid w:val="002F7867"/>
    <w:rsid w:val="002F78F7"/>
    <w:rsid w:val="002F7977"/>
    <w:rsid w:val="002F79A8"/>
    <w:rsid w:val="002F79AC"/>
    <w:rsid w:val="002F7A09"/>
    <w:rsid w:val="002F7B94"/>
    <w:rsid w:val="002F7BE0"/>
    <w:rsid w:val="0030004B"/>
    <w:rsid w:val="0030011C"/>
    <w:rsid w:val="00300138"/>
    <w:rsid w:val="003002E5"/>
    <w:rsid w:val="00300313"/>
    <w:rsid w:val="00300459"/>
    <w:rsid w:val="003005A2"/>
    <w:rsid w:val="0030074F"/>
    <w:rsid w:val="003008B3"/>
    <w:rsid w:val="00300A2F"/>
    <w:rsid w:val="00300FFC"/>
    <w:rsid w:val="0030100A"/>
    <w:rsid w:val="00301134"/>
    <w:rsid w:val="003011EB"/>
    <w:rsid w:val="00301235"/>
    <w:rsid w:val="0030131B"/>
    <w:rsid w:val="00301469"/>
    <w:rsid w:val="00301567"/>
    <w:rsid w:val="003015F9"/>
    <w:rsid w:val="0030160E"/>
    <w:rsid w:val="0030170C"/>
    <w:rsid w:val="00301726"/>
    <w:rsid w:val="00301A48"/>
    <w:rsid w:val="00301A5B"/>
    <w:rsid w:val="00301C59"/>
    <w:rsid w:val="00301D4C"/>
    <w:rsid w:val="00301D51"/>
    <w:rsid w:val="00301E3C"/>
    <w:rsid w:val="00301F33"/>
    <w:rsid w:val="00301FC7"/>
    <w:rsid w:val="00302284"/>
    <w:rsid w:val="003022E8"/>
    <w:rsid w:val="00302324"/>
    <w:rsid w:val="0030237B"/>
    <w:rsid w:val="0030246E"/>
    <w:rsid w:val="0030265B"/>
    <w:rsid w:val="0030270C"/>
    <w:rsid w:val="00302B7B"/>
    <w:rsid w:val="00302C48"/>
    <w:rsid w:val="00302E97"/>
    <w:rsid w:val="00303264"/>
    <w:rsid w:val="00303308"/>
    <w:rsid w:val="00303A5C"/>
    <w:rsid w:val="00303B58"/>
    <w:rsid w:val="00303C5B"/>
    <w:rsid w:val="00303C88"/>
    <w:rsid w:val="00303D01"/>
    <w:rsid w:val="00303D94"/>
    <w:rsid w:val="00303EC1"/>
    <w:rsid w:val="00303FF3"/>
    <w:rsid w:val="00304090"/>
    <w:rsid w:val="003041AB"/>
    <w:rsid w:val="00304294"/>
    <w:rsid w:val="00304352"/>
    <w:rsid w:val="00304504"/>
    <w:rsid w:val="0030458B"/>
    <w:rsid w:val="00304653"/>
    <w:rsid w:val="00304809"/>
    <w:rsid w:val="00304829"/>
    <w:rsid w:val="0030494D"/>
    <w:rsid w:val="00304A62"/>
    <w:rsid w:val="00304AA2"/>
    <w:rsid w:val="00304AB7"/>
    <w:rsid w:val="00304BB4"/>
    <w:rsid w:val="00304C2C"/>
    <w:rsid w:val="00304CA5"/>
    <w:rsid w:val="00304CB0"/>
    <w:rsid w:val="00304E51"/>
    <w:rsid w:val="00304FA3"/>
    <w:rsid w:val="0030513A"/>
    <w:rsid w:val="0030514E"/>
    <w:rsid w:val="00305252"/>
    <w:rsid w:val="003056D9"/>
    <w:rsid w:val="00305F38"/>
    <w:rsid w:val="00306196"/>
    <w:rsid w:val="003062CB"/>
    <w:rsid w:val="00306307"/>
    <w:rsid w:val="00306344"/>
    <w:rsid w:val="00306410"/>
    <w:rsid w:val="00306483"/>
    <w:rsid w:val="003066B7"/>
    <w:rsid w:val="0030680C"/>
    <w:rsid w:val="0030691F"/>
    <w:rsid w:val="0030695D"/>
    <w:rsid w:val="003069EC"/>
    <w:rsid w:val="00306B62"/>
    <w:rsid w:val="00306BC0"/>
    <w:rsid w:val="00306D1D"/>
    <w:rsid w:val="00306E53"/>
    <w:rsid w:val="00307018"/>
    <w:rsid w:val="00307260"/>
    <w:rsid w:val="0030758C"/>
    <w:rsid w:val="003075CB"/>
    <w:rsid w:val="003075ED"/>
    <w:rsid w:val="003075F0"/>
    <w:rsid w:val="00307768"/>
    <w:rsid w:val="00307958"/>
    <w:rsid w:val="003079CD"/>
    <w:rsid w:val="003079DD"/>
    <w:rsid w:val="00307A04"/>
    <w:rsid w:val="00307A61"/>
    <w:rsid w:val="00307AA0"/>
    <w:rsid w:val="00307CC7"/>
    <w:rsid w:val="00307DCD"/>
    <w:rsid w:val="00307EE2"/>
    <w:rsid w:val="00307F6F"/>
    <w:rsid w:val="00309BDF"/>
    <w:rsid w:val="00310161"/>
    <w:rsid w:val="00310389"/>
    <w:rsid w:val="003105DC"/>
    <w:rsid w:val="0031065D"/>
    <w:rsid w:val="0031070E"/>
    <w:rsid w:val="003108BF"/>
    <w:rsid w:val="00310BAF"/>
    <w:rsid w:val="00310CB3"/>
    <w:rsid w:val="00310CC6"/>
    <w:rsid w:val="00310F7D"/>
    <w:rsid w:val="00311004"/>
    <w:rsid w:val="00311242"/>
    <w:rsid w:val="0031172A"/>
    <w:rsid w:val="003118DA"/>
    <w:rsid w:val="00311A54"/>
    <w:rsid w:val="00311A6F"/>
    <w:rsid w:val="00311B43"/>
    <w:rsid w:val="00311F0F"/>
    <w:rsid w:val="00312180"/>
    <w:rsid w:val="003126EE"/>
    <w:rsid w:val="00312732"/>
    <w:rsid w:val="0031286B"/>
    <w:rsid w:val="0031290E"/>
    <w:rsid w:val="0031292B"/>
    <w:rsid w:val="0031297A"/>
    <w:rsid w:val="00312A24"/>
    <w:rsid w:val="00312C89"/>
    <w:rsid w:val="00312DB0"/>
    <w:rsid w:val="00312DF1"/>
    <w:rsid w:val="00313014"/>
    <w:rsid w:val="0031307B"/>
    <w:rsid w:val="003130BD"/>
    <w:rsid w:val="003130F7"/>
    <w:rsid w:val="00313215"/>
    <w:rsid w:val="003132C8"/>
    <w:rsid w:val="003132EC"/>
    <w:rsid w:val="00313342"/>
    <w:rsid w:val="0031334C"/>
    <w:rsid w:val="0031360D"/>
    <w:rsid w:val="0031376C"/>
    <w:rsid w:val="00313776"/>
    <w:rsid w:val="003137E7"/>
    <w:rsid w:val="00313849"/>
    <w:rsid w:val="0031388C"/>
    <w:rsid w:val="003138B2"/>
    <w:rsid w:val="00313C0C"/>
    <w:rsid w:val="00313CC8"/>
    <w:rsid w:val="00313DFC"/>
    <w:rsid w:val="00313F97"/>
    <w:rsid w:val="00314054"/>
    <w:rsid w:val="00314069"/>
    <w:rsid w:val="00314103"/>
    <w:rsid w:val="0031410E"/>
    <w:rsid w:val="003142AA"/>
    <w:rsid w:val="003142DA"/>
    <w:rsid w:val="0031432F"/>
    <w:rsid w:val="003143EF"/>
    <w:rsid w:val="0031451C"/>
    <w:rsid w:val="0031459C"/>
    <w:rsid w:val="0031459F"/>
    <w:rsid w:val="003149CF"/>
    <w:rsid w:val="00314C92"/>
    <w:rsid w:val="00314F04"/>
    <w:rsid w:val="0031501E"/>
    <w:rsid w:val="0031558C"/>
    <w:rsid w:val="003157C9"/>
    <w:rsid w:val="003158ED"/>
    <w:rsid w:val="00315D4F"/>
    <w:rsid w:val="00315E28"/>
    <w:rsid w:val="00316023"/>
    <w:rsid w:val="00316187"/>
    <w:rsid w:val="003161E8"/>
    <w:rsid w:val="00316202"/>
    <w:rsid w:val="00316400"/>
    <w:rsid w:val="00316764"/>
    <w:rsid w:val="003168E8"/>
    <w:rsid w:val="00316977"/>
    <w:rsid w:val="00316C33"/>
    <w:rsid w:val="00316DB6"/>
    <w:rsid w:val="00316DD7"/>
    <w:rsid w:val="00316E0B"/>
    <w:rsid w:val="00316F89"/>
    <w:rsid w:val="00317128"/>
    <w:rsid w:val="00317150"/>
    <w:rsid w:val="00317224"/>
    <w:rsid w:val="00317307"/>
    <w:rsid w:val="00317336"/>
    <w:rsid w:val="003173F9"/>
    <w:rsid w:val="0031759E"/>
    <w:rsid w:val="00317632"/>
    <w:rsid w:val="00317764"/>
    <w:rsid w:val="00317DBF"/>
    <w:rsid w:val="00317E3F"/>
    <w:rsid w:val="00317E66"/>
    <w:rsid w:val="003201BF"/>
    <w:rsid w:val="003201C4"/>
    <w:rsid w:val="00320205"/>
    <w:rsid w:val="003203C6"/>
    <w:rsid w:val="00320411"/>
    <w:rsid w:val="0032047D"/>
    <w:rsid w:val="00320636"/>
    <w:rsid w:val="00320663"/>
    <w:rsid w:val="003207D5"/>
    <w:rsid w:val="00320908"/>
    <w:rsid w:val="00320B75"/>
    <w:rsid w:val="00320BDD"/>
    <w:rsid w:val="00320BE5"/>
    <w:rsid w:val="00320C61"/>
    <w:rsid w:val="00320E0F"/>
    <w:rsid w:val="00321040"/>
    <w:rsid w:val="003212F6"/>
    <w:rsid w:val="00321471"/>
    <w:rsid w:val="00321612"/>
    <w:rsid w:val="0032164F"/>
    <w:rsid w:val="00321806"/>
    <w:rsid w:val="0032185A"/>
    <w:rsid w:val="00321A67"/>
    <w:rsid w:val="00321B6B"/>
    <w:rsid w:val="00321DAA"/>
    <w:rsid w:val="00321F70"/>
    <w:rsid w:val="00322226"/>
    <w:rsid w:val="00322402"/>
    <w:rsid w:val="00322562"/>
    <w:rsid w:val="003225B0"/>
    <w:rsid w:val="00322778"/>
    <w:rsid w:val="00322836"/>
    <w:rsid w:val="00322846"/>
    <w:rsid w:val="003228C3"/>
    <w:rsid w:val="00322AF2"/>
    <w:rsid w:val="00322C91"/>
    <w:rsid w:val="00322D10"/>
    <w:rsid w:val="00322EBF"/>
    <w:rsid w:val="00322EDC"/>
    <w:rsid w:val="00322F35"/>
    <w:rsid w:val="00323263"/>
    <w:rsid w:val="003232A4"/>
    <w:rsid w:val="003232C7"/>
    <w:rsid w:val="003233E8"/>
    <w:rsid w:val="00323511"/>
    <w:rsid w:val="0032355C"/>
    <w:rsid w:val="00323701"/>
    <w:rsid w:val="003238FA"/>
    <w:rsid w:val="00323BB7"/>
    <w:rsid w:val="00323D72"/>
    <w:rsid w:val="00323FA4"/>
    <w:rsid w:val="003244D9"/>
    <w:rsid w:val="003245C2"/>
    <w:rsid w:val="003245C6"/>
    <w:rsid w:val="00324680"/>
    <w:rsid w:val="0032478C"/>
    <w:rsid w:val="00324822"/>
    <w:rsid w:val="00324833"/>
    <w:rsid w:val="0032489F"/>
    <w:rsid w:val="003248A3"/>
    <w:rsid w:val="003248F9"/>
    <w:rsid w:val="00324918"/>
    <w:rsid w:val="0032491A"/>
    <w:rsid w:val="00324BC5"/>
    <w:rsid w:val="00324D0A"/>
    <w:rsid w:val="00324D40"/>
    <w:rsid w:val="00324D64"/>
    <w:rsid w:val="00325035"/>
    <w:rsid w:val="0032509E"/>
    <w:rsid w:val="00325267"/>
    <w:rsid w:val="00325353"/>
    <w:rsid w:val="003253EA"/>
    <w:rsid w:val="0032553B"/>
    <w:rsid w:val="00325621"/>
    <w:rsid w:val="0032567F"/>
    <w:rsid w:val="003256DA"/>
    <w:rsid w:val="003256F0"/>
    <w:rsid w:val="003259BC"/>
    <w:rsid w:val="00325B54"/>
    <w:rsid w:val="00325DC9"/>
    <w:rsid w:val="00325DD1"/>
    <w:rsid w:val="003261A1"/>
    <w:rsid w:val="003261F7"/>
    <w:rsid w:val="00326235"/>
    <w:rsid w:val="00326270"/>
    <w:rsid w:val="0032627C"/>
    <w:rsid w:val="00326631"/>
    <w:rsid w:val="003266A7"/>
    <w:rsid w:val="003266F2"/>
    <w:rsid w:val="0032674D"/>
    <w:rsid w:val="0032685B"/>
    <w:rsid w:val="0032699C"/>
    <w:rsid w:val="00326B13"/>
    <w:rsid w:val="00326E40"/>
    <w:rsid w:val="00326FFD"/>
    <w:rsid w:val="00327266"/>
    <w:rsid w:val="00327366"/>
    <w:rsid w:val="0032736F"/>
    <w:rsid w:val="0032745D"/>
    <w:rsid w:val="00327685"/>
    <w:rsid w:val="003276CD"/>
    <w:rsid w:val="00327756"/>
    <w:rsid w:val="003279B3"/>
    <w:rsid w:val="00327AE4"/>
    <w:rsid w:val="00327B1E"/>
    <w:rsid w:val="00327B94"/>
    <w:rsid w:val="00327C77"/>
    <w:rsid w:val="00327D1A"/>
    <w:rsid w:val="00327F2D"/>
    <w:rsid w:val="00327F59"/>
    <w:rsid w:val="00330013"/>
    <w:rsid w:val="00330022"/>
    <w:rsid w:val="00330325"/>
    <w:rsid w:val="003304E7"/>
    <w:rsid w:val="003306C0"/>
    <w:rsid w:val="00330756"/>
    <w:rsid w:val="003307C8"/>
    <w:rsid w:val="003308BF"/>
    <w:rsid w:val="003308CA"/>
    <w:rsid w:val="003308DA"/>
    <w:rsid w:val="003308E7"/>
    <w:rsid w:val="003309FF"/>
    <w:rsid w:val="00330B19"/>
    <w:rsid w:val="00330B2E"/>
    <w:rsid w:val="00330BF2"/>
    <w:rsid w:val="00330D0A"/>
    <w:rsid w:val="00330D77"/>
    <w:rsid w:val="00331111"/>
    <w:rsid w:val="003312CF"/>
    <w:rsid w:val="003313AD"/>
    <w:rsid w:val="003313BD"/>
    <w:rsid w:val="003317A4"/>
    <w:rsid w:val="00331B81"/>
    <w:rsid w:val="00331BAD"/>
    <w:rsid w:val="00331BF2"/>
    <w:rsid w:val="00331E58"/>
    <w:rsid w:val="00331E9C"/>
    <w:rsid w:val="00331F40"/>
    <w:rsid w:val="00331FD4"/>
    <w:rsid w:val="003327BB"/>
    <w:rsid w:val="003328E3"/>
    <w:rsid w:val="003328EF"/>
    <w:rsid w:val="00332D29"/>
    <w:rsid w:val="00332D9D"/>
    <w:rsid w:val="00332E89"/>
    <w:rsid w:val="0033339A"/>
    <w:rsid w:val="00333422"/>
    <w:rsid w:val="0033350B"/>
    <w:rsid w:val="00333742"/>
    <w:rsid w:val="00333ACE"/>
    <w:rsid w:val="00333BC3"/>
    <w:rsid w:val="00333BCC"/>
    <w:rsid w:val="00333C29"/>
    <w:rsid w:val="0033404D"/>
    <w:rsid w:val="00334052"/>
    <w:rsid w:val="003342BA"/>
    <w:rsid w:val="0033438A"/>
    <w:rsid w:val="0033463A"/>
    <w:rsid w:val="00334702"/>
    <w:rsid w:val="00334737"/>
    <w:rsid w:val="003347DA"/>
    <w:rsid w:val="003347F5"/>
    <w:rsid w:val="00334A58"/>
    <w:rsid w:val="00334A5C"/>
    <w:rsid w:val="00334AAD"/>
    <w:rsid w:val="00334C78"/>
    <w:rsid w:val="00334C9D"/>
    <w:rsid w:val="00334F5F"/>
    <w:rsid w:val="00335084"/>
    <w:rsid w:val="003353B3"/>
    <w:rsid w:val="00335574"/>
    <w:rsid w:val="0033558D"/>
    <w:rsid w:val="00335676"/>
    <w:rsid w:val="003356EB"/>
    <w:rsid w:val="003358BC"/>
    <w:rsid w:val="003359C2"/>
    <w:rsid w:val="00335A0E"/>
    <w:rsid w:val="00335A62"/>
    <w:rsid w:val="00335BBE"/>
    <w:rsid w:val="00335CC2"/>
    <w:rsid w:val="00335EB8"/>
    <w:rsid w:val="00335FF5"/>
    <w:rsid w:val="00336069"/>
    <w:rsid w:val="00336166"/>
    <w:rsid w:val="00336171"/>
    <w:rsid w:val="003361EF"/>
    <w:rsid w:val="003362B6"/>
    <w:rsid w:val="003366B5"/>
    <w:rsid w:val="003366D1"/>
    <w:rsid w:val="0033692B"/>
    <w:rsid w:val="00336AFB"/>
    <w:rsid w:val="00336DE5"/>
    <w:rsid w:val="00336EEC"/>
    <w:rsid w:val="00337051"/>
    <w:rsid w:val="00337062"/>
    <w:rsid w:val="003371D2"/>
    <w:rsid w:val="003372B0"/>
    <w:rsid w:val="003373AA"/>
    <w:rsid w:val="0033745D"/>
    <w:rsid w:val="003375C1"/>
    <w:rsid w:val="003376F7"/>
    <w:rsid w:val="00337891"/>
    <w:rsid w:val="003379EB"/>
    <w:rsid w:val="00337A31"/>
    <w:rsid w:val="00337BE2"/>
    <w:rsid w:val="00337CA2"/>
    <w:rsid w:val="00337E46"/>
    <w:rsid w:val="00337F1F"/>
    <w:rsid w:val="003400CD"/>
    <w:rsid w:val="00340276"/>
    <w:rsid w:val="003405CD"/>
    <w:rsid w:val="003407D3"/>
    <w:rsid w:val="0034088D"/>
    <w:rsid w:val="00340B42"/>
    <w:rsid w:val="00340C49"/>
    <w:rsid w:val="00340CF7"/>
    <w:rsid w:val="00340E2F"/>
    <w:rsid w:val="00341177"/>
    <w:rsid w:val="0034124D"/>
    <w:rsid w:val="003412BD"/>
    <w:rsid w:val="003413DE"/>
    <w:rsid w:val="00341460"/>
    <w:rsid w:val="003414C6"/>
    <w:rsid w:val="00341572"/>
    <w:rsid w:val="003417DB"/>
    <w:rsid w:val="0034198E"/>
    <w:rsid w:val="00341C35"/>
    <w:rsid w:val="00341D01"/>
    <w:rsid w:val="00341D06"/>
    <w:rsid w:val="00341EAF"/>
    <w:rsid w:val="00341F6C"/>
    <w:rsid w:val="00342043"/>
    <w:rsid w:val="0034248B"/>
    <w:rsid w:val="00342665"/>
    <w:rsid w:val="00342732"/>
    <w:rsid w:val="003427DE"/>
    <w:rsid w:val="00342CB0"/>
    <w:rsid w:val="00342CF6"/>
    <w:rsid w:val="00342E8A"/>
    <w:rsid w:val="00342EFB"/>
    <w:rsid w:val="00342F71"/>
    <w:rsid w:val="0034319F"/>
    <w:rsid w:val="003431F8"/>
    <w:rsid w:val="00343251"/>
    <w:rsid w:val="003433B0"/>
    <w:rsid w:val="003436AF"/>
    <w:rsid w:val="003437F1"/>
    <w:rsid w:val="00343A50"/>
    <w:rsid w:val="00343C9B"/>
    <w:rsid w:val="00343E13"/>
    <w:rsid w:val="00343ED3"/>
    <w:rsid w:val="00343F00"/>
    <w:rsid w:val="00343F61"/>
    <w:rsid w:val="0034417E"/>
    <w:rsid w:val="00344187"/>
    <w:rsid w:val="00344294"/>
    <w:rsid w:val="0034458D"/>
    <w:rsid w:val="0034460C"/>
    <w:rsid w:val="003446DA"/>
    <w:rsid w:val="00344712"/>
    <w:rsid w:val="003447A3"/>
    <w:rsid w:val="003447E3"/>
    <w:rsid w:val="00344A9D"/>
    <w:rsid w:val="00344B75"/>
    <w:rsid w:val="00344BED"/>
    <w:rsid w:val="00344BFF"/>
    <w:rsid w:val="00344C55"/>
    <w:rsid w:val="00344D0C"/>
    <w:rsid w:val="00344DC7"/>
    <w:rsid w:val="003456D5"/>
    <w:rsid w:val="003456FA"/>
    <w:rsid w:val="0034585F"/>
    <w:rsid w:val="00345919"/>
    <w:rsid w:val="00345C73"/>
    <w:rsid w:val="00345EDC"/>
    <w:rsid w:val="00345F27"/>
    <w:rsid w:val="00346126"/>
    <w:rsid w:val="00346156"/>
    <w:rsid w:val="003465FB"/>
    <w:rsid w:val="0034662A"/>
    <w:rsid w:val="0034675C"/>
    <w:rsid w:val="00346760"/>
    <w:rsid w:val="0034684F"/>
    <w:rsid w:val="00346A63"/>
    <w:rsid w:val="00346A83"/>
    <w:rsid w:val="00346DAB"/>
    <w:rsid w:val="00347055"/>
    <w:rsid w:val="00347126"/>
    <w:rsid w:val="003471F1"/>
    <w:rsid w:val="00347462"/>
    <w:rsid w:val="00347576"/>
    <w:rsid w:val="003476E1"/>
    <w:rsid w:val="003477D1"/>
    <w:rsid w:val="00347843"/>
    <w:rsid w:val="00347875"/>
    <w:rsid w:val="00347945"/>
    <w:rsid w:val="00347BBB"/>
    <w:rsid w:val="00347CAD"/>
    <w:rsid w:val="00347CAE"/>
    <w:rsid w:val="00347EB9"/>
    <w:rsid w:val="00347FFC"/>
    <w:rsid w:val="00349D75"/>
    <w:rsid w:val="00350010"/>
    <w:rsid w:val="003500C4"/>
    <w:rsid w:val="00350111"/>
    <w:rsid w:val="00350268"/>
    <w:rsid w:val="00350341"/>
    <w:rsid w:val="00350666"/>
    <w:rsid w:val="00350898"/>
    <w:rsid w:val="003509C3"/>
    <w:rsid w:val="00350C56"/>
    <w:rsid w:val="00350E1D"/>
    <w:rsid w:val="00350EF7"/>
    <w:rsid w:val="00350F4D"/>
    <w:rsid w:val="00350F76"/>
    <w:rsid w:val="00351708"/>
    <w:rsid w:val="003517D6"/>
    <w:rsid w:val="00351A46"/>
    <w:rsid w:val="00351B3C"/>
    <w:rsid w:val="00351D36"/>
    <w:rsid w:val="00351DA1"/>
    <w:rsid w:val="00351E38"/>
    <w:rsid w:val="00351E61"/>
    <w:rsid w:val="00351EA2"/>
    <w:rsid w:val="003520D1"/>
    <w:rsid w:val="00352151"/>
    <w:rsid w:val="00352239"/>
    <w:rsid w:val="0035227E"/>
    <w:rsid w:val="003522A7"/>
    <w:rsid w:val="0035238C"/>
    <w:rsid w:val="00352569"/>
    <w:rsid w:val="003525D5"/>
    <w:rsid w:val="00352A13"/>
    <w:rsid w:val="00352A8A"/>
    <w:rsid w:val="00352BFA"/>
    <w:rsid w:val="00352D7D"/>
    <w:rsid w:val="00352E41"/>
    <w:rsid w:val="00352EE0"/>
    <w:rsid w:val="00352FE0"/>
    <w:rsid w:val="00353000"/>
    <w:rsid w:val="00353156"/>
    <w:rsid w:val="0035316B"/>
    <w:rsid w:val="0035337F"/>
    <w:rsid w:val="0035343A"/>
    <w:rsid w:val="00353541"/>
    <w:rsid w:val="00353903"/>
    <w:rsid w:val="00353B6B"/>
    <w:rsid w:val="00353D0A"/>
    <w:rsid w:val="00353D6A"/>
    <w:rsid w:val="00353EA7"/>
    <w:rsid w:val="0035404B"/>
    <w:rsid w:val="00354080"/>
    <w:rsid w:val="003542A8"/>
    <w:rsid w:val="00354573"/>
    <w:rsid w:val="003546F8"/>
    <w:rsid w:val="00354712"/>
    <w:rsid w:val="0035472C"/>
    <w:rsid w:val="003548C1"/>
    <w:rsid w:val="00354973"/>
    <w:rsid w:val="00354C23"/>
    <w:rsid w:val="00354C96"/>
    <w:rsid w:val="00354CB6"/>
    <w:rsid w:val="0035505B"/>
    <w:rsid w:val="0035505F"/>
    <w:rsid w:val="00355143"/>
    <w:rsid w:val="00355206"/>
    <w:rsid w:val="003552B2"/>
    <w:rsid w:val="003553C8"/>
    <w:rsid w:val="003554BF"/>
    <w:rsid w:val="003554C8"/>
    <w:rsid w:val="00355501"/>
    <w:rsid w:val="00355572"/>
    <w:rsid w:val="003557CC"/>
    <w:rsid w:val="003559DB"/>
    <w:rsid w:val="00355C3C"/>
    <w:rsid w:val="00355CC0"/>
    <w:rsid w:val="003562D0"/>
    <w:rsid w:val="00356368"/>
    <w:rsid w:val="003563A3"/>
    <w:rsid w:val="003565C0"/>
    <w:rsid w:val="00356622"/>
    <w:rsid w:val="003566FD"/>
    <w:rsid w:val="00356738"/>
    <w:rsid w:val="00356937"/>
    <w:rsid w:val="00356953"/>
    <w:rsid w:val="003569A7"/>
    <w:rsid w:val="00356B49"/>
    <w:rsid w:val="00356BB4"/>
    <w:rsid w:val="00356D93"/>
    <w:rsid w:val="00356EE0"/>
    <w:rsid w:val="00357319"/>
    <w:rsid w:val="00357323"/>
    <w:rsid w:val="00357581"/>
    <w:rsid w:val="00357632"/>
    <w:rsid w:val="003576C2"/>
    <w:rsid w:val="003577B8"/>
    <w:rsid w:val="003579EF"/>
    <w:rsid w:val="00357B9A"/>
    <w:rsid w:val="00357D32"/>
    <w:rsid w:val="00357D6A"/>
    <w:rsid w:val="00357F0A"/>
    <w:rsid w:val="00357F0B"/>
    <w:rsid w:val="00357F94"/>
    <w:rsid w:val="0035CC68"/>
    <w:rsid w:val="0036003C"/>
    <w:rsid w:val="003600E1"/>
    <w:rsid w:val="003603CD"/>
    <w:rsid w:val="003604E2"/>
    <w:rsid w:val="00360835"/>
    <w:rsid w:val="00360A12"/>
    <w:rsid w:val="00360A72"/>
    <w:rsid w:val="00360C6D"/>
    <w:rsid w:val="00360C6F"/>
    <w:rsid w:val="00360CCC"/>
    <w:rsid w:val="00360D24"/>
    <w:rsid w:val="00360D93"/>
    <w:rsid w:val="003610E1"/>
    <w:rsid w:val="00361120"/>
    <w:rsid w:val="003612AD"/>
    <w:rsid w:val="00361447"/>
    <w:rsid w:val="003614B4"/>
    <w:rsid w:val="0036158C"/>
    <w:rsid w:val="0036171A"/>
    <w:rsid w:val="0036171E"/>
    <w:rsid w:val="0036180C"/>
    <w:rsid w:val="00361863"/>
    <w:rsid w:val="003618D3"/>
    <w:rsid w:val="00361AC6"/>
    <w:rsid w:val="00361B79"/>
    <w:rsid w:val="00361C20"/>
    <w:rsid w:val="00361DE9"/>
    <w:rsid w:val="00361E4F"/>
    <w:rsid w:val="00361E68"/>
    <w:rsid w:val="00362200"/>
    <w:rsid w:val="003622D2"/>
    <w:rsid w:val="003622D9"/>
    <w:rsid w:val="00362350"/>
    <w:rsid w:val="003624CF"/>
    <w:rsid w:val="00362562"/>
    <w:rsid w:val="00362891"/>
    <w:rsid w:val="0036295E"/>
    <w:rsid w:val="00362CCA"/>
    <w:rsid w:val="00362CF4"/>
    <w:rsid w:val="00362F0F"/>
    <w:rsid w:val="00362F99"/>
    <w:rsid w:val="003632F9"/>
    <w:rsid w:val="003634D4"/>
    <w:rsid w:val="0036359B"/>
    <w:rsid w:val="003635CF"/>
    <w:rsid w:val="00363728"/>
    <w:rsid w:val="003637EF"/>
    <w:rsid w:val="0036389E"/>
    <w:rsid w:val="00363A1B"/>
    <w:rsid w:val="00363B27"/>
    <w:rsid w:val="00363BAA"/>
    <w:rsid w:val="00363CBE"/>
    <w:rsid w:val="00363D6C"/>
    <w:rsid w:val="00363EC5"/>
    <w:rsid w:val="00363FA9"/>
    <w:rsid w:val="003640CF"/>
    <w:rsid w:val="00364135"/>
    <w:rsid w:val="00364312"/>
    <w:rsid w:val="0036445F"/>
    <w:rsid w:val="0036452E"/>
    <w:rsid w:val="003645B8"/>
    <w:rsid w:val="00364786"/>
    <w:rsid w:val="00364824"/>
    <w:rsid w:val="00364987"/>
    <w:rsid w:val="0036498B"/>
    <w:rsid w:val="003649B9"/>
    <w:rsid w:val="00364A8F"/>
    <w:rsid w:val="00364BEA"/>
    <w:rsid w:val="00364D96"/>
    <w:rsid w:val="00364DB5"/>
    <w:rsid w:val="00364F28"/>
    <w:rsid w:val="00365019"/>
    <w:rsid w:val="0036518E"/>
    <w:rsid w:val="0036582A"/>
    <w:rsid w:val="00365855"/>
    <w:rsid w:val="00365C0B"/>
    <w:rsid w:val="00365C10"/>
    <w:rsid w:val="00365CF9"/>
    <w:rsid w:val="00365DB2"/>
    <w:rsid w:val="00365DE3"/>
    <w:rsid w:val="00366088"/>
    <w:rsid w:val="003660E4"/>
    <w:rsid w:val="00366124"/>
    <w:rsid w:val="00366258"/>
    <w:rsid w:val="00366326"/>
    <w:rsid w:val="0036641D"/>
    <w:rsid w:val="0036661A"/>
    <w:rsid w:val="00366813"/>
    <w:rsid w:val="00366ABA"/>
    <w:rsid w:val="00366B3F"/>
    <w:rsid w:val="00366C75"/>
    <w:rsid w:val="00366E55"/>
    <w:rsid w:val="00366EDA"/>
    <w:rsid w:val="00366F78"/>
    <w:rsid w:val="00366FAE"/>
    <w:rsid w:val="003670A8"/>
    <w:rsid w:val="003670E0"/>
    <w:rsid w:val="0036713B"/>
    <w:rsid w:val="0036719F"/>
    <w:rsid w:val="003674AC"/>
    <w:rsid w:val="00367722"/>
    <w:rsid w:val="0036783C"/>
    <w:rsid w:val="003678D1"/>
    <w:rsid w:val="003679BD"/>
    <w:rsid w:val="00367AD9"/>
    <w:rsid w:val="00367C3B"/>
    <w:rsid w:val="00367C5D"/>
    <w:rsid w:val="00370004"/>
    <w:rsid w:val="0037022F"/>
    <w:rsid w:val="003702F3"/>
    <w:rsid w:val="00370527"/>
    <w:rsid w:val="003706BD"/>
    <w:rsid w:val="00370862"/>
    <w:rsid w:val="00370A46"/>
    <w:rsid w:val="00370D4A"/>
    <w:rsid w:val="00370D7C"/>
    <w:rsid w:val="00370E2C"/>
    <w:rsid w:val="00370E35"/>
    <w:rsid w:val="00370FA2"/>
    <w:rsid w:val="003710D1"/>
    <w:rsid w:val="003711BD"/>
    <w:rsid w:val="003711EF"/>
    <w:rsid w:val="003713C1"/>
    <w:rsid w:val="0037140E"/>
    <w:rsid w:val="00371422"/>
    <w:rsid w:val="003715D9"/>
    <w:rsid w:val="00371698"/>
    <w:rsid w:val="003716E6"/>
    <w:rsid w:val="0037184D"/>
    <w:rsid w:val="00371872"/>
    <w:rsid w:val="003719EF"/>
    <w:rsid w:val="00371A2A"/>
    <w:rsid w:val="00371AED"/>
    <w:rsid w:val="00371B52"/>
    <w:rsid w:val="00371CAD"/>
    <w:rsid w:val="00371ED3"/>
    <w:rsid w:val="00371F76"/>
    <w:rsid w:val="00371FF5"/>
    <w:rsid w:val="0037221C"/>
    <w:rsid w:val="003724C7"/>
    <w:rsid w:val="00372685"/>
    <w:rsid w:val="003726BD"/>
    <w:rsid w:val="003727F4"/>
    <w:rsid w:val="0037297D"/>
    <w:rsid w:val="003729A8"/>
    <w:rsid w:val="00372AF8"/>
    <w:rsid w:val="00372B2C"/>
    <w:rsid w:val="00372E94"/>
    <w:rsid w:val="00372F55"/>
    <w:rsid w:val="0037328C"/>
    <w:rsid w:val="0037328F"/>
    <w:rsid w:val="0037330B"/>
    <w:rsid w:val="0037351C"/>
    <w:rsid w:val="0037359E"/>
    <w:rsid w:val="00373912"/>
    <w:rsid w:val="003739B1"/>
    <w:rsid w:val="003739D4"/>
    <w:rsid w:val="00373A39"/>
    <w:rsid w:val="00373AC9"/>
    <w:rsid w:val="00373EC5"/>
    <w:rsid w:val="00374101"/>
    <w:rsid w:val="003741A2"/>
    <w:rsid w:val="00374588"/>
    <w:rsid w:val="003746C9"/>
    <w:rsid w:val="0037479A"/>
    <w:rsid w:val="003747B3"/>
    <w:rsid w:val="00374817"/>
    <w:rsid w:val="0037485B"/>
    <w:rsid w:val="003748C0"/>
    <w:rsid w:val="003748CE"/>
    <w:rsid w:val="00374A41"/>
    <w:rsid w:val="00374A57"/>
    <w:rsid w:val="00374B28"/>
    <w:rsid w:val="00374C22"/>
    <w:rsid w:val="00374C7C"/>
    <w:rsid w:val="0037504C"/>
    <w:rsid w:val="0037545C"/>
    <w:rsid w:val="00375540"/>
    <w:rsid w:val="00375558"/>
    <w:rsid w:val="00375A1B"/>
    <w:rsid w:val="00375A90"/>
    <w:rsid w:val="00375BE3"/>
    <w:rsid w:val="00375CF7"/>
    <w:rsid w:val="00375D88"/>
    <w:rsid w:val="00375FB1"/>
    <w:rsid w:val="00376248"/>
    <w:rsid w:val="00376553"/>
    <w:rsid w:val="00376699"/>
    <w:rsid w:val="00376B4C"/>
    <w:rsid w:val="00376BB0"/>
    <w:rsid w:val="00376D9D"/>
    <w:rsid w:val="00376E95"/>
    <w:rsid w:val="00376EDE"/>
    <w:rsid w:val="00376F3B"/>
    <w:rsid w:val="003770AA"/>
    <w:rsid w:val="00377276"/>
    <w:rsid w:val="003772F0"/>
    <w:rsid w:val="00377380"/>
    <w:rsid w:val="003777ED"/>
    <w:rsid w:val="003777F9"/>
    <w:rsid w:val="0037783B"/>
    <w:rsid w:val="003778CB"/>
    <w:rsid w:val="00377AC9"/>
    <w:rsid w:val="00377D77"/>
    <w:rsid w:val="00377DD4"/>
    <w:rsid w:val="00377ED6"/>
    <w:rsid w:val="00380026"/>
    <w:rsid w:val="003800CE"/>
    <w:rsid w:val="003800D1"/>
    <w:rsid w:val="00380324"/>
    <w:rsid w:val="003803FB"/>
    <w:rsid w:val="003806DE"/>
    <w:rsid w:val="003808A2"/>
    <w:rsid w:val="00380A70"/>
    <w:rsid w:val="00380B79"/>
    <w:rsid w:val="00380B8A"/>
    <w:rsid w:val="00380CC7"/>
    <w:rsid w:val="00380CDE"/>
    <w:rsid w:val="0038115E"/>
    <w:rsid w:val="00381198"/>
    <w:rsid w:val="0038122D"/>
    <w:rsid w:val="00381262"/>
    <w:rsid w:val="00381687"/>
    <w:rsid w:val="00381874"/>
    <w:rsid w:val="00381C80"/>
    <w:rsid w:val="00381E84"/>
    <w:rsid w:val="00382212"/>
    <w:rsid w:val="003822C2"/>
    <w:rsid w:val="00382395"/>
    <w:rsid w:val="0038239B"/>
    <w:rsid w:val="003823A1"/>
    <w:rsid w:val="003825E2"/>
    <w:rsid w:val="00382806"/>
    <w:rsid w:val="003828C8"/>
    <w:rsid w:val="00382A5F"/>
    <w:rsid w:val="00382B14"/>
    <w:rsid w:val="00382B46"/>
    <w:rsid w:val="00382CF7"/>
    <w:rsid w:val="00382E13"/>
    <w:rsid w:val="00382E84"/>
    <w:rsid w:val="00383177"/>
    <w:rsid w:val="003831E5"/>
    <w:rsid w:val="0038329A"/>
    <w:rsid w:val="003832CB"/>
    <w:rsid w:val="00383389"/>
    <w:rsid w:val="00383493"/>
    <w:rsid w:val="003834AA"/>
    <w:rsid w:val="003834C3"/>
    <w:rsid w:val="003834CF"/>
    <w:rsid w:val="00383774"/>
    <w:rsid w:val="00383930"/>
    <w:rsid w:val="0038398E"/>
    <w:rsid w:val="003839CD"/>
    <w:rsid w:val="00383AC3"/>
    <w:rsid w:val="00383CA1"/>
    <w:rsid w:val="0038409E"/>
    <w:rsid w:val="003841FE"/>
    <w:rsid w:val="00384241"/>
    <w:rsid w:val="0038447A"/>
    <w:rsid w:val="003845E0"/>
    <w:rsid w:val="003848BB"/>
    <w:rsid w:val="00384F25"/>
    <w:rsid w:val="00385093"/>
    <w:rsid w:val="003850FA"/>
    <w:rsid w:val="003855B0"/>
    <w:rsid w:val="00385673"/>
    <w:rsid w:val="003856E0"/>
    <w:rsid w:val="003856E3"/>
    <w:rsid w:val="0038570F"/>
    <w:rsid w:val="003857DF"/>
    <w:rsid w:val="003858E9"/>
    <w:rsid w:val="00385A2A"/>
    <w:rsid w:val="00385B9E"/>
    <w:rsid w:val="00385BB7"/>
    <w:rsid w:val="00385D6A"/>
    <w:rsid w:val="00385EB8"/>
    <w:rsid w:val="00386010"/>
    <w:rsid w:val="0038616D"/>
    <w:rsid w:val="0038644B"/>
    <w:rsid w:val="0038645D"/>
    <w:rsid w:val="00386535"/>
    <w:rsid w:val="003866BD"/>
    <w:rsid w:val="0038692A"/>
    <w:rsid w:val="00386941"/>
    <w:rsid w:val="00386B84"/>
    <w:rsid w:val="00386BF1"/>
    <w:rsid w:val="00386DEC"/>
    <w:rsid w:val="00386E23"/>
    <w:rsid w:val="00386EED"/>
    <w:rsid w:val="00386F1A"/>
    <w:rsid w:val="00386F7A"/>
    <w:rsid w:val="00386FB5"/>
    <w:rsid w:val="00386FE0"/>
    <w:rsid w:val="00387204"/>
    <w:rsid w:val="003872A1"/>
    <w:rsid w:val="003878D6"/>
    <w:rsid w:val="00387A09"/>
    <w:rsid w:val="00387A34"/>
    <w:rsid w:val="00387AD8"/>
    <w:rsid w:val="00387C90"/>
    <w:rsid w:val="00387D13"/>
    <w:rsid w:val="00387FED"/>
    <w:rsid w:val="003900C4"/>
    <w:rsid w:val="00390113"/>
    <w:rsid w:val="00390278"/>
    <w:rsid w:val="003903A9"/>
    <w:rsid w:val="003904A1"/>
    <w:rsid w:val="00390562"/>
    <w:rsid w:val="0039062D"/>
    <w:rsid w:val="00390630"/>
    <w:rsid w:val="0039066E"/>
    <w:rsid w:val="003907C8"/>
    <w:rsid w:val="00390AC5"/>
    <w:rsid w:val="00390CC2"/>
    <w:rsid w:val="00390EDB"/>
    <w:rsid w:val="00390FA8"/>
    <w:rsid w:val="00390FE9"/>
    <w:rsid w:val="0039114A"/>
    <w:rsid w:val="003912A6"/>
    <w:rsid w:val="003912B2"/>
    <w:rsid w:val="003912D4"/>
    <w:rsid w:val="0039130E"/>
    <w:rsid w:val="00391392"/>
    <w:rsid w:val="003913E0"/>
    <w:rsid w:val="003915A0"/>
    <w:rsid w:val="0039167B"/>
    <w:rsid w:val="00391764"/>
    <w:rsid w:val="00391B5D"/>
    <w:rsid w:val="00391D0F"/>
    <w:rsid w:val="00391DC2"/>
    <w:rsid w:val="00392103"/>
    <w:rsid w:val="003921D7"/>
    <w:rsid w:val="00392330"/>
    <w:rsid w:val="003925F1"/>
    <w:rsid w:val="003925FE"/>
    <w:rsid w:val="0039269E"/>
    <w:rsid w:val="003926F1"/>
    <w:rsid w:val="00392887"/>
    <w:rsid w:val="003929BC"/>
    <w:rsid w:val="00392A90"/>
    <w:rsid w:val="00392D2F"/>
    <w:rsid w:val="00392D74"/>
    <w:rsid w:val="00392ECB"/>
    <w:rsid w:val="00392ED1"/>
    <w:rsid w:val="00392EFA"/>
    <w:rsid w:val="00392FD6"/>
    <w:rsid w:val="00393009"/>
    <w:rsid w:val="003932D1"/>
    <w:rsid w:val="00393311"/>
    <w:rsid w:val="003933F5"/>
    <w:rsid w:val="003935EA"/>
    <w:rsid w:val="003935F9"/>
    <w:rsid w:val="003937FD"/>
    <w:rsid w:val="00393A0B"/>
    <w:rsid w:val="00393A8C"/>
    <w:rsid w:val="00393AEF"/>
    <w:rsid w:val="003940BF"/>
    <w:rsid w:val="003940E7"/>
    <w:rsid w:val="0039436F"/>
    <w:rsid w:val="00394391"/>
    <w:rsid w:val="003943BB"/>
    <w:rsid w:val="0039496E"/>
    <w:rsid w:val="00394A83"/>
    <w:rsid w:val="00394D7A"/>
    <w:rsid w:val="003955C6"/>
    <w:rsid w:val="00395620"/>
    <w:rsid w:val="0039577B"/>
    <w:rsid w:val="003957C8"/>
    <w:rsid w:val="003958F7"/>
    <w:rsid w:val="00395AE9"/>
    <w:rsid w:val="00395C5F"/>
    <w:rsid w:val="00395CA7"/>
    <w:rsid w:val="00395CB7"/>
    <w:rsid w:val="00395DFB"/>
    <w:rsid w:val="00395E11"/>
    <w:rsid w:val="00395E74"/>
    <w:rsid w:val="00395F04"/>
    <w:rsid w:val="00395F06"/>
    <w:rsid w:val="00395FC4"/>
    <w:rsid w:val="00396018"/>
    <w:rsid w:val="003961E4"/>
    <w:rsid w:val="00396380"/>
    <w:rsid w:val="003964C8"/>
    <w:rsid w:val="003964DC"/>
    <w:rsid w:val="003966E8"/>
    <w:rsid w:val="00396CF3"/>
    <w:rsid w:val="00396CF7"/>
    <w:rsid w:val="00396CF9"/>
    <w:rsid w:val="00396DC8"/>
    <w:rsid w:val="00396F1D"/>
    <w:rsid w:val="00396FC3"/>
    <w:rsid w:val="00396FFF"/>
    <w:rsid w:val="00397036"/>
    <w:rsid w:val="00397044"/>
    <w:rsid w:val="003970ED"/>
    <w:rsid w:val="0039711A"/>
    <w:rsid w:val="00397361"/>
    <w:rsid w:val="00397400"/>
    <w:rsid w:val="003974F6"/>
    <w:rsid w:val="00397527"/>
    <w:rsid w:val="003975B7"/>
    <w:rsid w:val="003976A7"/>
    <w:rsid w:val="00397844"/>
    <w:rsid w:val="00397935"/>
    <w:rsid w:val="00397AEA"/>
    <w:rsid w:val="00397BE7"/>
    <w:rsid w:val="00397BFD"/>
    <w:rsid w:val="00397C65"/>
    <w:rsid w:val="00397CCF"/>
    <w:rsid w:val="00397E3A"/>
    <w:rsid w:val="00397E62"/>
    <w:rsid w:val="003A0197"/>
    <w:rsid w:val="003A01BD"/>
    <w:rsid w:val="003A035A"/>
    <w:rsid w:val="003A05C4"/>
    <w:rsid w:val="003A065F"/>
    <w:rsid w:val="003A075A"/>
    <w:rsid w:val="003A0778"/>
    <w:rsid w:val="003A0784"/>
    <w:rsid w:val="003A0A92"/>
    <w:rsid w:val="003A0AE8"/>
    <w:rsid w:val="003A0CDA"/>
    <w:rsid w:val="003A0D51"/>
    <w:rsid w:val="003A0EF3"/>
    <w:rsid w:val="003A0F80"/>
    <w:rsid w:val="003A0FE9"/>
    <w:rsid w:val="003A107D"/>
    <w:rsid w:val="003A10E0"/>
    <w:rsid w:val="003A12C4"/>
    <w:rsid w:val="003A135D"/>
    <w:rsid w:val="003A15F4"/>
    <w:rsid w:val="003A1647"/>
    <w:rsid w:val="003A174B"/>
    <w:rsid w:val="003A1AB0"/>
    <w:rsid w:val="003A1EE8"/>
    <w:rsid w:val="003A1FEA"/>
    <w:rsid w:val="003A2053"/>
    <w:rsid w:val="003A2131"/>
    <w:rsid w:val="003A2221"/>
    <w:rsid w:val="003A22A1"/>
    <w:rsid w:val="003A2366"/>
    <w:rsid w:val="003A23C3"/>
    <w:rsid w:val="003A24B1"/>
    <w:rsid w:val="003A25C3"/>
    <w:rsid w:val="003A2878"/>
    <w:rsid w:val="003A28C6"/>
    <w:rsid w:val="003A2B76"/>
    <w:rsid w:val="003A2C1A"/>
    <w:rsid w:val="003A2C28"/>
    <w:rsid w:val="003A2C4F"/>
    <w:rsid w:val="003A2CC6"/>
    <w:rsid w:val="003A2DAF"/>
    <w:rsid w:val="003A2DF5"/>
    <w:rsid w:val="003A2F03"/>
    <w:rsid w:val="003A2F7A"/>
    <w:rsid w:val="003A2FDF"/>
    <w:rsid w:val="003A308A"/>
    <w:rsid w:val="003A316F"/>
    <w:rsid w:val="003A3380"/>
    <w:rsid w:val="003A34F2"/>
    <w:rsid w:val="003A36A6"/>
    <w:rsid w:val="003A36CA"/>
    <w:rsid w:val="003A3735"/>
    <w:rsid w:val="003A3C5B"/>
    <w:rsid w:val="003A3CAD"/>
    <w:rsid w:val="003A3EEE"/>
    <w:rsid w:val="003A4125"/>
    <w:rsid w:val="003A4128"/>
    <w:rsid w:val="003A43D1"/>
    <w:rsid w:val="003A4552"/>
    <w:rsid w:val="003A45A1"/>
    <w:rsid w:val="003A48A9"/>
    <w:rsid w:val="003A49FC"/>
    <w:rsid w:val="003A4A3E"/>
    <w:rsid w:val="003A4B1B"/>
    <w:rsid w:val="003A4C77"/>
    <w:rsid w:val="003A4DD2"/>
    <w:rsid w:val="003A4DF5"/>
    <w:rsid w:val="003A4E71"/>
    <w:rsid w:val="003A4EF0"/>
    <w:rsid w:val="003A5042"/>
    <w:rsid w:val="003A5093"/>
    <w:rsid w:val="003A511E"/>
    <w:rsid w:val="003A5131"/>
    <w:rsid w:val="003A5227"/>
    <w:rsid w:val="003A52AC"/>
    <w:rsid w:val="003A5401"/>
    <w:rsid w:val="003A5446"/>
    <w:rsid w:val="003A5582"/>
    <w:rsid w:val="003A5720"/>
    <w:rsid w:val="003A5A0D"/>
    <w:rsid w:val="003A5BAB"/>
    <w:rsid w:val="003A5C87"/>
    <w:rsid w:val="003A5E6B"/>
    <w:rsid w:val="003A5FF6"/>
    <w:rsid w:val="003A6058"/>
    <w:rsid w:val="003A60EF"/>
    <w:rsid w:val="003A6128"/>
    <w:rsid w:val="003A6268"/>
    <w:rsid w:val="003A6482"/>
    <w:rsid w:val="003A64F5"/>
    <w:rsid w:val="003A6631"/>
    <w:rsid w:val="003A6633"/>
    <w:rsid w:val="003A668E"/>
    <w:rsid w:val="003A670E"/>
    <w:rsid w:val="003A677D"/>
    <w:rsid w:val="003A6986"/>
    <w:rsid w:val="003A69EE"/>
    <w:rsid w:val="003A6A17"/>
    <w:rsid w:val="003A6A73"/>
    <w:rsid w:val="003A6AA1"/>
    <w:rsid w:val="003A6AF4"/>
    <w:rsid w:val="003A6E7C"/>
    <w:rsid w:val="003A6E91"/>
    <w:rsid w:val="003A6F90"/>
    <w:rsid w:val="003A7009"/>
    <w:rsid w:val="003A7264"/>
    <w:rsid w:val="003A7352"/>
    <w:rsid w:val="003A7356"/>
    <w:rsid w:val="003A76EA"/>
    <w:rsid w:val="003A7757"/>
    <w:rsid w:val="003A7940"/>
    <w:rsid w:val="003A79F9"/>
    <w:rsid w:val="003A7A2C"/>
    <w:rsid w:val="003A7A73"/>
    <w:rsid w:val="003A7C83"/>
    <w:rsid w:val="003A7D17"/>
    <w:rsid w:val="003A7EED"/>
    <w:rsid w:val="003A840D"/>
    <w:rsid w:val="003B00C8"/>
    <w:rsid w:val="003B011D"/>
    <w:rsid w:val="003B08B4"/>
    <w:rsid w:val="003B0D10"/>
    <w:rsid w:val="003B0D3E"/>
    <w:rsid w:val="003B0D98"/>
    <w:rsid w:val="003B0E9A"/>
    <w:rsid w:val="003B0F0E"/>
    <w:rsid w:val="003B107B"/>
    <w:rsid w:val="003B11A5"/>
    <w:rsid w:val="003B12ED"/>
    <w:rsid w:val="003B12F3"/>
    <w:rsid w:val="003B1426"/>
    <w:rsid w:val="003B1559"/>
    <w:rsid w:val="003B1933"/>
    <w:rsid w:val="003B198F"/>
    <w:rsid w:val="003B1C5B"/>
    <w:rsid w:val="003B1DBE"/>
    <w:rsid w:val="003B1DE6"/>
    <w:rsid w:val="003B1DEE"/>
    <w:rsid w:val="003B1FBF"/>
    <w:rsid w:val="003B2229"/>
    <w:rsid w:val="003B2323"/>
    <w:rsid w:val="003B2338"/>
    <w:rsid w:val="003B242E"/>
    <w:rsid w:val="003B2462"/>
    <w:rsid w:val="003B267E"/>
    <w:rsid w:val="003B26B6"/>
    <w:rsid w:val="003B283C"/>
    <w:rsid w:val="003B2B41"/>
    <w:rsid w:val="003B2B9D"/>
    <w:rsid w:val="003B2BB8"/>
    <w:rsid w:val="003B2C7D"/>
    <w:rsid w:val="003B2D71"/>
    <w:rsid w:val="003B2E86"/>
    <w:rsid w:val="003B2EB1"/>
    <w:rsid w:val="003B2EE4"/>
    <w:rsid w:val="003B32E9"/>
    <w:rsid w:val="003B3388"/>
    <w:rsid w:val="003B33DD"/>
    <w:rsid w:val="003B34A0"/>
    <w:rsid w:val="003B34C6"/>
    <w:rsid w:val="003B3551"/>
    <w:rsid w:val="003B3744"/>
    <w:rsid w:val="003B377B"/>
    <w:rsid w:val="003B37B7"/>
    <w:rsid w:val="003B390B"/>
    <w:rsid w:val="003B3936"/>
    <w:rsid w:val="003B3AC0"/>
    <w:rsid w:val="003B3CEF"/>
    <w:rsid w:val="003B3E81"/>
    <w:rsid w:val="003B3E90"/>
    <w:rsid w:val="003B3EBB"/>
    <w:rsid w:val="003B3FE3"/>
    <w:rsid w:val="003B4099"/>
    <w:rsid w:val="003B4119"/>
    <w:rsid w:val="003B4123"/>
    <w:rsid w:val="003B42B5"/>
    <w:rsid w:val="003B43B6"/>
    <w:rsid w:val="003B464D"/>
    <w:rsid w:val="003B46A0"/>
    <w:rsid w:val="003B4855"/>
    <w:rsid w:val="003B4900"/>
    <w:rsid w:val="003B4B24"/>
    <w:rsid w:val="003B4B41"/>
    <w:rsid w:val="003B4C49"/>
    <w:rsid w:val="003B4DCF"/>
    <w:rsid w:val="003B4DEE"/>
    <w:rsid w:val="003B4E5D"/>
    <w:rsid w:val="003B4E94"/>
    <w:rsid w:val="003B4FA3"/>
    <w:rsid w:val="003B521E"/>
    <w:rsid w:val="003B52DE"/>
    <w:rsid w:val="003B5477"/>
    <w:rsid w:val="003B5532"/>
    <w:rsid w:val="003B56B7"/>
    <w:rsid w:val="003B5878"/>
    <w:rsid w:val="003B5A37"/>
    <w:rsid w:val="003B5C2D"/>
    <w:rsid w:val="003B5D58"/>
    <w:rsid w:val="003B5F91"/>
    <w:rsid w:val="003B6492"/>
    <w:rsid w:val="003B6809"/>
    <w:rsid w:val="003B6934"/>
    <w:rsid w:val="003B6A39"/>
    <w:rsid w:val="003B6DDE"/>
    <w:rsid w:val="003B6F1D"/>
    <w:rsid w:val="003B72D4"/>
    <w:rsid w:val="003B7358"/>
    <w:rsid w:val="003B7433"/>
    <w:rsid w:val="003B748A"/>
    <w:rsid w:val="003B74A1"/>
    <w:rsid w:val="003B74E7"/>
    <w:rsid w:val="003B76A3"/>
    <w:rsid w:val="003B7768"/>
    <w:rsid w:val="003B7A08"/>
    <w:rsid w:val="003B7DB1"/>
    <w:rsid w:val="003B7E8A"/>
    <w:rsid w:val="003C0260"/>
    <w:rsid w:val="003C0284"/>
    <w:rsid w:val="003C0362"/>
    <w:rsid w:val="003C0397"/>
    <w:rsid w:val="003C0722"/>
    <w:rsid w:val="003C0908"/>
    <w:rsid w:val="003C0A87"/>
    <w:rsid w:val="003C0A97"/>
    <w:rsid w:val="003C0AE9"/>
    <w:rsid w:val="003C0BF4"/>
    <w:rsid w:val="003C0DF0"/>
    <w:rsid w:val="003C0F51"/>
    <w:rsid w:val="003C1045"/>
    <w:rsid w:val="003C1074"/>
    <w:rsid w:val="003C1245"/>
    <w:rsid w:val="003C149A"/>
    <w:rsid w:val="003C1710"/>
    <w:rsid w:val="003C1A37"/>
    <w:rsid w:val="003C1A56"/>
    <w:rsid w:val="003C1A99"/>
    <w:rsid w:val="003C1D1F"/>
    <w:rsid w:val="003C1E45"/>
    <w:rsid w:val="003C1F91"/>
    <w:rsid w:val="003C20C7"/>
    <w:rsid w:val="003C213D"/>
    <w:rsid w:val="003C2181"/>
    <w:rsid w:val="003C2204"/>
    <w:rsid w:val="003C22B4"/>
    <w:rsid w:val="003C22FE"/>
    <w:rsid w:val="003C241A"/>
    <w:rsid w:val="003C256C"/>
    <w:rsid w:val="003C2774"/>
    <w:rsid w:val="003C27C9"/>
    <w:rsid w:val="003C280B"/>
    <w:rsid w:val="003C2AD3"/>
    <w:rsid w:val="003C2EA0"/>
    <w:rsid w:val="003C2FF7"/>
    <w:rsid w:val="003C3019"/>
    <w:rsid w:val="003C3033"/>
    <w:rsid w:val="003C308D"/>
    <w:rsid w:val="003C323A"/>
    <w:rsid w:val="003C330B"/>
    <w:rsid w:val="003C359F"/>
    <w:rsid w:val="003C36A6"/>
    <w:rsid w:val="003C3701"/>
    <w:rsid w:val="003C3886"/>
    <w:rsid w:val="003C38DA"/>
    <w:rsid w:val="003C3D20"/>
    <w:rsid w:val="003C3DDA"/>
    <w:rsid w:val="003C3EC4"/>
    <w:rsid w:val="003C3FF1"/>
    <w:rsid w:val="003C4079"/>
    <w:rsid w:val="003C4080"/>
    <w:rsid w:val="003C4143"/>
    <w:rsid w:val="003C4252"/>
    <w:rsid w:val="003C447A"/>
    <w:rsid w:val="003C44EC"/>
    <w:rsid w:val="003C4518"/>
    <w:rsid w:val="003C4830"/>
    <w:rsid w:val="003C4964"/>
    <w:rsid w:val="003C4994"/>
    <w:rsid w:val="003C4996"/>
    <w:rsid w:val="003C4A0E"/>
    <w:rsid w:val="003C4B1F"/>
    <w:rsid w:val="003C4CAB"/>
    <w:rsid w:val="003C4CF5"/>
    <w:rsid w:val="003C4FEC"/>
    <w:rsid w:val="003C50B4"/>
    <w:rsid w:val="003C5199"/>
    <w:rsid w:val="003C51AD"/>
    <w:rsid w:val="003C5229"/>
    <w:rsid w:val="003C5264"/>
    <w:rsid w:val="003C526A"/>
    <w:rsid w:val="003C52AD"/>
    <w:rsid w:val="003C52CD"/>
    <w:rsid w:val="003C5366"/>
    <w:rsid w:val="003C545A"/>
    <w:rsid w:val="003C5492"/>
    <w:rsid w:val="003C5796"/>
    <w:rsid w:val="003C58C9"/>
    <w:rsid w:val="003C59DA"/>
    <w:rsid w:val="003C5AB7"/>
    <w:rsid w:val="003C5B3D"/>
    <w:rsid w:val="003C5B85"/>
    <w:rsid w:val="003C5DD7"/>
    <w:rsid w:val="003C5E05"/>
    <w:rsid w:val="003C5FBA"/>
    <w:rsid w:val="003C6636"/>
    <w:rsid w:val="003C670E"/>
    <w:rsid w:val="003C6805"/>
    <w:rsid w:val="003C6AEA"/>
    <w:rsid w:val="003C6B89"/>
    <w:rsid w:val="003C6BAF"/>
    <w:rsid w:val="003C6F8E"/>
    <w:rsid w:val="003C743C"/>
    <w:rsid w:val="003C74A2"/>
    <w:rsid w:val="003C74A4"/>
    <w:rsid w:val="003C74B8"/>
    <w:rsid w:val="003C77C0"/>
    <w:rsid w:val="003C7825"/>
    <w:rsid w:val="003C7985"/>
    <w:rsid w:val="003C7B1F"/>
    <w:rsid w:val="003C7C26"/>
    <w:rsid w:val="003C7CC2"/>
    <w:rsid w:val="003C7CFB"/>
    <w:rsid w:val="003D0006"/>
    <w:rsid w:val="003D0037"/>
    <w:rsid w:val="003D00AD"/>
    <w:rsid w:val="003D00F3"/>
    <w:rsid w:val="003D04BC"/>
    <w:rsid w:val="003D05A4"/>
    <w:rsid w:val="003D064A"/>
    <w:rsid w:val="003D066A"/>
    <w:rsid w:val="003D084F"/>
    <w:rsid w:val="003D09C6"/>
    <w:rsid w:val="003D0DCA"/>
    <w:rsid w:val="003D1072"/>
    <w:rsid w:val="003D1161"/>
    <w:rsid w:val="003D129F"/>
    <w:rsid w:val="003D1432"/>
    <w:rsid w:val="003D15A7"/>
    <w:rsid w:val="003D1717"/>
    <w:rsid w:val="003D17DA"/>
    <w:rsid w:val="003D1852"/>
    <w:rsid w:val="003D18A3"/>
    <w:rsid w:val="003D1913"/>
    <w:rsid w:val="003D1C27"/>
    <w:rsid w:val="003D1CE9"/>
    <w:rsid w:val="003D1CED"/>
    <w:rsid w:val="003D1CFD"/>
    <w:rsid w:val="003D1DDE"/>
    <w:rsid w:val="003D1FF6"/>
    <w:rsid w:val="003D1FFA"/>
    <w:rsid w:val="003D200A"/>
    <w:rsid w:val="003D2191"/>
    <w:rsid w:val="003D232B"/>
    <w:rsid w:val="003D2738"/>
    <w:rsid w:val="003D28F2"/>
    <w:rsid w:val="003D29B1"/>
    <w:rsid w:val="003D2A75"/>
    <w:rsid w:val="003D2BDB"/>
    <w:rsid w:val="003D2C1D"/>
    <w:rsid w:val="003D2D46"/>
    <w:rsid w:val="003D2E98"/>
    <w:rsid w:val="003D2FD8"/>
    <w:rsid w:val="003D3010"/>
    <w:rsid w:val="003D313B"/>
    <w:rsid w:val="003D31EE"/>
    <w:rsid w:val="003D3269"/>
    <w:rsid w:val="003D34E5"/>
    <w:rsid w:val="003D34FF"/>
    <w:rsid w:val="003D3646"/>
    <w:rsid w:val="003D3838"/>
    <w:rsid w:val="003D39BA"/>
    <w:rsid w:val="003D3B7D"/>
    <w:rsid w:val="003D3BBD"/>
    <w:rsid w:val="003D3C9F"/>
    <w:rsid w:val="003D3F64"/>
    <w:rsid w:val="003D4024"/>
    <w:rsid w:val="003D4128"/>
    <w:rsid w:val="003D4255"/>
    <w:rsid w:val="003D42FB"/>
    <w:rsid w:val="003D4336"/>
    <w:rsid w:val="003D43A2"/>
    <w:rsid w:val="003D46F4"/>
    <w:rsid w:val="003D488D"/>
    <w:rsid w:val="003D48ED"/>
    <w:rsid w:val="003D4E72"/>
    <w:rsid w:val="003D50FB"/>
    <w:rsid w:val="003D5125"/>
    <w:rsid w:val="003D5319"/>
    <w:rsid w:val="003D5331"/>
    <w:rsid w:val="003D55BA"/>
    <w:rsid w:val="003D5673"/>
    <w:rsid w:val="003D57BB"/>
    <w:rsid w:val="003D5A46"/>
    <w:rsid w:val="003D5E36"/>
    <w:rsid w:val="003D5E88"/>
    <w:rsid w:val="003D5EC1"/>
    <w:rsid w:val="003D6051"/>
    <w:rsid w:val="003D611C"/>
    <w:rsid w:val="003D6299"/>
    <w:rsid w:val="003D633D"/>
    <w:rsid w:val="003D67DE"/>
    <w:rsid w:val="003D6865"/>
    <w:rsid w:val="003D6957"/>
    <w:rsid w:val="003D6A77"/>
    <w:rsid w:val="003D6AF9"/>
    <w:rsid w:val="003D6C8E"/>
    <w:rsid w:val="003D6CB4"/>
    <w:rsid w:val="003D6D13"/>
    <w:rsid w:val="003D6E85"/>
    <w:rsid w:val="003D6EBD"/>
    <w:rsid w:val="003D6F6F"/>
    <w:rsid w:val="003D6FB0"/>
    <w:rsid w:val="003D6FFB"/>
    <w:rsid w:val="003D71C8"/>
    <w:rsid w:val="003D71F5"/>
    <w:rsid w:val="003D746B"/>
    <w:rsid w:val="003D7510"/>
    <w:rsid w:val="003D7589"/>
    <w:rsid w:val="003D77F0"/>
    <w:rsid w:val="003D7D55"/>
    <w:rsid w:val="003D7E04"/>
    <w:rsid w:val="003D7E1F"/>
    <w:rsid w:val="003D7EF9"/>
    <w:rsid w:val="003D7FA2"/>
    <w:rsid w:val="003DBD8E"/>
    <w:rsid w:val="003E00A8"/>
    <w:rsid w:val="003E00F2"/>
    <w:rsid w:val="003E01CB"/>
    <w:rsid w:val="003E058D"/>
    <w:rsid w:val="003E0611"/>
    <w:rsid w:val="003E069A"/>
    <w:rsid w:val="003E0862"/>
    <w:rsid w:val="003E0B5E"/>
    <w:rsid w:val="003E0C5B"/>
    <w:rsid w:val="003E0DC1"/>
    <w:rsid w:val="003E0EB4"/>
    <w:rsid w:val="003E0F2A"/>
    <w:rsid w:val="003E1098"/>
    <w:rsid w:val="003E11F3"/>
    <w:rsid w:val="003E144C"/>
    <w:rsid w:val="003E149F"/>
    <w:rsid w:val="003E167B"/>
    <w:rsid w:val="003E16B6"/>
    <w:rsid w:val="003E173C"/>
    <w:rsid w:val="003E1846"/>
    <w:rsid w:val="003E18F1"/>
    <w:rsid w:val="003E1A04"/>
    <w:rsid w:val="003E1AA7"/>
    <w:rsid w:val="003E1BBE"/>
    <w:rsid w:val="003E1BE3"/>
    <w:rsid w:val="003E1DCB"/>
    <w:rsid w:val="003E20CB"/>
    <w:rsid w:val="003E2122"/>
    <w:rsid w:val="003E2136"/>
    <w:rsid w:val="003E24DE"/>
    <w:rsid w:val="003E2619"/>
    <w:rsid w:val="003E26E3"/>
    <w:rsid w:val="003E2746"/>
    <w:rsid w:val="003E29A2"/>
    <w:rsid w:val="003E2A24"/>
    <w:rsid w:val="003E2B16"/>
    <w:rsid w:val="003E2BFD"/>
    <w:rsid w:val="003E2CDF"/>
    <w:rsid w:val="003E2D5B"/>
    <w:rsid w:val="003E2EBA"/>
    <w:rsid w:val="003E2FA4"/>
    <w:rsid w:val="003E3055"/>
    <w:rsid w:val="003E310A"/>
    <w:rsid w:val="003E3627"/>
    <w:rsid w:val="003E36D5"/>
    <w:rsid w:val="003E3836"/>
    <w:rsid w:val="003E38B4"/>
    <w:rsid w:val="003E3A65"/>
    <w:rsid w:val="003E3B52"/>
    <w:rsid w:val="003E3E11"/>
    <w:rsid w:val="003E3EB7"/>
    <w:rsid w:val="003E3FF2"/>
    <w:rsid w:val="003E40FB"/>
    <w:rsid w:val="003E44FE"/>
    <w:rsid w:val="003E4B5B"/>
    <w:rsid w:val="003E4DB9"/>
    <w:rsid w:val="003E4E0F"/>
    <w:rsid w:val="003E4EEC"/>
    <w:rsid w:val="003E512B"/>
    <w:rsid w:val="003E51AB"/>
    <w:rsid w:val="003E51CA"/>
    <w:rsid w:val="003E5240"/>
    <w:rsid w:val="003E56DE"/>
    <w:rsid w:val="003E5738"/>
    <w:rsid w:val="003E5859"/>
    <w:rsid w:val="003E5D47"/>
    <w:rsid w:val="003E5D4F"/>
    <w:rsid w:val="003E5F7C"/>
    <w:rsid w:val="003E5FBD"/>
    <w:rsid w:val="003E5FDA"/>
    <w:rsid w:val="003E61BB"/>
    <w:rsid w:val="003E620F"/>
    <w:rsid w:val="003E6225"/>
    <w:rsid w:val="003E663C"/>
    <w:rsid w:val="003E6671"/>
    <w:rsid w:val="003E6774"/>
    <w:rsid w:val="003E6780"/>
    <w:rsid w:val="003E67E2"/>
    <w:rsid w:val="003E6A8D"/>
    <w:rsid w:val="003E6C7A"/>
    <w:rsid w:val="003E6DDB"/>
    <w:rsid w:val="003E6EE2"/>
    <w:rsid w:val="003E70B0"/>
    <w:rsid w:val="003E7315"/>
    <w:rsid w:val="003E7327"/>
    <w:rsid w:val="003E735C"/>
    <w:rsid w:val="003E7476"/>
    <w:rsid w:val="003E75A7"/>
    <w:rsid w:val="003E766D"/>
    <w:rsid w:val="003E7693"/>
    <w:rsid w:val="003E7CB2"/>
    <w:rsid w:val="003E7E9B"/>
    <w:rsid w:val="003E7FAF"/>
    <w:rsid w:val="003F0354"/>
    <w:rsid w:val="003F042F"/>
    <w:rsid w:val="003F0541"/>
    <w:rsid w:val="003F0561"/>
    <w:rsid w:val="003F067C"/>
    <w:rsid w:val="003F09BF"/>
    <w:rsid w:val="003F0AC4"/>
    <w:rsid w:val="003F0AC7"/>
    <w:rsid w:val="003F0C73"/>
    <w:rsid w:val="003F0DB0"/>
    <w:rsid w:val="003F0DF5"/>
    <w:rsid w:val="003F0E35"/>
    <w:rsid w:val="003F0E42"/>
    <w:rsid w:val="003F0F5F"/>
    <w:rsid w:val="003F0FF9"/>
    <w:rsid w:val="003F10A3"/>
    <w:rsid w:val="003F1177"/>
    <w:rsid w:val="003F11C1"/>
    <w:rsid w:val="003F12FB"/>
    <w:rsid w:val="003F1347"/>
    <w:rsid w:val="003F1398"/>
    <w:rsid w:val="003F1401"/>
    <w:rsid w:val="003F142E"/>
    <w:rsid w:val="003F14B8"/>
    <w:rsid w:val="003F157E"/>
    <w:rsid w:val="003F1887"/>
    <w:rsid w:val="003F19CA"/>
    <w:rsid w:val="003F1A08"/>
    <w:rsid w:val="003F1B2A"/>
    <w:rsid w:val="003F1B31"/>
    <w:rsid w:val="003F1B4F"/>
    <w:rsid w:val="003F1D30"/>
    <w:rsid w:val="003F1D74"/>
    <w:rsid w:val="003F1FAD"/>
    <w:rsid w:val="003F210B"/>
    <w:rsid w:val="003F2163"/>
    <w:rsid w:val="003F224D"/>
    <w:rsid w:val="003F2364"/>
    <w:rsid w:val="003F2371"/>
    <w:rsid w:val="003F2412"/>
    <w:rsid w:val="003F2447"/>
    <w:rsid w:val="003F26EF"/>
    <w:rsid w:val="003F2D0C"/>
    <w:rsid w:val="003F2E0A"/>
    <w:rsid w:val="003F2EB2"/>
    <w:rsid w:val="003F30A4"/>
    <w:rsid w:val="003F30CF"/>
    <w:rsid w:val="003F31AE"/>
    <w:rsid w:val="003F3491"/>
    <w:rsid w:val="003F3594"/>
    <w:rsid w:val="003F3AD2"/>
    <w:rsid w:val="003F3C43"/>
    <w:rsid w:val="003F3C79"/>
    <w:rsid w:val="003F3C98"/>
    <w:rsid w:val="003F3CE8"/>
    <w:rsid w:val="003F3D08"/>
    <w:rsid w:val="003F3D2F"/>
    <w:rsid w:val="003F3D50"/>
    <w:rsid w:val="003F4425"/>
    <w:rsid w:val="003F45AC"/>
    <w:rsid w:val="003F45BD"/>
    <w:rsid w:val="003F467D"/>
    <w:rsid w:val="003F4978"/>
    <w:rsid w:val="003F49F2"/>
    <w:rsid w:val="003F4ABA"/>
    <w:rsid w:val="003F4B02"/>
    <w:rsid w:val="003F4B6E"/>
    <w:rsid w:val="003F4B77"/>
    <w:rsid w:val="003F4B7C"/>
    <w:rsid w:val="003F4C98"/>
    <w:rsid w:val="003F4CC1"/>
    <w:rsid w:val="003F4DF2"/>
    <w:rsid w:val="003F507C"/>
    <w:rsid w:val="003F51D7"/>
    <w:rsid w:val="003F5203"/>
    <w:rsid w:val="003F53D5"/>
    <w:rsid w:val="003F5507"/>
    <w:rsid w:val="003F5554"/>
    <w:rsid w:val="003F555B"/>
    <w:rsid w:val="003F55C7"/>
    <w:rsid w:val="003F5608"/>
    <w:rsid w:val="003F5681"/>
    <w:rsid w:val="003F5EAF"/>
    <w:rsid w:val="003F5F2E"/>
    <w:rsid w:val="003F600D"/>
    <w:rsid w:val="003F607A"/>
    <w:rsid w:val="003F6089"/>
    <w:rsid w:val="003F61BF"/>
    <w:rsid w:val="003F61D4"/>
    <w:rsid w:val="003F6344"/>
    <w:rsid w:val="003F6496"/>
    <w:rsid w:val="003F6842"/>
    <w:rsid w:val="003F6858"/>
    <w:rsid w:val="003F6880"/>
    <w:rsid w:val="003F68C6"/>
    <w:rsid w:val="003F6E48"/>
    <w:rsid w:val="003F6F82"/>
    <w:rsid w:val="003F70E9"/>
    <w:rsid w:val="003F71E8"/>
    <w:rsid w:val="003F75EA"/>
    <w:rsid w:val="003F76C4"/>
    <w:rsid w:val="003F7731"/>
    <w:rsid w:val="003F7733"/>
    <w:rsid w:val="003F781B"/>
    <w:rsid w:val="003F782C"/>
    <w:rsid w:val="003F79C0"/>
    <w:rsid w:val="003F7C11"/>
    <w:rsid w:val="003F7D3B"/>
    <w:rsid w:val="003F7DD5"/>
    <w:rsid w:val="003F7F1F"/>
    <w:rsid w:val="003F7FA8"/>
    <w:rsid w:val="0040003A"/>
    <w:rsid w:val="00400093"/>
    <w:rsid w:val="0040022C"/>
    <w:rsid w:val="004003F2"/>
    <w:rsid w:val="00400438"/>
    <w:rsid w:val="0040054F"/>
    <w:rsid w:val="0040061E"/>
    <w:rsid w:val="0040062A"/>
    <w:rsid w:val="004006F4"/>
    <w:rsid w:val="0040090E"/>
    <w:rsid w:val="004009F1"/>
    <w:rsid w:val="00400A16"/>
    <w:rsid w:val="00400B0E"/>
    <w:rsid w:val="0040102E"/>
    <w:rsid w:val="0040105F"/>
    <w:rsid w:val="004011A4"/>
    <w:rsid w:val="0040122C"/>
    <w:rsid w:val="00401265"/>
    <w:rsid w:val="004013DE"/>
    <w:rsid w:val="00401599"/>
    <w:rsid w:val="00401A27"/>
    <w:rsid w:val="00401B98"/>
    <w:rsid w:val="00401CE3"/>
    <w:rsid w:val="00401D72"/>
    <w:rsid w:val="00401DDF"/>
    <w:rsid w:val="00401E12"/>
    <w:rsid w:val="00401E85"/>
    <w:rsid w:val="00401FB2"/>
    <w:rsid w:val="004020D5"/>
    <w:rsid w:val="004021B8"/>
    <w:rsid w:val="004022FB"/>
    <w:rsid w:val="00402310"/>
    <w:rsid w:val="0040233B"/>
    <w:rsid w:val="004024D0"/>
    <w:rsid w:val="0040260A"/>
    <w:rsid w:val="0040262D"/>
    <w:rsid w:val="0040265A"/>
    <w:rsid w:val="00402695"/>
    <w:rsid w:val="00402AA9"/>
    <w:rsid w:val="00402C36"/>
    <w:rsid w:val="00402CAC"/>
    <w:rsid w:val="00402D1C"/>
    <w:rsid w:val="00402D26"/>
    <w:rsid w:val="00402DA8"/>
    <w:rsid w:val="00402DF0"/>
    <w:rsid w:val="00402FB3"/>
    <w:rsid w:val="00402FC6"/>
    <w:rsid w:val="004030C6"/>
    <w:rsid w:val="004034CD"/>
    <w:rsid w:val="00403585"/>
    <w:rsid w:val="00403595"/>
    <w:rsid w:val="00403751"/>
    <w:rsid w:val="00403795"/>
    <w:rsid w:val="00403A54"/>
    <w:rsid w:val="00403D0E"/>
    <w:rsid w:val="00403E9F"/>
    <w:rsid w:val="00403EE0"/>
    <w:rsid w:val="00403FE2"/>
    <w:rsid w:val="004040BB"/>
    <w:rsid w:val="0040414F"/>
    <w:rsid w:val="00404211"/>
    <w:rsid w:val="00404267"/>
    <w:rsid w:val="004044F5"/>
    <w:rsid w:val="0040460A"/>
    <w:rsid w:val="004047CE"/>
    <w:rsid w:val="00404804"/>
    <w:rsid w:val="004048EF"/>
    <w:rsid w:val="0040491C"/>
    <w:rsid w:val="00404B64"/>
    <w:rsid w:val="00404C75"/>
    <w:rsid w:val="00404D5C"/>
    <w:rsid w:val="00404EA7"/>
    <w:rsid w:val="004050AA"/>
    <w:rsid w:val="00405100"/>
    <w:rsid w:val="00405124"/>
    <w:rsid w:val="0040521B"/>
    <w:rsid w:val="0040525C"/>
    <w:rsid w:val="0040541A"/>
    <w:rsid w:val="00405499"/>
    <w:rsid w:val="00405542"/>
    <w:rsid w:val="00405694"/>
    <w:rsid w:val="0040574D"/>
    <w:rsid w:val="00405795"/>
    <w:rsid w:val="004057A8"/>
    <w:rsid w:val="00405953"/>
    <w:rsid w:val="00405A87"/>
    <w:rsid w:val="00405AE1"/>
    <w:rsid w:val="00405B86"/>
    <w:rsid w:val="00405DC5"/>
    <w:rsid w:val="00406120"/>
    <w:rsid w:val="00406192"/>
    <w:rsid w:val="004062BB"/>
    <w:rsid w:val="004065B8"/>
    <w:rsid w:val="00406735"/>
    <w:rsid w:val="0040694B"/>
    <w:rsid w:val="00406BAA"/>
    <w:rsid w:val="00406E06"/>
    <w:rsid w:val="00406F69"/>
    <w:rsid w:val="0040700E"/>
    <w:rsid w:val="00407173"/>
    <w:rsid w:val="0040739B"/>
    <w:rsid w:val="00407421"/>
    <w:rsid w:val="00407652"/>
    <w:rsid w:val="00407A18"/>
    <w:rsid w:val="00407ADE"/>
    <w:rsid w:val="00407CD2"/>
    <w:rsid w:val="00407D98"/>
    <w:rsid w:val="00407DA9"/>
    <w:rsid w:val="00407F4F"/>
    <w:rsid w:val="004104AE"/>
    <w:rsid w:val="00410620"/>
    <w:rsid w:val="0041098C"/>
    <w:rsid w:val="004109A2"/>
    <w:rsid w:val="004109DC"/>
    <w:rsid w:val="00410BA6"/>
    <w:rsid w:val="00410CBC"/>
    <w:rsid w:val="00411012"/>
    <w:rsid w:val="004112DE"/>
    <w:rsid w:val="004112FF"/>
    <w:rsid w:val="00411321"/>
    <w:rsid w:val="004117B6"/>
    <w:rsid w:val="00411924"/>
    <w:rsid w:val="00411A31"/>
    <w:rsid w:val="00411AA6"/>
    <w:rsid w:val="00411AC6"/>
    <w:rsid w:val="00411B57"/>
    <w:rsid w:val="00411CEC"/>
    <w:rsid w:val="00411E35"/>
    <w:rsid w:val="00411ED7"/>
    <w:rsid w:val="004120BB"/>
    <w:rsid w:val="004121AA"/>
    <w:rsid w:val="00412575"/>
    <w:rsid w:val="004127E6"/>
    <w:rsid w:val="00412A34"/>
    <w:rsid w:val="00412A98"/>
    <w:rsid w:val="00412AF3"/>
    <w:rsid w:val="00412B26"/>
    <w:rsid w:val="00412C71"/>
    <w:rsid w:val="00412E28"/>
    <w:rsid w:val="00412E6B"/>
    <w:rsid w:val="00412F6C"/>
    <w:rsid w:val="004131C3"/>
    <w:rsid w:val="004132F8"/>
    <w:rsid w:val="004133A8"/>
    <w:rsid w:val="0041342B"/>
    <w:rsid w:val="004135A5"/>
    <w:rsid w:val="00413848"/>
    <w:rsid w:val="00413866"/>
    <w:rsid w:val="00413881"/>
    <w:rsid w:val="00413900"/>
    <w:rsid w:val="0041393C"/>
    <w:rsid w:val="004139E1"/>
    <w:rsid w:val="00414162"/>
    <w:rsid w:val="004141EB"/>
    <w:rsid w:val="004141F5"/>
    <w:rsid w:val="00414331"/>
    <w:rsid w:val="004143BC"/>
    <w:rsid w:val="00414449"/>
    <w:rsid w:val="00414492"/>
    <w:rsid w:val="004144B0"/>
    <w:rsid w:val="004146F8"/>
    <w:rsid w:val="00414718"/>
    <w:rsid w:val="00414733"/>
    <w:rsid w:val="004147E7"/>
    <w:rsid w:val="0041488A"/>
    <w:rsid w:val="004148B4"/>
    <w:rsid w:val="00414CD7"/>
    <w:rsid w:val="00414E91"/>
    <w:rsid w:val="00414EF7"/>
    <w:rsid w:val="00415071"/>
    <w:rsid w:val="004154A2"/>
    <w:rsid w:val="004154CE"/>
    <w:rsid w:val="00415634"/>
    <w:rsid w:val="0041564C"/>
    <w:rsid w:val="0041580A"/>
    <w:rsid w:val="004159F5"/>
    <w:rsid w:val="00415E7C"/>
    <w:rsid w:val="00415FA8"/>
    <w:rsid w:val="004162D9"/>
    <w:rsid w:val="004162F8"/>
    <w:rsid w:val="00416335"/>
    <w:rsid w:val="00416535"/>
    <w:rsid w:val="00416C04"/>
    <w:rsid w:val="00416C26"/>
    <w:rsid w:val="00416C3E"/>
    <w:rsid w:val="00416C6E"/>
    <w:rsid w:val="00416CDA"/>
    <w:rsid w:val="00416E83"/>
    <w:rsid w:val="004170C4"/>
    <w:rsid w:val="004170F3"/>
    <w:rsid w:val="0041710D"/>
    <w:rsid w:val="004172B0"/>
    <w:rsid w:val="004172D1"/>
    <w:rsid w:val="00417425"/>
    <w:rsid w:val="004174AB"/>
    <w:rsid w:val="00417541"/>
    <w:rsid w:val="00417B5F"/>
    <w:rsid w:val="00417C53"/>
    <w:rsid w:val="00417CD3"/>
    <w:rsid w:val="00417D72"/>
    <w:rsid w:val="00417E42"/>
    <w:rsid w:val="00420095"/>
    <w:rsid w:val="00420157"/>
    <w:rsid w:val="00420276"/>
    <w:rsid w:val="004202F3"/>
    <w:rsid w:val="0042033B"/>
    <w:rsid w:val="00420791"/>
    <w:rsid w:val="004207A0"/>
    <w:rsid w:val="00420977"/>
    <w:rsid w:val="00420AC9"/>
    <w:rsid w:val="00420B64"/>
    <w:rsid w:val="00420CC9"/>
    <w:rsid w:val="00420D87"/>
    <w:rsid w:val="0042102E"/>
    <w:rsid w:val="00421051"/>
    <w:rsid w:val="0042106B"/>
    <w:rsid w:val="00421128"/>
    <w:rsid w:val="00421268"/>
    <w:rsid w:val="00421338"/>
    <w:rsid w:val="0042158D"/>
    <w:rsid w:val="004216D6"/>
    <w:rsid w:val="00421A4F"/>
    <w:rsid w:val="00421A66"/>
    <w:rsid w:val="00421E76"/>
    <w:rsid w:val="00421EC1"/>
    <w:rsid w:val="00421FD4"/>
    <w:rsid w:val="00422272"/>
    <w:rsid w:val="0042238E"/>
    <w:rsid w:val="00422498"/>
    <w:rsid w:val="004226AD"/>
    <w:rsid w:val="00422796"/>
    <w:rsid w:val="004227B7"/>
    <w:rsid w:val="00422BF2"/>
    <w:rsid w:val="00422F64"/>
    <w:rsid w:val="00422FED"/>
    <w:rsid w:val="004230CF"/>
    <w:rsid w:val="004230E8"/>
    <w:rsid w:val="00423276"/>
    <w:rsid w:val="0042340D"/>
    <w:rsid w:val="0042344F"/>
    <w:rsid w:val="00423664"/>
    <w:rsid w:val="0042369C"/>
    <w:rsid w:val="004236E7"/>
    <w:rsid w:val="00423AC9"/>
    <w:rsid w:val="00423AD1"/>
    <w:rsid w:val="00423CBB"/>
    <w:rsid w:val="00423CDC"/>
    <w:rsid w:val="00423CDD"/>
    <w:rsid w:val="004240B8"/>
    <w:rsid w:val="004241E7"/>
    <w:rsid w:val="0042426A"/>
    <w:rsid w:val="004242C7"/>
    <w:rsid w:val="00424375"/>
    <w:rsid w:val="004244EE"/>
    <w:rsid w:val="00424576"/>
    <w:rsid w:val="004246BB"/>
    <w:rsid w:val="004249D2"/>
    <w:rsid w:val="00424A05"/>
    <w:rsid w:val="00424AF5"/>
    <w:rsid w:val="00424B7A"/>
    <w:rsid w:val="00424C6C"/>
    <w:rsid w:val="00424D08"/>
    <w:rsid w:val="00424F02"/>
    <w:rsid w:val="00424FA9"/>
    <w:rsid w:val="004251C7"/>
    <w:rsid w:val="004252E0"/>
    <w:rsid w:val="004253C2"/>
    <w:rsid w:val="00425455"/>
    <w:rsid w:val="004255AE"/>
    <w:rsid w:val="004257E3"/>
    <w:rsid w:val="00425930"/>
    <w:rsid w:val="00425CAC"/>
    <w:rsid w:val="00425CE2"/>
    <w:rsid w:val="00425D61"/>
    <w:rsid w:val="00425E3E"/>
    <w:rsid w:val="00425FB3"/>
    <w:rsid w:val="0042603D"/>
    <w:rsid w:val="0042607C"/>
    <w:rsid w:val="004260CC"/>
    <w:rsid w:val="0042617B"/>
    <w:rsid w:val="00426193"/>
    <w:rsid w:val="004262B1"/>
    <w:rsid w:val="004263A8"/>
    <w:rsid w:val="00426445"/>
    <w:rsid w:val="0042645B"/>
    <w:rsid w:val="0042697D"/>
    <w:rsid w:val="00426A00"/>
    <w:rsid w:val="00426BE9"/>
    <w:rsid w:val="00426C36"/>
    <w:rsid w:val="00426CD5"/>
    <w:rsid w:val="00426DA2"/>
    <w:rsid w:val="004272FC"/>
    <w:rsid w:val="00427395"/>
    <w:rsid w:val="004274FB"/>
    <w:rsid w:val="00427538"/>
    <w:rsid w:val="00427558"/>
    <w:rsid w:val="00427620"/>
    <w:rsid w:val="004276A8"/>
    <w:rsid w:val="004276CE"/>
    <w:rsid w:val="004277A7"/>
    <w:rsid w:val="00427897"/>
    <w:rsid w:val="00427A7E"/>
    <w:rsid w:val="00427B34"/>
    <w:rsid w:val="00427B58"/>
    <w:rsid w:val="00427D45"/>
    <w:rsid w:val="00427EA7"/>
    <w:rsid w:val="00427EEC"/>
    <w:rsid w:val="00427FB5"/>
    <w:rsid w:val="004300D7"/>
    <w:rsid w:val="00430268"/>
    <w:rsid w:val="004303C1"/>
    <w:rsid w:val="00430854"/>
    <w:rsid w:val="00430B0F"/>
    <w:rsid w:val="00430B55"/>
    <w:rsid w:val="00430CD0"/>
    <w:rsid w:val="00430E48"/>
    <w:rsid w:val="00430EB4"/>
    <w:rsid w:val="00430ECE"/>
    <w:rsid w:val="00430FDD"/>
    <w:rsid w:val="00431362"/>
    <w:rsid w:val="0043136F"/>
    <w:rsid w:val="004314E7"/>
    <w:rsid w:val="004316A7"/>
    <w:rsid w:val="0043180F"/>
    <w:rsid w:val="004318F5"/>
    <w:rsid w:val="00431E30"/>
    <w:rsid w:val="00431FD5"/>
    <w:rsid w:val="00432275"/>
    <w:rsid w:val="00432307"/>
    <w:rsid w:val="0043241F"/>
    <w:rsid w:val="00432518"/>
    <w:rsid w:val="004325C1"/>
    <w:rsid w:val="00432812"/>
    <w:rsid w:val="004328DD"/>
    <w:rsid w:val="00432ADC"/>
    <w:rsid w:val="00432B18"/>
    <w:rsid w:val="00432BC8"/>
    <w:rsid w:val="00432BF0"/>
    <w:rsid w:val="00432D22"/>
    <w:rsid w:val="00432DB4"/>
    <w:rsid w:val="00432F0D"/>
    <w:rsid w:val="00432F48"/>
    <w:rsid w:val="00432FD4"/>
    <w:rsid w:val="004334DD"/>
    <w:rsid w:val="00433517"/>
    <w:rsid w:val="00433878"/>
    <w:rsid w:val="004339F6"/>
    <w:rsid w:val="00433B13"/>
    <w:rsid w:val="00433C6B"/>
    <w:rsid w:val="00433E40"/>
    <w:rsid w:val="00433E42"/>
    <w:rsid w:val="00434264"/>
    <w:rsid w:val="0043428E"/>
    <w:rsid w:val="004342D3"/>
    <w:rsid w:val="00434389"/>
    <w:rsid w:val="004345E1"/>
    <w:rsid w:val="00434603"/>
    <w:rsid w:val="0043473B"/>
    <w:rsid w:val="004348AC"/>
    <w:rsid w:val="0043494A"/>
    <w:rsid w:val="00434954"/>
    <w:rsid w:val="00434B01"/>
    <w:rsid w:val="00434B16"/>
    <w:rsid w:val="00434E35"/>
    <w:rsid w:val="00434E4D"/>
    <w:rsid w:val="00435117"/>
    <w:rsid w:val="0043513D"/>
    <w:rsid w:val="004351BC"/>
    <w:rsid w:val="00435431"/>
    <w:rsid w:val="004355AA"/>
    <w:rsid w:val="004355B8"/>
    <w:rsid w:val="0043564E"/>
    <w:rsid w:val="004356A6"/>
    <w:rsid w:val="0043589F"/>
    <w:rsid w:val="004358DF"/>
    <w:rsid w:val="00435A78"/>
    <w:rsid w:val="00435C52"/>
    <w:rsid w:val="00435FEB"/>
    <w:rsid w:val="0043616B"/>
    <w:rsid w:val="0043618E"/>
    <w:rsid w:val="00436234"/>
    <w:rsid w:val="00436245"/>
    <w:rsid w:val="0043636A"/>
    <w:rsid w:val="00436605"/>
    <w:rsid w:val="00436737"/>
    <w:rsid w:val="004369C9"/>
    <w:rsid w:val="00436C62"/>
    <w:rsid w:val="00436D10"/>
    <w:rsid w:val="00437054"/>
    <w:rsid w:val="00437119"/>
    <w:rsid w:val="00437128"/>
    <w:rsid w:val="004371B1"/>
    <w:rsid w:val="004373C7"/>
    <w:rsid w:val="0043742F"/>
    <w:rsid w:val="00437686"/>
    <w:rsid w:val="0043768C"/>
    <w:rsid w:val="004376BF"/>
    <w:rsid w:val="00437A4A"/>
    <w:rsid w:val="00437C12"/>
    <w:rsid w:val="00437C2C"/>
    <w:rsid w:val="00437CBA"/>
    <w:rsid w:val="00437D9C"/>
    <w:rsid w:val="00437E44"/>
    <w:rsid w:val="00437E87"/>
    <w:rsid w:val="00437EC0"/>
    <w:rsid w:val="004400F2"/>
    <w:rsid w:val="004402DA"/>
    <w:rsid w:val="00440434"/>
    <w:rsid w:val="004409B7"/>
    <w:rsid w:val="00440A25"/>
    <w:rsid w:val="00440AFF"/>
    <w:rsid w:val="00440D10"/>
    <w:rsid w:val="00440F96"/>
    <w:rsid w:val="004410BD"/>
    <w:rsid w:val="00441102"/>
    <w:rsid w:val="00441503"/>
    <w:rsid w:val="00441758"/>
    <w:rsid w:val="00441A54"/>
    <w:rsid w:val="00441B45"/>
    <w:rsid w:val="00441C0B"/>
    <w:rsid w:val="00441CAB"/>
    <w:rsid w:val="00441E78"/>
    <w:rsid w:val="00441F6B"/>
    <w:rsid w:val="00442086"/>
    <w:rsid w:val="004421E1"/>
    <w:rsid w:val="004421F5"/>
    <w:rsid w:val="004422DA"/>
    <w:rsid w:val="004426A1"/>
    <w:rsid w:val="004427F2"/>
    <w:rsid w:val="00442964"/>
    <w:rsid w:val="004429B5"/>
    <w:rsid w:val="004429F8"/>
    <w:rsid w:val="00442AE6"/>
    <w:rsid w:val="00442C46"/>
    <w:rsid w:val="00442E6F"/>
    <w:rsid w:val="004431DB"/>
    <w:rsid w:val="00443252"/>
    <w:rsid w:val="004432F5"/>
    <w:rsid w:val="0044346A"/>
    <w:rsid w:val="00443537"/>
    <w:rsid w:val="004435F6"/>
    <w:rsid w:val="0044372E"/>
    <w:rsid w:val="00443882"/>
    <w:rsid w:val="004439B4"/>
    <w:rsid w:val="00443A7F"/>
    <w:rsid w:val="00443A89"/>
    <w:rsid w:val="00443B92"/>
    <w:rsid w:val="00443BC3"/>
    <w:rsid w:val="00443BCC"/>
    <w:rsid w:val="00443D87"/>
    <w:rsid w:val="00443E20"/>
    <w:rsid w:val="004440BC"/>
    <w:rsid w:val="004441B5"/>
    <w:rsid w:val="004441F1"/>
    <w:rsid w:val="004442BF"/>
    <w:rsid w:val="0044437D"/>
    <w:rsid w:val="0044444C"/>
    <w:rsid w:val="004445FD"/>
    <w:rsid w:val="004447E0"/>
    <w:rsid w:val="004447FD"/>
    <w:rsid w:val="00444AD0"/>
    <w:rsid w:val="00444C7B"/>
    <w:rsid w:val="00445431"/>
    <w:rsid w:val="0044545D"/>
    <w:rsid w:val="00445670"/>
    <w:rsid w:val="00445828"/>
    <w:rsid w:val="0044588A"/>
    <w:rsid w:val="00445CB2"/>
    <w:rsid w:val="00445D31"/>
    <w:rsid w:val="00445DB1"/>
    <w:rsid w:val="00446048"/>
    <w:rsid w:val="0044607E"/>
    <w:rsid w:val="004460CB"/>
    <w:rsid w:val="00446614"/>
    <w:rsid w:val="004466F2"/>
    <w:rsid w:val="00446804"/>
    <w:rsid w:val="00446838"/>
    <w:rsid w:val="00446A95"/>
    <w:rsid w:val="00446C2A"/>
    <w:rsid w:val="00446CF6"/>
    <w:rsid w:val="00446EF8"/>
    <w:rsid w:val="0044726C"/>
    <w:rsid w:val="0044735F"/>
    <w:rsid w:val="00447454"/>
    <w:rsid w:val="0044762E"/>
    <w:rsid w:val="0044769B"/>
    <w:rsid w:val="004477DB"/>
    <w:rsid w:val="0044786C"/>
    <w:rsid w:val="00447B74"/>
    <w:rsid w:val="00447CE9"/>
    <w:rsid w:val="00447EE8"/>
    <w:rsid w:val="00447FB2"/>
    <w:rsid w:val="004500D4"/>
    <w:rsid w:val="00450190"/>
    <w:rsid w:val="0045038E"/>
    <w:rsid w:val="00450686"/>
    <w:rsid w:val="004506A6"/>
    <w:rsid w:val="004506D1"/>
    <w:rsid w:val="004508FB"/>
    <w:rsid w:val="00450A7F"/>
    <w:rsid w:val="00450B23"/>
    <w:rsid w:val="00450B6E"/>
    <w:rsid w:val="00450B8F"/>
    <w:rsid w:val="00450BCA"/>
    <w:rsid w:val="00450CB0"/>
    <w:rsid w:val="00450F95"/>
    <w:rsid w:val="00451147"/>
    <w:rsid w:val="00451173"/>
    <w:rsid w:val="0045119C"/>
    <w:rsid w:val="004511BB"/>
    <w:rsid w:val="00451475"/>
    <w:rsid w:val="00451638"/>
    <w:rsid w:val="0045167B"/>
    <w:rsid w:val="004516C4"/>
    <w:rsid w:val="00451818"/>
    <w:rsid w:val="004518F6"/>
    <w:rsid w:val="00451B1A"/>
    <w:rsid w:val="00451EBA"/>
    <w:rsid w:val="00452201"/>
    <w:rsid w:val="00452209"/>
    <w:rsid w:val="00452532"/>
    <w:rsid w:val="00452847"/>
    <w:rsid w:val="0045286E"/>
    <w:rsid w:val="00452931"/>
    <w:rsid w:val="004529FF"/>
    <w:rsid w:val="00452A3F"/>
    <w:rsid w:val="00452B59"/>
    <w:rsid w:val="00452B6A"/>
    <w:rsid w:val="00452C61"/>
    <w:rsid w:val="00452C76"/>
    <w:rsid w:val="00452D06"/>
    <w:rsid w:val="00452E10"/>
    <w:rsid w:val="00452F19"/>
    <w:rsid w:val="0045315D"/>
    <w:rsid w:val="004532AC"/>
    <w:rsid w:val="00453309"/>
    <w:rsid w:val="00453684"/>
    <w:rsid w:val="004536C5"/>
    <w:rsid w:val="00453C38"/>
    <w:rsid w:val="00453CFA"/>
    <w:rsid w:val="00453DBE"/>
    <w:rsid w:val="00453E1C"/>
    <w:rsid w:val="0045420C"/>
    <w:rsid w:val="0045422B"/>
    <w:rsid w:val="004543A2"/>
    <w:rsid w:val="004543F8"/>
    <w:rsid w:val="00454449"/>
    <w:rsid w:val="00454503"/>
    <w:rsid w:val="00454955"/>
    <w:rsid w:val="004549A7"/>
    <w:rsid w:val="00454A45"/>
    <w:rsid w:val="00454BED"/>
    <w:rsid w:val="00454E13"/>
    <w:rsid w:val="00454E2E"/>
    <w:rsid w:val="0045501B"/>
    <w:rsid w:val="00455120"/>
    <w:rsid w:val="004551DF"/>
    <w:rsid w:val="004553B0"/>
    <w:rsid w:val="0045557E"/>
    <w:rsid w:val="0045576A"/>
    <w:rsid w:val="004557A0"/>
    <w:rsid w:val="00455950"/>
    <w:rsid w:val="00455A08"/>
    <w:rsid w:val="00455B36"/>
    <w:rsid w:val="00455C4F"/>
    <w:rsid w:val="00455C66"/>
    <w:rsid w:val="00455D81"/>
    <w:rsid w:val="00455E03"/>
    <w:rsid w:val="00455E65"/>
    <w:rsid w:val="00455E89"/>
    <w:rsid w:val="00455ECE"/>
    <w:rsid w:val="00455F6F"/>
    <w:rsid w:val="00456268"/>
    <w:rsid w:val="00456386"/>
    <w:rsid w:val="00456608"/>
    <w:rsid w:val="004566E8"/>
    <w:rsid w:val="00456878"/>
    <w:rsid w:val="004568E5"/>
    <w:rsid w:val="00456936"/>
    <w:rsid w:val="00456A6E"/>
    <w:rsid w:val="00456B6A"/>
    <w:rsid w:val="00456C20"/>
    <w:rsid w:val="00456D5B"/>
    <w:rsid w:val="004572F2"/>
    <w:rsid w:val="004573E7"/>
    <w:rsid w:val="00457499"/>
    <w:rsid w:val="004574CB"/>
    <w:rsid w:val="00457761"/>
    <w:rsid w:val="0045782F"/>
    <w:rsid w:val="00457972"/>
    <w:rsid w:val="00457B1A"/>
    <w:rsid w:val="00457B39"/>
    <w:rsid w:val="00457B93"/>
    <w:rsid w:val="00457C6B"/>
    <w:rsid w:val="00457C75"/>
    <w:rsid w:val="00457D99"/>
    <w:rsid w:val="00457E69"/>
    <w:rsid w:val="00457FD3"/>
    <w:rsid w:val="004600F5"/>
    <w:rsid w:val="004601BA"/>
    <w:rsid w:val="0046056F"/>
    <w:rsid w:val="004605C6"/>
    <w:rsid w:val="004606EC"/>
    <w:rsid w:val="004608BF"/>
    <w:rsid w:val="004608E2"/>
    <w:rsid w:val="004608EB"/>
    <w:rsid w:val="0046096B"/>
    <w:rsid w:val="00460A37"/>
    <w:rsid w:val="00460AF7"/>
    <w:rsid w:val="00460B94"/>
    <w:rsid w:val="00460C7C"/>
    <w:rsid w:val="00460ECA"/>
    <w:rsid w:val="00460F67"/>
    <w:rsid w:val="00461041"/>
    <w:rsid w:val="004610CD"/>
    <w:rsid w:val="00461171"/>
    <w:rsid w:val="004612F0"/>
    <w:rsid w:val="004613EC"/>
    <w:rsid w:val="0046144A"/>
    <w:rsid w:val="0046182F"/>
    <w:rsid w:val="004619B9"/>
    <w:rsid w:val="00461A2E"/>
    <w:rsid w:val="00461CBF"/>
    <w:rsid w:val="00461D22"/>
    <w:rsid w:val="00461EB7"/>
    <w:rsid w:val="00461EFF"/>
    <w:rsid w:val="00461F1B"/>
    <w:rsid w:val="00461F8E"/>
    <w:rsid w:val="00462040"/>
    <w:rsid w:val="00462224"/>
    <w:rsid w:val="00462253"/>
    <w:rsid w:val="00462341"/>
    <w:rsid w:val="0046237F"/>
    <w:rsid w:val="004625FA"/>
    <w:rsid w:val="004627CB"/>
    <w:rsid w:val="00462833"/>
    <w:rsid w:val="00462897"/>
    <w:rsid w:val="00462A0E"/>
    <w:rsid w:val="00462A61"/>
    <w:rsid w:val="00462B64"/>
    <w:rsid w:val="00462B99"/>
    <w:rsid w:val="00462BA1"/>
    <w:rsid w:val="00462C0D"/>
    <w:rsid w:val="00462E42"/>
    <w:rsid w:val="00462F14"/>
    <w:rsid w:val="00463160"/>
    <w:rsid w:val="00463259"/>
    <w:rsid w:val="00463294"/>
    <w:rsid w:val="00463340"/>
    <w:rsid w:val="004634EB"/>
    <w:rsid w:val="004635E9"/>
    <w:rsid w:val="0046373C"/>
    <w:rsid w:val="0046378D"/>
    <w:rsid w:val="00463820"/>
    <w:rsid w:val="00463864"/>
    <w:rsid w:val="0046388E"/>
    <w:rsid w:val="00463B41"/>
    <w:rsid w:val="00463BAE"/>
    <w:rsid w:val="00463BD2"/>
    <w:rsid w:val="00463C63"/>
    <w:rsid w:val="00463CC8"/>
    <w:rsid w:val="00463E22"/>
    <w:rsid w:val="00463E84"/>
    <w:rsid w:val="00463FEF"/>
    <w:rsid w:val="004640CF"/>
    <w:rsid w:val="0046450A"/>
    <w:rsid w:val="00464625"/>
    <w:rsid w:val="0046465A"/>
    <w:rsid w:val="00464836"/>
    <w:rsid w:val="00464888"/>
    <w:rsid w:val="00464901"/>
    <w:rsid w:val="00464973"/>
    <w:rsid w:val="00464A64"/>
    <w:rsid w:val="00464B50"/>
    <w:rsid w:val="00464C8D"/>
    <w:rsid w:val="00464D53"/>
    <w:rsid w:val="00464F3C"/>
    <w:rsid w:val="00464FAA"/>
    <w:rsid w:val="00465044"/>
    <w:rsid w:val="00465111"/>
    <w:rsid w:val="00465174"/>
    <w:rsid w:val="00465336"/>
    <w:rsid w:val="004653E4"/>
    <w:rsid w:val="004653EE"/>
    <w:rsid w:val="004655BA"/>
    <w:rsid w:val="00465855"/>
    <w:rsid w:val="00465969"/>
    <w:rsid w:val="00465B6E"/>
    <w:rsid w:val="00465B6F"/>
    <w:rsid w:val="00465BDC"/>
    <w:rsid w:val="00465D44"/>
    <w:rsid w:val="00465E41"/>
    <w:rsid w:val="0046608B"/>
    <w:rsid w:val="004660C7"/>
    <w:rsid w:val="00466119"/>
    <w:rsid w:val="0046613A"/>
    <w:rsid w:val="00466327"/>
    <w:rsid w:val="0046634E"/>
    <w:rsid w:val="00466463"/>
    <w:rsid w:val="00466608"/>
    <w:rsid w:val="004666C6"/>
    <w:rsid w:val="0046689D"/>
    <w:rsid w:val="004668FA"/>
    <w:rsid w:val="00466AC4"/>
    <w:rsid w:val="00466C62"/>
    <w:rsid w:val="00466D6A"/>
    <w:rsid w:val="00466FF5"/>
    <w:rsid w:val="004671A0"/>
    <w:rsid w:val="00467350"/>
    <w:rsid w:val="00467368"/>
    <w:rsid w:val="00467462"/>
    <w:rsid w:val="0046760C"/>
    <w:rsid w:val="00467697"/>
    <w:rsid w:val="0046778D"/>
    <w:rsid w:val="00467AD1"/>
    <w:rsid w:val="00467BFF"/>
    <w:rsid w:val="00467C26"/>
    <w:rsid w:val="00467CEF"/>
    <w:rsid w:val="00467D12"/>
    <w:rsid w:val="00467D2B"/>
    <w:rsid w:val="00467DAC"/>
    <w:rsid w:val="00467F6F"/>
    <w:rsid w:val="00467F87"/>
    <w:rsid w:val="0047057C"/>
    <w:rsid w:val="0047086E"/>
    <w:rsid w:val="004708D1"/>
    <w:rsid w:val="00470C38"/>
    <w:rsid w:val="00470DF6"/>
    <w:rsid w:val="00470F29"/>
    <w:rsid w:val="00471083"/>
    <w:rsid w:val="004710CA"/>
    <w:rsid w:val="004713BF"/>
    <w:rsid w:val="004714D6"/>
    <w:rsid w:val="004715CC"/>
    <w:rsid w:val="0047162D"/>
    <w:rsid w:val="004717CE"/>
    <w:rsid w:val="004719F5"/>
    <w:rsid w:val="00471BDA"/>
    <w:rsid w:val="00471D4A"/>
    <w:rsid w:val="00472077"/>
    <w:rsid w:val="004720E1"/>
    <w:rsid w:val="0047217B"/>
    <w:rsid w:val="0047250E"/>
    <w:rsid w:val="00472552"/>
    <w:rsid w:val="00472776"/>
    <w:rsid w:val="00472816"/>
    <w:rsid w:val="00472895"/>
    <w:rsid w:val="00472A90"/>
    <w:rsid w:val="00472F4A"/>
    <w:rsid w:val="004730E5"/>
    <w:rsid w:val="00473137"/>
    <w:rsid w:val="00473486"/>
    <w:rsid w:val="004734DD"/>
    <w:rsid w:val="004734E6"/>
    <w:rsid w:val="00473798"/>
    <w:rsid w:val="00473BFC"/>
    <w:rsid w:val="00473D2D"/>
    <w:rsid w:val="00474508"/>
    <w:rsid w:val="004745DE"/>
    <w:rsid w:val="004746A2"/>
    <w:rsid w:val="00474711"/>
    <w:rsid w:val="004748E2"/>
    <w:rsid w:val="0047494E"/>
    <w:rsid w:val="00474B54"/>
    <w:rsid w:val="00474C49"/>
    <w:rsid w:val="00474C7B"/>
    <w:rsid w:val="00474CCE"/>
    <w:rsid w:val="00474D3C"/>
    <w:rsid w:val="00474DC0"/>
    <w:rsid w:val="00475526"/>
    <w:rsid w:val="0047582A"/>
    <w:rsid w:val="004758E4"/>
    <w:rsid w:val="004758FC"/>
    <w:rsid w:val="00475A1E"/>
    <w:rsid w:val="00475A9A"/>
    <w:rsid w:val="00475BD3"/>
    <w:rsid w:val="00475C54"/>
    <w:rsid w:val="00475D26"/>
    <w:rsid w:val="00475DA1"/>
    <w:rsid w:val="00475F6E"/>
    <w:rsid w:val="00475FA4"/>
    <w:rsid w:val="00475FF6"/>
    <w:rsid w:val="004760EC"/>
    <w:rsid w:val="00476404"/>
    <w:rsid w:val="00476503"/>
    <w:rsid w:val="00476537"/>
    <w:rsid w:val="004765D2"/>
    <w:rsid w:val="00476613"/>
    <w:rsid w:val="004767F2"/>
    <w:rsid w:val="004768BD"/>
    <w:rsid w:val="004769B3"/>
    <w:rsid w:val="00476A7E"/>
    <w:rsid w:val="00476D2A"/>
    <w:rsid w:val="00476FA9"/>
    <w:rsid w:val="0047702D"/>
    <w:rsid w:val="00477060"/>
    <w:rsid w:val="00477066"/>
    <w:rsid w:val="0047718D"/>
    <w:rsid w:val="00477199"/>
    <w:rsid w:val="00477306"/>
    <w:rsid w:val="0047732D"/>
    <w:rsid w:val="0047739C"/>
    <w:rsid w:val="00477422"/>
    <w:rsid w:val="0047768C"/>
    <w:rsid w:val="004776B0"/>
    <w:rsid w:val="004776D9"/>
    <w:rsid w:val="00477A9A"/>
    <w:rsid w:val="00477BEF"/>
    <w:rsid w:val="00477D44"/>
    <w:rsid w:val="0048002C"/>
    <w:rsid w:val="00480042"/>
    <w:rsid w:val="00480184"/>
    <w:rsid w:val="00480301"/>
    <w:rsid w:val="004805B2"/>
    <w:rsid w:val="00480616"/>
    <w:rsid w:val="00480751"/>
    <w:rsid w:val="004808FF"/>
    <w:rsid w:val="00480AA3"/>
    <w:rsid w:val="00480E1C"/>
    <w:rsid w:val="00480E87"/>
    <w:rsid w:val="00480EEC"/>
    <w:rsid w:val="00480FD4"/>
    <w:rsid w:val="00480FEE"/>
    <w:rsid w:val="00481077"/>
    <w:rsid w:val="004810E8"/>
    <w:rsid w:val="0048122A"/>
    <w:rsid w:val="00481248"/>
    <w:rsid w:val="00481544"/>
    <w:rsid w:val="004817F4"/>
    <w:rsid w:val="00481824"/>
    <w:rsid w:val="00481921"/>
    <w:rsid w:val="00481C10"/>
    <w:rsid w:val="00481C37"/>
    <w:rsid w:val="00481EFE"/>
    <w:rsid w:val="00481F36"/>
    <w:rsid w:val="00481F39"/>
    <w:rsid w:val="00481F70"/>
    <w:rsid w:val="00482107"/>
    <w:rsid w:val="00482127"/>
    <w:rsid w:val="0048229C"/>
    <w:rsid w:val="0048245F"/>
    <w:rsid w:val="004827B8"/>
    <w:rsid w:val="004827E2"/>
    <w:rsid w:val="00482B8C"/>
    <w:rsid w:val="00482BA0"/>
    <w:rsid w:val="00482C1F"/>
    <w:rsid w:val="00482C9B"/>
    <w:rsid w:val="00482D79"/>
    <w:rsid w:val="00482DF6"/>
    <w:rsid w:val="00482E9C"/>
    <w:rsid w:val="00483234"/>
    <w:rsid w:val="0048366E"/>
    <w:rsid w:val="00483808"/>
    <w:rsid w:val="00483A30"/>
    <w:rsid w:val="00483C51"/>
    <w:rsid w:val="00483F40"/>
    <w:rsid w:val="00483FAC"/>
    <w:rsid w:val="00483FBB"/>
    <w:rsid w:val="00484059"/>
    <w:rsid w:val="004840D9"/>
    <w:rsid w:val="004840E1"/>
    <w:rsid w:val="004840F7"/>
    <w:rsid w:val="004842C8"/>
    <w:rsid w:val="0048431B"/>
    <w:rsid w:val="004849F6"/>
    <w:rsid w:val="00484C7F"/>
    <w:rsid w:val="00484DC5"/>
    <w:rsid w:val="00484EFA"/>
    <w:rsid w:val="00484F07"/>
    <w:rsid w:val="00484FCC"/>
    <w:rsid w:val="00485361"/>
    <w:rsid w:val="004854D0"/>
    <w:rsid w:val="004855A2"/>
    <w:rsid w:val="00485F3D"/>
    <w:rsid w:val="00485FB3"/>
    <w:rsid w:val="00486140"/>
    <w:rsid w:val="004861C3"/>
    <w:rsid w:val="0048635A"/>
    <w:rsid w:val="00486530"/>
    <w:rsid w:val="0048663E"/>
    <w:rsid w:val="00486741"/>
    <w:rsid w:val="004868EE"/>
    <w:rsid w:val="00486A54"/>
    <w:rsid w:val="00486AAC"/>
    <w:rsid w:val="00486AAD"/>
    <w:rsid w:val="00486B30"/>
    <w:rsid w:val="00486B81"/>
    <w:rsid w:val="00486E6A"/>
    <w:rsid w:val="0048708F"/>
    <w:rsid w:val="00487182"/>
    <w:rsid w:val="00487208"/>
    <w:rsid w:val="00487275"/>
    <w:rsid w:val="00487327"/>
    <w:rsid w:val="004873F2"/>
    <w:rsid w:val="0048748F"/>
    <w:rsid w:val="0048758C"/>
    <w:rsid w:val="004876FD"/>
    <w:rsid w:val="0048772A"/>
    <w:rsid w:val="0048776D"/>
    <w:rsid w:val="00487A9C"/>
    <w:rsid w:val="00487AFA"/>
    <w:rsid w:val="00487B1F"/>
    <w:rsid w:val="00487C8C"/>
    <w:rsid w:val="00490091"/>
    <w:rsid w:val="004901AC"/>
    <w:rsid w:val="00490424"/>
    <w:rsid w:val="00490426"/>
    <w:rsid w:val="00490457"/>
    <w:rsid w:val="0049070B"/>
    <w:rsid w:val="00490A6A"/>
    <w:rsid w:val="00490C3A"/>
    <w:rsid w:val="00490CA5"/>
    <w:rsid w:val="00490E58"/>
    <w:rsid w:val="00490E93"/>
    <w:rsid w:val="00490F35"/>
    <w:rsid w:val="0049144B"/>
    <w:rsid w:val="00491453"/>
    <w:rsid w:val="004915F8"/>
    <w:rsid w:val="004916DC"/>
    <w:rsid w:val="00491900"/>
    <w:rsid w:val="00491996"/>
    <w:rsid w:val="00491F05"/>
    <w:rsid w:val="0049220C"/>
    <w:rsid w:val="0049253D"/>
    <w:rsid w:val="004928A2"/>
    <w:rsid w:val="00492C2B"/>
    <w:rsid w:val="00492DDF"/>
    <w:rsid w:val="00492DFC"/>
    <w:rsid w:val="00492E51"/>
    <w:rsid w:val="0049330F"/>
    <w:rsid w:val="0049332A"/>
    <w:rsid w:val="00493371"/>
    <w:rsid w:val="0049351B"/>
    <w:rsid w:val="0049363C"/>
    <w:rsid w:val="004937A0"/>
    <w:rsid w:val="00493C5A"/>
    <w:rsid w:val="00493C70"/>
    <w:rsid w:val="00493E16"/>
    <w:rsid w:val="00493F52"/>
    <w:rsid w:val="00493FEE"/>
    <w:rsid w:val="00494220"/>
    <w:rsid w:val="00494242"/>
    <w:rsid w:val="004942B1"/>
    <w:rsid w:val="0049491D"/>
    <w:rsid w:val="00494955"/>
    <w:rsid w:val="00494AB1"/>
    <w:rsid w:val="00494AE8"/>
    <w:rsid w:val="00494C2E"/>
    <w:rsid w:val="00494F35"/>
    <w:rsid w:val="00494F37"/>
    <w:rsid w:val="004950E1"/>
    <w:rsid w:val="004951F3"/>
    <w:rsid w:val="004955BE"/>
    <w:rsid w:val="004956D0"/>
    <w:rsid w:val="00495766"/>
    <w:rsid w:val="0049579D"/>
    <w:rsid w:val="00495848"/>
    <w:rsid w:val="0049589C"/>
    <w:rsid w:val="0049593F"/>
    <w:rsid w:val="0049595E"/>
    <w:rsid w:val="00495974"/>
    <w:rsid w:val="0049597F"/>
    <w:rsid w:val="00495998"/>
    <w:rsid w:val="00495B25"/>
    <w:rsid w:val="00495BCC"/>
    <w:rsid w:val="00495C15"/>
    <w:rsid w:val="00495C63"/>
    <w:rsid w:val="00495DDD"/>
    <w:rsid w:val="00495E46"/>
    <w:rsid w:val="00495EAF"/>
    <w:rsid w:val="00495FA7"/>
    <w:rsid w:val="0049601A"/>
    <w:rsid w:val="00496032"/>
    <w:rsid w:val="00496146"/>
    <w:rsid w:val="00496226"/>
    <w:rsid w:val="004962AE"/>
    <w:rsid w:val="0049644F"/>
    <w:rsid w:val="00496458"/>
    <w:rsid w:val="00496537"/>
    <w:rsid w:val="0049653C"/>
    <w:rsid w:val="00496612"/>
    <w:rsid w:val="004966BD"/>
    <w:rsid w:val="00496996"/>
    <w:rsid w:val="004969FB"/>
    <w:rsid w:val="00496A5F"/>
    <w:rsid w:val="00496C1F"/>
    <w:rsid w:val="00496C2F"/>
    <w:rsid w:val="00496E95"/>
    <w:rsid w:val="00496F36"/>
    <w:rsid w:val="00496F9B"/>
    <w:rsid w:val="00497245"/>
    <w:rsid w:val="00497789"/>
    <w:rsid w:val="004977B0"/>
    <w:rsid w:val="0049781E"/>
    <w:rsid w:val="00497834"/>
    <w:rsid w:val="0049799D"/>
    <w:rsid w:val="00497A1F"/>
    <w:rsid w:val="00497A4C"/>
    <w:rsid w:val="00497D43"/>
    <w:rsid w:val="00497E46"/>
    <w:rsid w:val="004A0040"/>
    <w:rsid w:val="004A0298"/>
    <w:rsid w:val="004A033D"/>
    <w:rsid w:val="004A0383"/>
    <w:rsid w:val="004A03CA"/>
    <w:rsid w:val="004A0448"/>
    <w:rsid w:val="004A0498"/>
    <w:rsid w:val="004A0531"/>
    <w:rsid w:val="004A0556"/>
    <w:rsid w:val="004A0715"/>
    <w:rsid w:val="004A07A4"/>
    <w:rsid w:val="004A0A42"/>
    <w:rsid w:val="004A0B08"/>
    <w:rsid w:val="004A0BB8"/>
    <w:rsid w:val="004A0D89"/>
    <w:rsid w:val="004A0E2F"/>
    <w:rsid w:val="004A0E64"/>
    <w:rsid w:val="004A0E79"/>
    <w:rsid w:val="004A1148"/>
    <w:rsid w:val="004A140F"/>
    <w:rsid w:val="004A148C"/>
    <w:rsid w:val="004A1627"/>
    <w:rsid w:val="004A1734"/>
    <w:rsid w:val="004A1827"/>
    <w:rsid w:val="004A186B"/>
    <w:rsid w:val="004A18C5"/>
    <w:rsid w:val="004A18F1"/>
    <w:rsid w:val="004A193B"/>
    <w:rsid w:val="004A1AE5"/>
    <w:rsid w:val="004A1B2B"/>
    <w:rsid w:val="004A1C9C"/>
    <w:rsid w:val="004A1E54"/>
    <w:rsid w:val="004A2020"/>
    <w:rsid w:val="004A2156"/>
    <w:rsid w:val="004A215A"/>
    <w:rsid w:val="004A22DB"/>
    <w:rsid w:val="004A26C8"/>
    <w:rsid w:val="004A28A3"/>
    <w:rsid w:val="004A28FC"/>
    <w:rsid w:val="004A290B"/>
    <w:rsid w:val="004A2ACE"/>
    <w:rsid w:val="004A2D57"/>
    <w:rsid w:val="004A2DCF"/>
    <w:rsid w:val="004A30D0"/>
    <w:rsid w:val="004A3153"/>
    <w:rsid w:val="004A31DA"/>
    <w:rsid w:val="004A31DD"/>
    <w:rsid w:val="004A325F"/>
    <w:rsid w:val="004A34D5"/>
    <w:rsid w:val="004A359C"/>
    <w:rsid w:val="004A36B5"/>
    <w:rsid w:val="004A3864"/>
    <w:rsid w:val="004A39FD"/>
    <w:rsid w:val="004A3BF3"/>
    <w:rsid w:val="004A3D72"/>
    <w:rsid w:val="004A3F43"/>
    <w:rsid w:val="004A401F"/>
    <w:rsid w:val="004A41A9"/>
    <w:rsid w:val="004A42EC"/>
    <w:rsid w:val="004A440B"/>
    <w:rsid w:val="004A4488"/>
    <w:rsid w:val="004A455C"/>
    <w:rsid w:val="004A4740"/>
    <w:rsid w:val="004A47B3"/>
    <w:rsid w:val="004A491D"/>
    <w:rsid w:val="004A4A16"/>
    <w:rsid w:val="004A4B4E"/>
    <w:rsid w:val="004A4E78"/>
    <w:rsid w:val="004A4FF6"/>
    <w:rsid w:val="004A519A"/>
    <w:rsid w:val="004A5241"/>
    <w:rsid w:val="004A52CF"/>
    <w:rsid w:val="004A5411"/>
    <w:rsid w:val="004A545B"/>
    <w:rsid w:val="004A54AD"/>
    <w:rsid w:val="004A57DF"/>
    <w:rsid w:val="004A5B37"/>
    <w:rsid w:val="004A5CC5"/>
    <w:rsid w:val="004A5EF8"/>
    <w:rsid w:val="004A5FC5"/>
    <w:rsid w:val="004A5FFA"/>
    <w:rsid w:val="004A657B"/>
    <w:rsid w:val="004A65F1"/>
    <w:rsid w:val="004A6670"/>
    <w:rsid w:val="004A6D12"/>
    <w:rsid w:val="004A6D97"/>
    <w:rsid w:val="004A6E06"/>
    <w:rsid w:val="004A6EB7"/>
    <w:rsid w:val="004A72F4"/>
    <w:rsid w:val="004A744C"/>
    <w:rsid w:val="004A752E"/>
    <w:rsid w:val="004A75A5"/>
    <w:rsid w:val="004A7745"/>
    <w:rsid w:val="004A776E"/>
    <w:rsid w:val="004A787A"/>
    <w:rsid w:val="004A78CC"/>
    <w:rsid w:val="004A79D5"/>
    <w:rsid w:val="004A7A2F"/>
    <w:rsid w:val="004A7A65"/>
    <w:rsid w:val="004A7E10"/>
    <w:rsid w:val="004B006C"/>
    <w:rsid w:val="004B017F"/>
    <w:rsid w:val="004B070B"/>
    <w:rsid w:val="004B084D"/>
    <w:rsid w:val="004B08EB"/>
    <w:rsid w:val="004B0BD5"/>
    <w:rsid w:val="004B0D17"/>
    <w:rsid w:val="004B0D8D"/>
    <w:rsid w:val="004B100E"/>
    <w:rsid w:val="004B104B"/>
    <w:rsid w:val="004B1227"/>
    <w:rsid w:val="004B143E"/>
    <w:rsid w:val="004B147D"/>
    <w:rsid w:val="004B1896"/>
    <w:rsid w:val="004B1C4B"/>
    <w:rsid w:val="004B1CE1"/>
    <w:rsid w:val="004B1F12"/>
    <w:rsid w:val="004B2063"/>
    <w:rsid w:val="004B2227"/>
    <w:rsid w:val="004B23EB"/>
    <w:rsid w:val="004B250F"/>
    <w:rsid w:val="004B25BE"/>
    <w:rsid w:val="004B268C"/>
    <w:rsid w:val="004B2787"/>
    <w:rsid w:val="004B29A8"/>
    <w:rsid w:val="004B2A34"/>
    <w:rsid w:val="004B2A85"/>
    <w:rsid w:val="004B2CC2"/>
    <w:rsid w:val="004B2D87"/>
    <w:rsid w:val="004B2ED8"/>
    <w:rsid w:val="004B2FD5"/>
    <w:rsid w:val="004B317E"/>
    <w:rsid w:val="004B36AD"/>
    <w:rsid w:val="004B36D1"/>
    <w:rsid w:val="004B38C2"/>
    <w:rsid w:val="004B399C"/>
    <w:rsid w:val="004B39A0"/>
    <w:rsid w:val="004B3A6D"/>
    <w:rsid w:val="004B3A76"/>
    <w:rsid w:val="004B3A94"/>
    <w:rsid w:val="004B3A95"/>
    <w:rsid w:val="004B3AA3"/>
    <w:rsid w:val="004B3B79"/>
    <w:rsid w:val="004B3C8F"/>
    <w:rsid w:val="004B3D5B"/>
    <w:rsid w:val="004B3ECF"/>
    <w:rsid w:val="004B4005"/>
    <w:rsid w:val="004B405B"/>
    <w:rsid w:val="004B43F7"/>
    <w:rsid w:val="004B44C5"/>
    <w:rsid w:val="004B4B05"/>
    <w:rsid w:val="004B4EAD"/>
    <w:rsid w:val="004B4FD9"/>
    <w:rsid w:val="004B5161"/>
    <w:rsid w:val="004B51A4"/>
    <w:rsid w:val="004B51AB"/>
    <w:rsid w:val="004B5337"/>
    <w:rsid w:val="004B5345"/>
    <w:rsid w:val="004B53DF"/>
    <w:rsid w:val="004B54CA"/>
    <w:rsid w:val="004B573B"/>
    <w:rsid w:val="004B57C8"/>
    <w:rsid w:val="004B588F"/>
    <w:rsid w:val="004B59C8"/>
    <w:rsid w:val="004B5A1A"/>
    <w:rsid w:val="004B5E9F"/>
    <w:rsid w:val="004B5ECF"/>
    <w:rsid w:val="004B5EFD"/>
    <w:rsid w:val="004B65E7"/>
    <w:rsid w:val="004B6620"/>
    <w:rsid w:val="004B6922"/>
    <w:rsid w:val="004B6B03"/>
    <w:rsid w:val="004B6CE2"/>
    <w:rsid w:val="004B6E70"/>
    <w:rsid w:val="004B7012"/>
    <w:rsid w:val="004B73AF"/>
    <w:rsid w:val="004B76B1"/>
    <w:rsid w:val="004B776B"/>
    <w:rsid w:val="004B77CF"/>
    <w:rsid w:val="004B77D3"/>
    <w:rsid w:val="004B799C"/>
    <w:rsid w:val="004B7A76"/>
    <w:rsid w:val="004B7B45"/>
    <w:rsid w:val="004B7BDD"/>
    <w:rsid w:val="004B7C34"/>
    <w:rsid w:val="004B7C4A"/>
    <w:rsid w:val="004B7FF3"/>
    <w:rsid w:val="004C0026"/>
    <w:rsid w:val="004C0200"/>
    <w:rsid w:val="004C04B5"/>
    <w:rsid w:val="004C05F4"/>
    <w:rsid w:val="004C0A43"/>
    <w:rsid w:val="004C0B3E"/>
    <w:rsid w:val="004C0B70"/>
    <w:rsid w:val="004C0D2B"/>
    <w:rsid w:val="004C0D8A"/>
    <w:rsid w:val="004C0DB2"/>
    <w:rsid w:val="004C0DE2"/>
    <w:rsid w:val="004C0E78"/>
    <w:rsid w:val="004C0EB2"/>
    <w:rsid w:val="004C1412"/>
    <w:rsid w:val="004C1501"/>
    <w:rsid w:val="004C150D"/>
    <w:rsid w:val="004C1AB8"/>
    <w:rsid w:val="004C1E1D"/>
    <w:rsid w:val="004C1F7B"/>
    <w:rsid w:val="004C2191"/>
    <w:rsid w:val="004C23CD"/>
    <w:rsid w:val="004C2430"/>
    <w:rsid w:val="004C2823"/>
    <w:rsid w:val="004C29C1"/>
    <w:rsid w:val="004C2AAF"/>
    <w:rsid w:val="004C2AC5"/>
    <w:rsid w:val="004C2C47"/>
    <w:rsid w:val="004C2D76"/>
    <w:rsid w:val="004C2D9C"/>
    <w:rsid w:val="004C2E11"/>
    <w:rsid w:val="004C2FC6"/>
    <w:rsid w:val="004C30D3"/>
    <w:rsid w:val="004C310D"/>
    <w:rsid w:val="004C3168"/>
    <w:rsid w:val="004C3687"/>
    <w:rsid w:val="004C37C1"/>
    <w:rsid w:val="004C39C3"/>
    <w:rsid w:val="004C3A18"/>
    <w:rsid w:val="004C3B22"/>
    <w:rsid w:val="004C3D0E"/>
    <w:rsid w:val="004C3E19"/>
    <w:rsid w:val="004C3F1E"/>
    <w:rsid w:val="004C3F31"/>
    <w:rsid w:val="004C407A"/>
    <w:rsid w:val="004C430D"/>
    <w:rsid w:val="004C4632"/>
    <w:rsid w:val="004C4ABD"/>
    <w:rsid w:val="004C4B4E"/>
    <w:rsid w:val="004C4C54"/>
    <w:rsid w:val="004C4C6C"/>
    <w:rsid w:val="004C4E11"/>
    <w:rsid w:val="004C4F2F"/>
    <w:rsid w:val="004C5083"/>
    <w:rsid w:val="004C518C"/>
    <w:rsid w:val="004C5255"/>
    <w:rsid w:val="004C541F"/>
    <w:rsid w:val="004C550B"/>
    <w:rsid w:val="004C554F"/>
    <w:rsid w:val="004C5729"/>
    <w:rsid w:val="004C58F8"/>
    <w:rsid w:val="004C5A2A"/>
    <w:rsid w:val="004C5D17"/>
    <w:rsid w:val="004C5D42"/>
    <w:rsid w:val="004C5D53"/>
    <w:rsid w:val="004C5DFA"/>
    <w:rsid w:val="004C5EF9"/>
    <w:rsid w:val="004C5FAA"/>
    <w:rsid w:val="004C5FDB"/>
    <w:rsid w:val="004C60A6"/>
    <w:rsid w:val="004C634D"/>
    <w:rsid w:val="004C63D0"/>
    <w:rsid w:val="004C6592"/>
    <w:rsid w:val="004C65B3"/>
    <w:rsid w:val="004C6748"/>
    <w:rsid w:val="004C67C4"/>
    <w:rsid w:val="004C6A7A"/>
    <w:rsid w:val="004C6A84"/>
    <w:rsid w:val="004C7323"/>
    <w:rsid w:val="004C7508"/>
    <w:rsid w:val="004C75AC"/>
    <w:rsid w:val="004C766D"/>
    <w:rsid w:val="004C7998"/>
    <w:rsid w:val="004C79AF"/>
    <w:rsid w:val="004C7B99"/>
    <w:rsid w:val="004C7C33"/>
    <w:rsid w:val="004C7CF1"/>
    <w:rsid w:val="004C7D5F"/>
    <w:rsid w:val="004C7E5B"/>
    <w:rsid w:val="004C7F57"/>
    <w:rsid w:val="004D01FC"/>
    <w:rsid w:val="004D022E"/>
    <w:rsid w:val="004D060C"/>
    <w:rsid w:val="004D0771"/>
    <w:rsid w:val="004D0850"/>
    <w:rsid w:val="004D0B61"/>
    <w:rsid w:val="004D0BFA"/>
    <w:rsid w:val="004D0C15"/>
    <w:rsid w:val="004D0E2E"/>
    <w:rsid w:val="004D0E64"/>
    <w:rsid w:val="004D0E75"/>
    <w:rsid w:val="004D0ED4"/>
    <w:rsid w:val="004D0F12"/>
    <w:rsid w:val="004D1094"/>
    <w:rsid w:val="004D12C4"/>
    <w:rsid w:val="004D1310"/>
    <w:rsid w:val="004D146E"/>
    <w:rsid w:val="004D187D"/>
    <w:rsid w:val="004D19FD"/>
    <w:rsid w:val="004D1AFB"/>
    <w:rsid w:val="004D1C8D"/>
    <w:rsid w:val="004D1CB8"/>
    <w:rsid w:val="004D21D2"/>
    <w:rsid w:val="004D22BD"/>
    <w:rsid w:val="004D2494"/>
    <w:rsid w:val="004D2514"/>
    <w:rsid w:val="004D252F"/>
    <w:rsid w:val="004D269F"/>
    <w:rsid w:val="004D29D6"/>
    <w:rsid w:val="004D2A14"/>
    <w:rsid w:val="004D2CD6"/>
    <w:rsid w:val="004D2CF9"/>
    <w:rsid w:val="004D2D9C"/>
    <w:rsid w:val="004D2E45"/>
    <w:rsid w:val="004D2FA1"/>
    <w:rsid w:val="004D2FAA"/>
    <w:rsid w:val="004D30DD"/>
    <w:rsid w:val="004D3261"/>
    <w:rsid w:val="004D32B5"/>
    <w:rsid w:val="004D32CE"/>
    <w:rsid w:val="004D33C6"/>
    <w:rsid w:val="004D3591"/>
    <w:rsid w:val="004D3641"/>
    <w:rsid w:val="004D36B8"/>
    <w:rsid w:val="004D375D"/>
    <w:rsid w:val="004D39AF"/>
    <w:rsid w:val="004D39F3"/>
    <w:rsid w:val="004D3B43"/>
    <w:rsid w:val="004D3B47"/>
    <w:rsid w:val="004D3BA4"/>
    <w:rsid w:val="004D3CBF"/>
    <w:rsid w:val="004D3D3B"/>
    <w:rsid w:val="004D3E60"/>
    <w:rsid w:val="004D3E9A"/>
    <w:rsid w:val="004D4074"/>
    <w:rsid w:val="004D4127"/>
    <w:rsid w:val="004D4140"/>
    <w:rsid w:val="004D4256"/>
    <w:rsid w:val="004D4291"/>
    <w:rsid w:val="004D4294"/>
    <w:rsid w:val="004D432F"/>
    <w:rsid w:val="004D4461"/>
    <w:rsid w:val="004D44D1"/>
    <w:rsid w:val="004D47A8"/>
    <w:rsid w:val="004D47BC"/>
    <w:rsid w:val="004D481B"/>
    <w:rsid w:val="004D48E5"/>
    <w:rsid w:val="004D4ACD"/>
    <w:rsid w:val="004D4BE9"/>
    <w:rsid w:val="004D4CC8"/>
    <w:rsid w:val="004D4EBE"/>
    <w:rsid w:val="004D504A"/>
    <w:rsid w:val="004D50DC"/>
    <w:rsid w:val="004D5118"/>
    <w:rsid w:val="004D5290"/>
    <w:rsid w:val="004D5438"/>
    <w:rsid w:val="004D5576"/>
    <w:rsid w:val="004D56B8"/>
    <w:rsid w:val="004D57A8"/>
    <w:rsid w:val="004D57C8"/>
    <w:rsid w:val="004D5850"/>
    <w:rsid w:val="004D59F3"/>
    <w:rsid w:val="004D5A33"/>
    <w:rsid w:val="004D5B50"/>
    <w:rsid w:val="004D5C07"/>
    <w:rsid w:val="004D5C2D"/>
    <w:rsid w:val="004D5C7B"/>
    <w:rsid w:val="004D5CE6"/>
    <w:rsid w:val="004D5D11"/>
    <w:rsid w:val="004D5D3B"/>
    <w:rsid w:val="004D5E7D"/>
    <w:rsid w:val="004D5EDD"/>
    <w:rsid w:val="004D5FE2"/>
    <w:rsid w:val="004D6053"/>
    <w:rsid w:val="004D6059"/>
    <w:rsid w:val="004D6068"/>
    <w:rsid w:val="004D61F0"/>
    <w:rsid w:val="004D63B2"/>
    <w:rsid w:val="004D63D7"/>
    <w:rsid w:val="004D640C"/>
    <w:rsid w:val="004D64CC"/>
    <w:rsid w:val="004D64D3"/>
    <w:rsid w:val="004D6633"/>
    <w:rsid w:val="004D67DD"/>
    <w:rsid w:val="004D6A06"/>
    <w:rsid w:val="004D6B3A"/>
    <w:rsid w:val="004D6C3E"/>
    <w:rsid w:val="004D6CE8"/>
    <w:rsid w:val="004D6D93"/>
    <w:rsid w:val="004D6F4A"/>
    <w:rsid w:val="004D71F4"/>
    <w:rsid w:val="004D7391"/>
    <w:rsid w:val="004D73BA"/>
    <w:rsid w:val="004D7422"/>
    <w:rsid w:val="004D7A6B"/>
    <w:rsid w:val="004D7C39"/>
    <w:rsid w:val="004D7FF7"/>
    <w:rsid w:val="004E003F"/>
    <w:rsid w:val="004E01D2"/>
    <w:rsid w:val="004E0294"/>
    <w:rsid w:val="004E0446"/>
    <w:rsid w:val="004E0619"/>
    <w:rsid w:val="004E08A7"/>
    <w:rsid w:val="004E0A6C"/>
    <w:rsid w:val="004E0D6C"/>
    <w:rsid w:val="004E0DC9"/>
    <w:rsid w:val="004E0FD9"/>
    <w:rsid w:val="004E1031"/>
    <w:rsid w:val="004E1132"/>
    <w:rsid w:val="004E11A1"/>
    <w:rsid w:val="004E11BF"/>
    <w:rsid w:val="004E1372"/>
    <w:rsid w:val="004E1400"/>
    <w:rsid w:val="004E1435"/>
    <w:rsid w:val="004E1457"/>
    <w:rsid w:val="004E14C3"/>
    <w:rsid w:val="004E161B"/>
    <w:rsid w:val="004E175A"/>
    <w:rsid w:val="004E18ED"/>
    <w:rsid w:val="004E1AA6"/>
    <w:rsid w:val="004E1B64"/>
    <w:rsid w:val="004E1CD8"/>
    <w:rsid w:val="004E1E9D"/>
    <w:rsid w:val="004E2149"/>
    <w:rsid w:val="004E2340"/>
    <w:rsid w:val="004E23B9"/>
    <w:rsid w:val="004E25B3"/>
    <w:rsid w:val="004E27F2"/>
    <w:rsid w:val="004E27F6"/>
    <w:rsid w:val="004E2BBF"/>
    <w:rsid w:val="004E2CEF"/>
    <w:rsid w:val="004E2FE7"/>
    <w:rsid w:val="004E300D"/>
    <w:rsid w:val="004E3035"/>
    <w:rsid w:val="004E30D4"/>
    <w:rsid w:val="004E33AC"/>
    <w:rsid w:val="004E340C"/>
    <w:rsid w:val="004E3418"/>
    <w:rsid w:val="004E3448"/>
    <w:rsid w:val="004E38AE"/>
    <w:rsid w:val="004E38C0"/>
    <w:rsid w:val="004E3A65"/>
    <w:rsid w:val="004E3AE0"/>
    <w:rsid w:val="004E3BE8"/>
    <w:rsid w:val="004E3C2C"/>
    <w:rsid w:val="004E3D63"/>
    <w:rsid w:val="004E3DDF"/>
    <w:rsid w:val="004E3EA5"/>
    <w:rsid w:val="004E4106"/>
    <w:rsid w:val="004E4147"/>
    <w:rsid w:val="004E4306"/>
    <w:rsid w:val="004E432C"/>
    <w:rsid w:val="004E461E"/>
    <w:rsid w:val="004E494D"/>
    <w:rsid w:val="004E4BB7"/>
    <w:rsid w:val="004E4BD2"/>
    <w:rsid w:val="004E4C44"/>
    <w:rsid w:val="004E4CF7"/>
    <w:rsid w:val="004E4ED8"/>
    <w:rsid w:val="004E4FA5"/>
    <w:rsid w:val="004E50D9"/>
    <w:rsid w:val="004E52E8"/>
    <w:rsid w:val="004E52FC"/>
    <w:rsid w:val="004E5382"/>
    <w:rsid w:val="004E53E1"/>
    <w:rsid w:val="004E543F"/>
    <w:rsid w:val="004E5486"/>
    <w:rsid w:val="004E554A"/>
    <w:rsid w:val="004E5669"/>
    <w:rsid w:val="004E56D0"/>
    <w:rsid w:val="004E56E2"/>
    <w:rsid w:val="004E5786"/>
    <w:rsid w:val="004E59DF"/>
    <w:rsid w:val="004E5AAF"/>
    <w:rsid w:val="004E5AB4"/>
    <w:rsid w:val="004E5CBF"/>
    <w:rsid w:val="004E5CC4"/>
    <w:rsid w:val="004E5DCC"/>
    <w:rsid w:val="004E5EAC"/>
    <w:rsid w:val="004E5FC9"/>
    <w:rsid w:val="004E60BE"/>
    <w:rsid w:val="004E60E3"/>
    <w:rsid w:val="004E6192"/>
    <w:rsid w:val="004E64B4"/>
    <w:rsid w:val="004E667C"/>
    <w:rsid w:val="004E66B1"/>
    <w:rsid w:val="004E6700"/>
    <w:rsid w:val="004E6705"/>
    <w:rsid w:val="004E6748"/>
    <w:rsid w:val="004E675D"/>
    <w:rsid w:val="004E6778"/>
    <w:rsid w:val="004E68B1"/>
    <w:rsid w:val="004E68FE"/>
    <w:rsid w:val="004E6A6D"/>
    <w:rsid w:val="004E6B4B"/>
    <w:rsid w:val="004E6C99"/>
    <w:rsid w:val="004E6CA4"/>
    <w:rsid w:val="004E6FD6"/>
    <w:rsid w:val="004E6FDB"/>
    <w:rsid w:val="004E70BF"/>
    <w:rsid w:val="004E70ED"/>
    <w:rsid w:val="004E711C"/>
    <w:rsid w:val="004E713D"/>
    <w:rsid w:val="004E7186"/>
    <w:rsid w:val="004E7258"/>
    <w:rsid w:val="004E72B9"/>
    <w:rsid w:val="004E7328"/>
    <w:rsid w:val="004E7489"/>
    <w:rsid w:val="004E7592"/>
    <w:rsid w:val="004E792D"/>
    <w:rsid w:val="004F01FC"/>
    <w:rsid w:val="004F0374"/>
    <w:rsid w:val="004F06F5"/>
    <w:rsid w:val="004F0839"/>
    <w:rsid w:val="004F08DC"/>
    <w:rsid w:val="004F0BBD"/>
    <w:rsid w:val="004F0C06"/>
    <w:rsid w:val="004F100D"/>
    <w:rsid w:val="004F10AB"/>
    <w:rsid w:val="004F1158"/>
    <w:rsid w:val="004F11D9"/>
    <w:rsid w:val="004F1312"/>
    <w:rsid w:val="004F134C"/>
    <w:rsid w:val="004F14BA"/>
    <w:rsid w:val="004F1565"/>
    <w:rsid w:val="004F1589"/>
    <w:rsid w:val="004F15DD"/>
    <w:rsid w:val="004F1684"/>
    <w:rsid w:val="004F1740"/>
    <w:rsid w:val="004F1936"/>
    <w:rsid w:val="004F1A3C"/>
    <w:rsid w:val="004F1A60"/>
    <w:rsid w:val="004F1D91"/>
    <w:rsid w:val="004F1DA2"/>
    <w:rsid w:val="004F1F02"/>
    <w:rsid w:val="004F21DC"/>
    <w:rsid w:val="004F272D"/>
    <w:rsid w:val="004F2889"/>
    <w:rsid w:val="004F297E"/>
    <w:rsid w:val="004F2A68"/>
    <w:rsid w:val="004F2B9C"/>
    <w:rsid w:val="004F2BEC"/>
    <w:rsid w:val="004F2D13"/>
    <w:rsid w:val="004F2E8F"/>
    <w:rsid w:val="004F2E9D"/>
    <w:rsid w:val="004F33B0"/>
    <w:rsid w:val="004F343F"/>
    <w:rsid w:val="004F36EA"/>
    <w:rsid w:val="004F36F9"/>
    <w:rsid w:val="004F38E0"/>
    <w:rsid w:val="004F391A"/>
    <w:rsid w:val="004F393B"/>
    <w:rsid w:val="004F3A36"/>
    <w:rsid w:val="004F3AA1"/>
    <w:rsid w:val="004F3ADC"/>
    <w:rsid w:val="004F3BC0"/>
    <w:rsid w:val="004F3C90"/>
    <w:rsid w:val="004F3CBF"/>
    <w:rsid w:val="004F3F6A"/>
    <w:rsid w:val="004F406D"/>
    <w:rsid w:val="004F40A4"/>
    <w:rsid w:val="004F40EF"/>
    <w:rsid w:val="004F43BD"/>
    <w:rsid w:val="004F43DA"/>
    <w:rsid w:val="004F4473"/>
    <w:rsid w:val="004F44AF"/>
    <w:rsid w:val="004F4633"/>
    <w:rsid w:val="004F4818"/>
    <w:rsid w:val="004F4901"/>
    <w:rsid w:val="004F4A4F"/>
    <w:rsid w:val="004F4A54"/>
    <w:rsid w:val="004F4A5B"/>
    <w:rsid w:val="004F4B82"/>
    <w:rsid w:val="004F4C78"/>
    <w:rsid w:val="004F4EAB"/>
    <w:rsid w:val="004F4EB0"/>
    <w:rsid w:val="004F4F6B"/>
    <w:rsid w:val="004F5010"/>
    <w:rsid w:val="004F518C"/>
    <w:rsid w:val="004F52D9"/>
    <w:rsid w:val="004F52DE"/>
    <w:rsid w:val="004F540F"/>
    <w:rsid w:val="004F5512"/>
    <w:rsid w:val="004F5639"/>
    <w:rsid w:val="004F593D"/>
    <w:rsid w:val="004F5A7C"/>
    <w:rsid w:val="004F5A7F"/>
    <w:rsid w:val="004F5AD4"/>
    <w:rsid w:val="004F5D94"/>
    <w:rsid w:val="004F5E08"/>
    <w:rsid w:val="004F60A3"/>
    <w:rsid w:val="004F6213"/>
    <w:rsid w:val="004F6520"/>
    <w:rsid w:val="004F6646"/>
    <w:rsid w:val="004F6786"/>
    <w:rsid w:val="004F67EB"/>
    <w:rsid w:val="004F6926"/>
    <w:rsid w:val="004F6A37"/>
    <w:rsid w:val="004F6A8A"/>
    <w:rsid w:val="004F6B4B"/>
    <w:rsid w:val="004F6B88"/>
    <w:rsid w:val="004F6C37"/>
    <w:rsid w:val="004F6ED5"/>
    <w:rsid w:val="004F6F71"/>
    <w:rsid w:val="004F7029"/>
    <w:rsid w:val="004F707C"/>
    <w:rsid w:val="004F7087"/>
    <w:rsid w:val="004F710F"/>
    <w:rsid w:val="004F7541"/>
    <w:rsid w:val="004F765F"/>
    <w:rsid w:val="004F7895"/>
    <w:rsid w:val="004F78AD"/>
    <w:rsid w:val="004F7B42"/>
    <w:rsid w:val="004F7B82"/>
    <w:rsid w:val="004F7D9C"/>
    <w:rsid w:val="004F7DC4"/>
    <w:rsid w:val="00500427"/>
    <w:rsid w:val="00500442"/>
    <w:rsid w:val="005004DD"/>
    <w:rsid w:val="005008D9"/>
    <w:rsid w:val="0050093E"/>
    <w:rsid w:val="00500A4E"/>
    <w:rsid w:val="00500C95"/>
    <w:rsid w:val="00500DF5"/>
    <w:rsid w:val="00500E1C"/>
    <w:rsid w:val="0050114E"/>
    <w:rsid w:val="005011E9"/>
    <w:rsid w:val="0050126B"/>
    <w:rsid w:val="00501294"/>
    <w:rsid w:val="00501312"/>
    <w:rsid w:val="0050134C"/>
    <w:rsid w:val="005013F7"/>
    <w:rsid w:val="00501545"/>
    <w:rsid w:val="00501592"/>
    <w:rsid w:val="005017E3"/>
    <w:rsid w:val="0050192B"/>
    <w:rsid w:val="00501AA4"/>
    <w:rsid w:val="00501D5C"/>
    <w:rsid w:val="00501DD7"/>
    <w:rsid w:val="00501E92"/>
    <w:rsid w:val="00501EA1"/>
    <w:rsid w:val="0050215C"/>
    <w:rsid w:val="005027C0"/>
    <w:rsid w:val="00502800"/>
    <w:rsid w:val="0050291E"/>
    <w:rsid w:val="00502C64"/>
    <w:rsid w:val="00502D19"/>
    <w:rsid w:val="00502ED5"/>
    <w:rsid w:val="00503013"/>
    <w:rsid w:val="00503071"/>
    <w:rsid w:val="00503285"/>
    <w:rsid w:val="0050329F"/>
    <w:rsid w:val="005033E4"/>
    <w:rsid w:val="005033EC"/>
    <w:rsid w:val="00503628"/>
    <w:rsid w:val="00503859"/>
    <w:rsid w:val="00503915"/>
    <w:rsid w:val="0050396B"/>
    <w:rsid w:val="005039AA"/>
    <w:rsid w:val="005039B3"/>
    <w:rsid w:val="00503CDD"/>
    <w:rsid w:val="00503EE1"/>
    <w:rsid w:val="005040BD"/>
    <w:rsid w:val="005040C3"/>
    <w:rsid w:val="005040C7"/>
    <w:rsid w:val="0050411C"/>
    <w:rsid w:val="005043D4"/>
    <w:rsid w:val="005044C5"/>
    <w:rsid w:val="00504507"/>
    <w:rsid w:val="0050454D"/>
    <w:rsid w:val="00504647"/>
    <w:rsid w:val="005047C9"/>
    <w:rsid w:val="00504AAC"/>
    <w:rsid w:val="00504B0D"/>
    <w:rsid w:val="00504D75"/>
    <w:rsid w:val="00504E40"/>
    <w:rsid w:val="00504EC1"/>
    <w:rsid w:val="00504FF9"/>
    <w:rsid w:val="0050502E"/>
    <w:rsid w:val="00505162"/>
    <w:rsid w:val="00505181"/>
    <w:rsid w:val="005052AF"/>
    <w:rsid w:val="005053F4"/>
    <w:rsid w:val="0050542D"/>
    <w:rsid w:val="00505562"/>
    <w:rsid w:val="005057EE"/>
    <w:rsid w:val="005059A2"/>
    <w:rsid w:val="00505CCD"/>
    <w:rsid w:val="00505E2C"/>
    <w:rsid w:val="005062E3"/>
    <w:rsid w:val="005065E9"/>
    <w:rsid w:val="00506604"/>
    <w:rsid w:val="00506A93"/>
    <w:rsid w:val="00506AC3"/>
    <w:rsid w:val="00506E8B"/>
    <w:rsid w:val="00506F4C"/>
    <w:rsid w:val="0050702D"/>
    <w:rsid w:val="005070B5"/>
    <w:rsid w:val="00507203"/>
    <w:rsid w:val="0050737D"/>
    <w:rsid w:val="005075F2"/>
    <w:rsid w:val="00507786"/>
    <w:rsid w:val="00507847"/>
    <w:rsid w:val="00507953"/>
    <w:rsid w:val="00507A2F"/>
    <w:rsid w:val="00507B3C"/>
    <w:rsid w:val="00507C4A"/>
    <w:rsid w:val="00507D2C"/>
    <w:rsid w:val="00507DD2"/>
    <w:rsid w:val="00507ED4"/>
    <w:rsid w:val="00507FBA"/>
    <w:rsid w:val="0051000C"/>
    <w:rsid w:val="0051017F"/>
    <w:rsid w:val="0051026A"/>
    <w:rsid w:val="00510293"/>
    <w:rsid w:val="005103D6"/>
    <w:rsid w:val="00510485"/>
    <w:rsid w:val="00510523"/>
    <w:rsid w:val="0051070A"/>
    <w:rsid w:val="0051087D"/>
    <w:rsid w:val="00510B02"/>
    <w:rsid w:val="00510BEC"/>
    <w:rsid w:val="00510E08"/>
    <w:rsid w:val="00510FC1"/>
    <w:rsid w:val="005112E2"/>
    <w:rsid w:val="0051158E"/>
    <w:rsid w:val="005116B5"/>
    <w:rsid w:val="0051172E"/>
    <w:rsid w:val="005117AA"/>
    <w:rsid w:val="005117AB"/>
    <w:rsid w:val="005117EE"/>
    <w:rsid w:val="00511A48"/>
    <w:rsid w:val="00511AC7"/>
    <w:rsid w:val="00511B2E"/>
    <w:rsid w:val="00511C4D"/>
    <w:rsid w:val="00511C5D"/>
    <w:rsid w:val="00511D78"/>
    <w:rsid w:val="00511D7D"/>
    <w:rsid w:val="005120E3"/>
    <w:rsid w:val="00512225"/>
    <w:rsid w:val="0051233E"/>
    <w:rsid w:val="005126B3"/>
    <w:rsid w:val="005127A8"/>
    <w:rsid w:val="005127EC"/>
    <w:rsid w:val="00512A1D"/>
    <w:rsid w:val="00512A2B"/>
    <w:rsid w:val="00512CDD"/>
    <w:rsid w:val="00512E01"/>
    <w:rsid w:val="00513313"/>
    <w:rsid w:val="005134E5"/>
    <w:rsid w:val="00513520"/>
    <w:rsid w:val="00513529"/>
    <w:rsid w:val="00513533"/>
    <w:rsid w:val="00513662"/>
    <w:rsid w:val="00513773"/>
    <w:rsid w:val="00513779"/>
    <w:rsid w:val="00513793"/>
    <w:rsid w:val="005137B1"/>
    <w:rsid w:val="00513830"/>
    <w:rsid w:val="0051385E"/>
    <w:rsid w:val="005138CF"/>
    <w:rsid w:val="005139DD"/>
    <w:rsid w:val="00513A92"/>
    <w:rsid w:val="00513AE4"/>
    <w:rsid w:val="00513C03"/>
    <w:rsid w:val="00513C47"/>
    <w:rsid w:val="00513DC4"/>
    <w:rsid w:val="00513F6D"/>
    <w:rsid w:val="005140B0"/>
    <w:rsid w:val="005142D8"/>
    <w:rsid w:val="00514417"/>
    <w:rsid w:val="005144D9"/>
    <w:rsid w:val="005145C5"/>
    <w:rsid w:val="00514768"/>
    <w:rsid w:val="00514A77"/>
    <w:rsid w:val="00514C35"/>
    <w:rsid w:val="00514CBE"/>
    <w:rsid w:val="00514D2E"/>
    <w:rsid w:val="00514D4B"/>
    <w:rsid w:val="00514DC4"/>
    <w:rsid w:val="00514EBF"/>
    <w:rsid w:val="00514F3E"/>
    <w:rsid w:val="0051504C"/>
    <w:rsid w:val="005153D3"/>
    <w:rsid w:val="00515530"/>
    <w:rsid w:val="005155C1"/>
    <w:rsid w:val="00515656"/>
    <w:rsid w:val="0051581E"/>
    <w:rsid w:val="00515847"/>
    <w:rsid w:val="00515AB6"/>
    <w:rsid w:val="00515B56"/>
    <w:rsid w:val="00515C70"/>
    <w:rsid w:val="00515EA8"/>
    <w:rsid w:val="00515EB0"/>
    <w:rsid w:val="00516078"/>
    <w:rsid w:val="005160C0"/>
    <w:rsid w:val="00516230"/>
    <w:rsid w:val="00516318"/>
    <w:rsid w:val="00516324"/>
    <w:rsid w:val="005168BB"/>
    <w:rsid w:val="00516B0F"/>
    <w:rsid w:val="00516BF9"/>
    <w:rsid w:val="00516C91"/>
    <w:rsid w:val="00516CE2"/>
    <w:rsid w:val="00516D0E"/>
    <w:rsid w:val="0051700E"/>
    <w:rsid w:val="00517056"/>
    <w:rsid w:val="00517183"/>
    <w:rsid w:val="00517247"/>
    <w:rsid w:val="0051728B"/>
    <w:rsid w:val="005174A2"/>
    <w:rsid w:val="005175FE"/>
    <w:rsid w:val="00517AF0"/>
    <w:rsid w:val="00517C67"/>
    <w:rsid w:val="00517D0B"/>
    <w:rsid w:val="00517DA9"/>
    <w:rsid w:val="00517EF2"/>
    <w:rsid w:val="0051C294"/>
    <w:rsid w:val="00520269"/>
    <w:rsid w:val="00520482"/>
    <w:rsid w:val="00520553"/>
    <w:rsid w:val="00520559"/>
    <w:rsid w:val="00520631"/>
    <w:rsid w:val="00520669"/>
    <w:rsid w:val="00520753"/>
    <w:rsid w:val="00520983"/>
    <w:rsid w:val="00520C6F"/>
    <w:rsid w:val="00520DF7"/>
    <w:rsid w:val="00521237"/>
    <w:rsid w:val="00521327"/>
    <w:rsid w:val="0052133C"/>
    <w:rsid w:val="005213B7"/>
    <w:rsid w:val="00521420"/>
    <w:rsid w:val="00521447"/>
    <w:rsid w:val="00521AD8"/>
    <w:rsid w:val="00521AEF"/>
    <w:rsid w:val="00521B1B"/>
    <w:rsid w:val="00521B8F"/>
    <w:rsid w:val="00521CFE"/>
    <w:rsid w:val="0052203E"/>
    <w:rsid w:val="005220DB"/>
    <w:rsid w:val="005220E0"/>
    <w:rsid w:val="0052218E"/>
    <w:rsid w:val="00522298"/>
    <w:rsid w:val="0052237F"/>
    <w:rsid w:val="005225F9"/>
    <w:rsid w:val="005226B1"/>
    <w:rsid w:val="005229C6"/>
    <w:rsid w:val="00522EA2"/>
    <w:rsid w:val="00522F00"/>
    <w:rsid w:val="00522F24"/>
    <w:rsid w:val="0052302B"/>
    <w:rsid w:val="00523061"/>
    <w:rsid w:val="00523089"/>
    <w:rsid w:val="005230BF"/>
    <w:rsid w:val="0052334A"/>
    <w:rsid w:val="0052367E"/>
    <w:rsid w:val="00523708"/>
    <w:rsid w:val="00523967"/>
    <w:rsid w:val="0052396A"/>
    <w:rsid w:val="005239B1"/>
    <w:rsid w:val="005239CC"/>
    <w:rsid w:val="00523A9F"/>
    <w:rsid w:val="00523E13"/>
    <w:rsid w:val="00523E1A"/>
    <w:rsid w:val="00523F27"/>
    <w:rsid w:val="00524094"/>
    <w:rsid w:val="00524272"/>
    <w:rsid w:val="005242A5"/>
    <w:rsid w:val="005242DE"/>
    <w:rsid w:val="005242EC"/>
    <w:rsid w:val="0052444B"/>
    <w:rsid w:val="005247E2"/>
    <w:rsid w:val="00524892"/>
    <w:rsid w:val="0052493A"/>
    <w:rsid w:val="0052496F"/>
    <w:rsid w:val="00524AFA"/>
    <w:rsid w:val="00524BF0"/>
    <w:rsid w:val="00524CE9"/>
    <w:rsid w:val="00524E90"/>
    <w:rsid w:val="0052508F"/>
    <w:rsid w:val="005253F8"/>
    <w:rsid w:val="005255D5"/>
    <w:rsid w:val="00525624"/>
    <w:rsid w:val="0052567E"/>
    <w:rsid w:val="00525808"/>
    <w:rsid w:val="00525A4B"/>
    <w:rsid w:val="00525A92"/>
    <w:rsid w:val="00525BB2"/>
    <w:rsid w:val="0052610F"/>
    <w:rsid w:val="005261E5"/>
    <w:rsid w:val="005262CF"/>
    <w:rsid w:val="005265F6"/>
    <w:rsid w:val="0052674F"/>
    <w:rsid w:val="00526A3B"/>
    <w:rsid w:val="00526AF8"/>
    <w:rsid w:val="00526B4C"/>
    <w:rsid w:val="00526CC0"/>
    <w:rsid w:val="00526CC2"/>
    <w:rsid w:val="00526DF6"/>
    <w:rsid w:val="00527057"/>
    <w:rsid w:val="00527346"/>
    <w:rsid w:val="00527392"/>
    <w:rsid w:val="005274C2"/>
    <w:rsid w:val="005275D1"/>
    <w:rsid w:val="005276B1"/>
    <w:rsid w:val="005276F9"/>
    <w:rsid w:val="00527A28"/>
    <w:rsid w:val="00527B3B"/>
    <w:rsid w:val="00527BA9"/>
    <w:rsid w:val="00527C0A"/>
    <w:rsid w:val="00527C9C"/>
    <w:rsid w:val="00527D42"/>
    <w:rsid w:val="00527E39"/>
    <w:rsid w:val="00527F1F"/>
    <w:rsid w:val="00530066"/>
    <w:rsid w:val="005300F7"/>
    <w:rsid w:val="005301D2"/>
    <w:rsid w:val="005302A8"/>
    <w:rsid w:val="00530551"/>
    <w:rsid w:val="0053056D"/>
    <w:rsid w:val="0053070B"/>
    <w:rsid w:val="0053077B"/>
    <w:rsid w:val="00530A55"/>
    <w:rsid w:val="00530A88"/>
    <w:rsid w:val="00530D8C"/>
    <w:rsid w:val="00530E12"/>
    <w:rsid w:val="00530FD1"/>
    <w:rsid w:val="0053113F"/>
    <w:rsid w:val="00531344"/>
    <w:rsid w:val="00531366"/>
    <w:rsid w:val="005313B3"/>
    <w:rsid w:val="005314B7"/>
    <w:rsid w:val="0053152F"/>
    <w:rsid w:val="00531B07"/>
    <w:rsid w:val="00531F67"/>
    <w:rsid w:val="005320E4"/>
    <w:rsid w:val="00532200"/>
    <w:rsid w:val="00532281"/>
    <w:rsid w:val="00532371"/>
    <w:rsid w:val="005323FC"/>
    <w:rsid w:val="00532581"/>
    <w:rsid w:val="00532925"/>
    <w:rsid w:val="00532C0A"/>
    <w:rsid w:val="00532CBE"/>
    <w:rsid w:val="00532D86"/>
    <w:rsid w:val="00532E6E"/>
    <w:rsid w:val="0053306B"/>
    <w:rsid w:val="0053315D"/>
    <w:rsid w:val="005334B7"/>
    <w:rsid w:val="005334D1"/>
    <w:rsid w:val="00533580"/>
    <w:rsid w:val="00533647"/>
    <w:rsid w:val="00533694"/>
    <w:rsid w:val="00533874"/>
    <w:rsid w:val="005338A7"/>
    <w:rsid w:val="00533930"/>
    <w:rsid w:val="00533A69"/>
    <w:rsid w:val="00533AA4"/>
    <w:rsid w:val="00533BDA"/>
    <w:rsid w:val="00533D2B"/>
    <w:rsid w:val="00533D43"/>
    <w:rsid w:val="00533EF4"/>
    <w:rsid w:val="00533F62"/>
    <w:rsid w:val="00534098"/>
    <w:rsid w:val="00534240"/>
    <w:rsid w:val="005342A4"/>
    <w:rsid w:val="00534405"/>
    <w:rsid w:val="0053463D"/>
    <w:rsid w:val="0053495D"/>
    <w:rsid w:val="00534BE5"/>
    <w:rsid w:val="00534C89"/>
    <w:rsid w:val="00534D60"/>
    <w:rsid w:val="00534D76"/>
    <w:rsid w:val="00534DCE"/>
    <w:rsid w:val="00534FD6"/>
    <w:rsid w:val="0053517A"/>
    <w:rsid w:val="005354EF"/>
    <w:rsid w:val="0053552D"/>
    <w:rsid w:val="005355BB"/>
    <w:rsid w:val="005357DE"/>
    <w:rsid w:val="00535884"/>
    <w:rsid w:val="00535BA6"/>
    <w:rsid w:val="00535BA8"/>
    <w:rsid w:val="00535BBA"/>
    <w:rsid w:val="00536000"/>
    <w:rsid w:val="00536068"/>
    <w:rsid w:val="005360D1"/>
    <w:rsid w:val="005360F3"/>
    <w:rsid w:val="00536392"/>
    <w:rsid w:val="0053641B"/>
    <w:rsid w:val="005365B1"/>
    <w:rsid w:val="005366DD"/>
    <w:rsid w:val="005367A3"/>
    <w:rsid w:val="0053690F"/>
    <w:rsid w:val="00536BFA"/>
    <w:rsid w:val="00536F99"/>
    <w:rsid w:val="00537063"/>
    <w:rsid w:val="00537088"/>
    <w:rsid w:val="005370DA"/>
    <w:rsid w:val="0053710B"/>
    <w:rsid w:val="005374CE"/>
    <w:rsid w:val="00537649"/>
    <w:rsid w:val="00537B03"/>
    <w:rsid w:val="00537B4A"/>
    <w:rsid w:val="00537BF0"/>
    <w:rsid w:val="00537DB7"/>
    <w:rsid w:val="00537EA0"/>
    <w:rsid w:val="00537F6A"/>
    <w:rsid w:val="00540069"/>
    <w:rsid w:val="005400CD"/>
    <w:rsid w:val="005400EF"/>
    <w:rsid w:val="0054013B"/>
    <w:rsid w:val="00540183"/>
    <w:rsid w:val="00540300"/>
    <w:rsid w:val="00540442"/>
    <w:rsid w:val="00540878"/>
    <w:rsid w:val="00540D95"/>
    <w:rsid w:val="00540DEA"/>
    <w:rsid w:val="00541074"/>
    <w:rsid w:val="005413BD"/>
    <w:rsid w:val="005416FB"/>
    <w:rsid w:val="00541AF0"/>
    <w:rsid w:val="00541BAA"/>
    <w:rsid w:val="00541C31"/>
    <w:rsid w:val="00541D2C"/>
    <w:rsid w:val="00541F43"/>
    <w:rsid w:val="005425C5"/>
    <w:rsid w:val="00542638"/>
    <w:rsid w:val="0054265C"/>
    <w:rsid w:val="005426AE"/>
    <w:rsid w:val="005426C3"/>
    <w:rsid w:val="0054270D"/>
    <w:rsid w:val="00542714"/>
    <w:rsid w:val="00542AEB"/>
    <w:rsid w:val="00542BA0"/>
    <w:rsid w:val="00542DCD"/>
    <w:rsid w:val="00542E79"/>
    <w:rsid w:val="00543160"/>
    <w:rsid w:val="00543162"/>
    <w:rsid w:val="005432A9"/>
    <w:rsid w:val="005433B0"/>
    <w:rsid w:val="005433DC"/>
    <w:rsid w:val="00543664"/>
    <w:rsid w:val="005438E7"/>
    <w:rsid w:val="00543E12"/>
    <w:rsid w:val="00543E2B"/>
    <w:rsid w:val="00543F46"/>
    <w:rsid w:val="0054405D"/>
    <w:rsid w:val="0054415E"/>
    <w:rsid w:val="00544217"/>
    <w:rsid w:val="00544224"/>
    <w:rsid w:val="00544261"/>
    <w:rsid w:val="00544306"/>
    <w:rsid w:val="005447C5"/>
    <w:rsid w:val="00544927"/>
    <w:rsid w:val="005449A8"/>
    <w:rsid w:val="00544B8B"/>
    <w:rsid w:val="00544BED"/>
    <w:rsid w:val="00544D93"/>
    <w:rsid w:val="00544F45"/>
    <w:rsid w:val="00544FFF"/>
    <w:rsid w:val="00545519"/>
    <w:rsid w:val="005455A6"/>
    <w:rsid w:val="0054580A"/>
    <w:rsid w:val="005458EF"/>
    <w:rsid w:val="00545C6E"/>
    <w:rsid w:val="00545F1E"/>
    <w:rsid w:val="00546142"/>
    <w:rsid w:val="005463C4"/>
    <w:rsid w:val="00546507"/>
    <w:rsid w:val="005465B3"/>
    <w:rsid w:val="005466A1"/>
    <w:rsid w:val="005468C0"/>
    <w:rsid w:val="0054698E"/>
    <w:rsid w:val="00546A4E"/>
    <w:rsid w:val="00546B67"/>
    <w:rsid w:val="00546DEE"/>
    <w:rsid w:val="00546E4A"/>
    <w:rsid w:val="00546FBC"/>
    <w:rsid w:val="0054703E"/>
    <w:rsid w:val="005470BB"/>
    <w:rsid w:val="0054714B"/>
    <w:rsid w:val="00547167"/>
    <w:rsid w:val="005472E1"/>
    <w:rsid w:val="00547320"/>
    <w:rsid w:val="005474D9"/>
    <w:rsid w:val="005475FA"/>
    <w:rsid w:val="005478A0"/>
    <w:rsid w:val="00547AB3"/>
    <w:rsid w:val="00547DDD"/>
    <w:rsid w:val="00547EE0"/>
    <w:rsid w:val="00547FF7"/>
    <w:rsid w:val="005500C0"/>
    <w:rsid w:val="00550174"/>
    <w:rsid w:val="005504F6"/>
    <w:rsid w:val="00550597"/>
    <w:rsid w:val="005505B2"/>
    <w:rsid w:val="00550920"/>
    <w:rsid w:val="00550C24"/>
    <w:rsid w:val="00550D28"/>
    <w:rsid w:val="00550E3F"/>
    <w:rsid w:val="00551145"/>
    <w:rsid w:val="00551227"/>
    <w:rsid w:val="005517D0"/>
    <w:rsid w:val="0055180D"/>
    <w:rsid w:val="00551943"/>
    <w:rsid w:val="00551AF0"/>
    <w:rsid w:val="00551B01"/>
    <w:rsid w:val="00551CD7"/>
    <w:rsid w:val="00552085"/>
    <w:rsid w:val="00552107"/>
    <w:rsid w:val="0055261B"/>
    <w:rsid w:val="005528F3"/>
    <w:rsid w:val="00552A54"/>
    <w:rsid w:val="00552A9E"/>
    <w:rsid w:val="00552AB0"/>
    <w:rsid w:val="00552B19"/>
    <w:rsid w:val="00552C6B"/>
    <w:rsid w:val="00552E9B"/>
    <w:rsid w:val="00552F25"/>
    <w:rsid w:val="00552F9D"/>
    <w:rsid w:val="00552FA1"/>
    <w:rsid w:val="00552FD9"/>
    <w:rsid w:val="0055301C"/>
    <w:rsid w:val="005531AB"/>
    <w:rsid w:val="00553966"/>
    <w:rsid w:val="00553C5E"/>
    <w:rsid w:val="00553F3E"/>
    <w:rsid w:val="00553FB2"/>
    <w:rsid w:val="00554054"/>
    <w:rsid w:val="0055421B"/>
    <w:rsid w:val="005542EB"/>
    <w:rsid w:val="005542EF"/>
    <w:rsid w:val="005542F4"/>
    <w:rsid w:val="005543B8"/>
    <w:rsid w:val="005544E3"/>
    <w:rsid w:val="00554591"/>
    <w:rsid w:val="0055459C"/>
    <w:rsid w:val="0055461B"/>
    <w:rsid w:val="005546DA"/>
    <w:rsid w:val="005546E6"/>
    <w:rsid w:val="005547D1"/>
    <w:rsid w:val="0055492D"/>
    <w:rsid w:val="00555270"/>
    <w:rsid w:val="005553B6"/>
    <w:rsid w:val="00555886"/>
    <w:rsid w:val="005558CD"/>
    <w:rsid w:val="00555D65"/>
    <w:rsid w:val="00555DE7"/>
    <w:rsid w:val="00555ECD"/>
    <w:rsid w:val="0055610A"/>
    <w:rsid w:val="00556414"/>
    <w:rsid w:val="00556771"/>
    <w:rsid w:val="005567FE"/>
    <w:rsid w:val="0055688C"/>
    <w:rsid w:val="005568A6"/>
    <w:rsid w:val="00556AD4"/>
    <w:rsid w:val="00556CF7"/>
    <w:rsid w:val="00556DEC"/>
    <w:rsid w:val="0055707B"/>
    <w:rsid w:val="00557081"/>
    <w:rsid w:val="0055720C"/>
    <w:rsid w:val="0055728A"/>
    <w:rsid w:val="00557429"/>
    <w:rsid w:val="00557730"/>
    <w:rsid w:val="00557B36"/>
    <w:rsid w:val="00557B43"/>
    <w:rsid w:val="00557CFE"/>
    <w:rsid w:val="005600F4"/>
    <w:rsid w:val="005602B2"/>
    <w:rsid w:val="005604CE"/>
    <w:rsid w:val="00560568"/>
    <w:rsid w:val="00560782"/>
    <w:rsid w:val="005608BA"/>
    <w:rsid w:val="005608F3"/>
    <w:rsid w:val="0056097E"/>
    <w:rsid w:val="00560F68"/>
    <w:rsid w:val="00560F98"/>
    <w:rsid w:val="0056116D"/>
    <w:rsid w:val="00561273"/>
    <w:rsid w:val="005612D7"/>
    <w:rsid w:val="00561432"/>
    <w:rsid w:val="0056169B"/>
    <w:rsid w:val="00561798"/>
    <w:rsid w:val="00561929"/>
    <w:rsid w:val="00561A69"/>
    <w:rsid w:val="00561DFA"/>
    <w:rsid w:val="00561F2B"/>
    <w:rsid w:val="00562000"/>
    <w:rsid w:val="00562553"/>
    <w:rsid w:val="005625AD"/>
    <w:rsid w:val="005627D5"/>
    <w:rsid w:val="0056299B"/>
    <w:rsid w:val="00562A80"/>
    <w:rsid w:val="00562BC3"/>
    <w:rsid w:val="00562CCB"/>
    <w:rsid w:val="00562F12"/>
    <w:rsid w:val="00562F2F"/>
    <w:rsid w:val="00562F59"/>
    <w:rsid w:val="00563083"/>
    <w:rsid w:val="005633FF"/>
    <w:rsid w:val="00563449"/>
    <w:rsid w:val="00563A5A"/>
    <w:rsid w:val="00563A93"/>
    <w:rsid w:val="00563DC4"/>
    <w:rsid w:val="00563F98"/>
    <w:rsid w:val="00564044"/>
    <w:rsid w:val="0056406C"/>
    <w:rsid w:val="005640A2"/>
    <w:rsid w:val="005640BA"/>
    <w:rsid w:val="005644BF"/>
    <w:rsid w:val="005645A5"/>
    <w:rsid w:val="005645E9"/>
    <w:rsid w:val="0056466D"/>
    <w:rsid w:val="005646D2"/>
    <w:rsid w:val="005647C7"/>
    <w:rsid w:val="005649B7"/>
    <w:rsid w:val="00564A01"/>
    <w:rsid w:val="00564D6D"/>
    <w:rsid w:val="00564D87"/>
    <w:rsid w:val="00564DE9"/>
    <w:rsid w:val="00564DF3"/>
    <w:rsid w:val="00564E27"/>
    <w:rsid w:val="0056502D"/>
    <w:rsid w:val="005650E5"/>
    <w:rsid w:val="00565130"/>
    <w:rsid w:val="005651DE"/>
    <w:rsid w:val="005651F4"/>
    <w:rsid w:val="0056551E"/>
    <w:rsid w:val="005655AC"/>
    <w:rsid w:val="005657CB"/>
    <w:rsid w:val="00565CA4"/>
    <w:rsid w:val="00565ED7"/>
    <w:rsid w:val="00565F36"/>
    <w:rsid w:val="00565F6A"/>
    <w:rsid w:val="0056618C"/>
    <w:rsid w:val="0056619E"/>
    <w:rsid w:val="005661C3"/>
    <w:rsid w:val="0056623B"/>
    <w:rsid w:val="005667FC"/>
    <w:rsid w:val="0056680F"/>
    <w:rsid w:val="00566816"/>
    <w:rsid w:val="00566955"/>
    <w:rsid w:val="005669FD"/>
    <w:rsid w:val="00566A14"/>
    <w:rsid w:val="00566AAC"/>
    <w:rsid w:val="00566F2D"/>
    <w:rsid w:val="0056708C"/>
    <w:rsid w:val="005671AE"/>
    <w:rsid w:val="005673B0"/>
    <w:rsid w:val="00567415"/>
    <w:rsid w:val="005674C0"/>
    <w:rsid w:val="0056771D"/>
    <w:rsid w:val="00567A3A"/>
    <w:rsid w:val="00567D1E"/>
    <w:rsid w:val="00567E38"/>
    <w:rsid w:val="00567E71"/>
    <w:rsid w:val="00567ECC"/>
    <w:rsid w:val="00567F12"/>
    <w:rsid w:val="00567F63"/>
    <w:rsid w:val="00567F9A"/>
    <w:rsid w:val="0057018F"/>
    <w:rsid w:val="005702C2"/>
    <w:rsid w:val="005703DA"/>
    <w:rsid w:val="00570576"/>
    <w:rsid w:val="00570642"/>
    <w:rsid w:val="005706FC"/>
    <w:rsid w:val="0057098F"/>
    <w:rsid w:val="00570AEF"/>
    <w:rsid w:val="00570DD3"/>
    <w:rsid w:val="00570F3B"/>
    <w:rsid w:val="00570F4B"/>
    <w:rsid w:val="00570FC9"/>
    <w:rsid w:val="0057107B"/>
    <w:rsid w:val="005710FA"/>
    <w:rsid w:val="005713C0"/>
    <w:rsid w:val="005714CD"/>
    <w:rsid w:val="005719FB"/>
    <w:rsid w:val="00571AC5"/>
    <w:rsid w:val="00571BEF"/>
    <w:rsid w:val="00571D88"/>
    <w:rsid w:val="00571E53"/>
    <w:rsid w:val="00571E59"/>
    <w:rsid w:val="00571EBB"/>
    <w:rsid w:val="0057220C"/>
    <w:rsid w:val="0057224D"/>
    <w:rsid w:val="00572259"/>
    <w:rsid w:val="00572454"/>
    <w:rsid w:val="00572651"/>
    <w:rsid w:val="00572655"/>
    <w:rsid w:val="00572666"/>
    <w:rsid w:val="00572753"/>
    <w:rsid w:val="0057279F"/>
    <w:rsid w:val="0057286C"/>
    <w:rsid w:val="005728E1"/>
    <w:rsid w:val="00572A34"/>
    <w:rsid w:val="00572A70"/>
    <w:rsid w:val="00572B9D"/>
    <w:rsid w:val="00572EF2"/>
    <w:rsid w:val="00572FCA"/>
    <w:rsid w:val="00572FF0"/>
    <w:rsid w:val="005734F4"/>
    <w:rsid w:val="00573532"/>
    <w:rsid w:val="0057356A"/>
    <w:rsid w:val="0057356B"/>
    <w:rsid w:val="005735FD"/>
    <w:rsid w:val="00573633"/>
    <w:rsid w:val="005736A1"/>
    <w:rsid w:val="0057375D"/>
    <w:rsid w:val="00573915"/>
    <w:rsid w:val="00573983"/>
    <w:rsid w:val="00573B9F"/>
    <w:rsid w:val="00573C5F"/>
    <w:rsid w:val="00573E87"/>
    <w:rsid w:val="00573FBB"/>
    <w:rsid w:val="00573FFD"/>
    <w:rsid w:val="005740C3"/>
    <w:rsid w:val="00574184"/>
    <w:rsid w:val="005741D7"/>
    <w:rsid w:val="00574234"/>
    <w:rsid w:val="0057423E"/>
    <w:rsid w:val="00574346"/>
    <w:rsid w:val="00574360"/>
    <w:rsid w:val="005743B6"/>
    <w:rsid w:val="0057440C"/>
    <w:rsid w:val="00574413"/>
    <w:rsid w:val="00574527"/>
    <w:rsid w:val="005745A4"/>
    <w:rsid w:val="00574788"/>
    <w:rsid w:val="005747F2"/>
    <w:rsid w:val="00574A2A"/>
    <w:rsid w:val="00574A98"/>
    <w:rsid w:val="00574CDC"/>
    <w:rsid w:val="00574E18"/>
    <w:rsid w:val="00575466"/>
    <w:rsid w:val="00575614"/>
    <w:rsid w:val="00575767"/>
    <w:rsid w:val="00575842"/>
    <w:rsid w:val="00575A16"/>
    <w:rsid w:val="00575B41"/>
    <w:rsid w:val="00575D25"/>
    <w:rsid w:val="00575D75"/>
    <w:rsid w:val="00575F6B"/>
    <w:rsid w:val="005760B6"/>
    <w:rsid w:val="00576162"/>
    <w:rsid w:val="0057620C"/>
    <w:rsid w:val="005762AB"/>
    <w:rsid w:val="005763C3"/>
    <w:rsid w:val="00576404"/>
    <w:rsid w:val="0057648F"/>
    <w:rsid w:val="00576626"/>
    <w:rsid w:val="00576856"/>
    <w:rsid w:val="0057685B"/>
    <w:rsid w:val="005769BE"/>
    <w:rsid w:val="00576A21"/>
    <w:rsid w:val="00576C2B"/>
    <w:rsid w:val="00576D51"/>
    <w:rsid w:val="00576DB6"/>
    <w:rsid w:val="00576E4D"/>
    <w:rsid w:val="0057701C"/>
    <w:rsid w:val="00577115"/>
    <w:rsid w:val="00577163"/>
    <w:rsid w:val="005773C6"/>
    <w:rsid w:val="00577572"/>
    <w:rsid w:val="005775FE"/>
    <w:rsid w:val="00577627"/>
    <w:rsid w:val="00577805"/>
    <w:rsid w:val="00577871"/>
    <w:rsid w:val="005778A6"/>
    <w:rsid w:val="005778F3"/>
    <w:rsid w:val="005779F6"/>
    <w:rsid w:val="00577B16"/>
    <w:rsid w:val="00577C58"/>
    <w:rsid w:val="00577E20"/>
    <w:rsid w:val="0058009B"/>
    <w:rsid w:val="00580144"/>
    <w:rsid w:val="0058036B"/>
    <w:rsid w:val="005806C9"/>
    <w:rsid w:val="005806FB"/>
    <w:rsid w:val="00580882"/>
    <w:rsid w:val="00580B50"/>
    <w:rsid w:val="00580C55"/>
    <w:rsid w:val="00580D53"/>
    <w:rsid w:val="00580E43"/>
    <w:rsid w:val="00580F62"/>
    <w:rsid w:val="005811A4"/>
    <w:rsid w:val="005811C4"/>
    <w:rsid w:val="00581394"/>
    <w:rsid w:val="00581498"/>
    <w:rsid w:val="00581683"/>
    <w:rsid w:val="00581699"/>
    <w:rsid w:val="00581724"/>
    <w:rsid w:val="0058179E"/>
    <w:rsid w:val="0058189A"/>
    <w:rsid w:val="00581AF6"/>
    <w:rsid w:val="00581C7E"/>
    <w:rsid w:val="00581F23"/>
    <w:rsid w:val="00581F26"/>
    <w:rsid w:val="00581F8F"/>
    <w:rsid w:val="0058207C"/>
    <w:rsid w:val="005820CA"/>
    <w:rsid w:val="00582302"/>
    <w:rsid w:val="005823A2"/>
    <w:rsid w:val="0058279F"/>
    <w:rsid w:val="005828B3"/>
    <w:rsid w:val="0058292A"/>
    <w:rsid w:val="005829BD"/>
    <w:rsid w:val="00582B19"/>
    <w:rsid w:val="00582B53"/>
    <w:rsid w:val="00582CD4"/>
    <w:rsid w:val="00582DF4"/>
    <w:rsid w:val="00582FA7"/>
    <w:rsid w:val="005830B0"/>
    <w:rsid w:val="0058329E"/>
    <w:rsid w:val="005835A1"/>
    <w:rsid w:val="00583659"/>
    <w:rsid w:val="0058365B"/>
    <w:rsid w:val="00583704"/>
    <w:rsid w:val="005837B0"/>
    <w:rsid w:val="005837DD"/>
    <w:rsid w:val="005838E6"/>
    <w:rsid w:val="00583BC9"/>
    <w:rsid w:val="00583BE6"/>
    <w:rsid w:val="00583D40"/>
    <w:rsid w:val="00583DC8"/>
    <w:rsid w:val="00583E37"/>
    <w:rsid w:val="00583E3A"/>
    <w:rsid w:val="00583F3A"/>
    <w:rsid w:val="00583F56"/>
    <w:rsid w:val="0058408F"/>
    <w:rsid w:val="005841C7"/>
    <w:rsid w:val="00584248"/>
    <w:rsid w:val="0058433D"/>
    <w:rsid w:val="00584375"/>
    <w:rsid w:val="005846C2"/>
    <w:rsid w:val="00584823"/>
    <w:rsid w:val="005849CE"/>
    <w:rsid w:val="00584D09"/>
    <w:rsid w:val="00584D6F"/>
    <w:rsid w:val="00584F89"/>
    <w:rsid w:val="00585034"/>
    <w:rsid w:val="00585304"/>
    <w:rsid w:val="005853C0"/>
    <w:rsid w:val="00585478"/>
    <w:rsid w:val="00585485"/>
    <w:rsid w:val="00585D6B"/>
    <w:rsid w:val="00585E46"/>
    <w:rsid w:val="00585E69"/>
    <w:rsid w:val="005860BD"/>
    <w:rsid w:val="005860E2"/>
    <w:rsid w:val="00586100"/>
    <w:rsid w:val="00586173"/>
    <w:rsid w:val="00586255"/>
    <w:rsid w:val="0058638A"/>
    <w:rsid w:val="0058643D"/>
    <w:rsid w:val="005866D7"/>
    <w:rsid w:val="00586769"/>
    <w:rsid w:val="00586A57"/>
    <w:rsid w:val="00586A69"/>
    <w:rsid w:val="00586A96"/>
    <w:rsid w:val="00586CE6"/>
    <w:rsid w:val="00586E2F"/>
    <w:rsid w:val="00586F05"/>
    <w:rsid w:val="00586F82"/>
    <w:rsid w:val="00586FB9"/>
    <w:rsid w:val="0058702F"/>
    <w:rsid w:val="005870EB"/>
    <w:rsid w:val="0058724D"/>
    <w:rsid w:val="005875CC"/>
    <w:rsid w:val="00587604"/>
    <w:rsid w:val="00587B46"/>
    <w:rsid w:val="00587E34"/>
    <w:rsid w:val="00590158"/>
    <w:rsid w:val="005901E8"/>
    <w:rsid w:val="005901F8"/>
    <w:rsid w:val="00590202"/>
    <w:rsid w:val="0059036D"/>
    <w:rsid w:val="00590602"/>
    <w:rsid w:val="00590611"/>
    <w:rsid w:val="005906F5"/>
    <w:rsid w:val="0059073F"/>
    <w:rsid w:val="00590959"/>
    <w:rsid w:val="00590A32"/>
    <w:rsid w:val="00590B57"/>
    <w:rsid w:val="0059103C"/>
    <w:rsid w:val="0059136E"/>
    <w:rsid w:val="005913A3"/>
    <w:rsid w:val="00591606"/>
    <w:rsid w:val="00591640"/>
    <w:rsid w:val="0059179A"/>
    <w:rsid w:val="00591A90"/>
    <w:rsid w:val="00591BC0"/>
    <w:rsid w:val="00591BD7"/>
    <w:rsid w:val="00591CE7"/>
    <w:rsid w:val="00591EF4"/>
    <w:rsid w:val="0059205F"/>
    <w:rsid w:val="005920E0"/>
    <w:rsid w:val="00592190"/>
    <w:rsid w:val="0059247B"/>
    <w:rsid w:val="00592516"/>
    <w:rsid w:val="005925C3"/>
    <w:rsid w:val="00592661"/>
    <w:rsid w:val="005926A5"/>
    <w:rsid w:val="00592766"/>
    <w:rsid w:val="00592789"/>
    <w:rsid w:val="0059285B"/>
    <w:rsid w:val="00592A38"/>
    <w:rsid w:val="00592B81"/>
    <w:rsid w:val="00592E47"/>
    <w:rsid w:val="00592EA8"/>
    <w:rsid w:val="00592F68"/>
    <w:rsid w:val="00593008"/>
    <w:rsid w:val="00593028"/>
    <w:rsid w:val="00593079"/>
    <w:rsid w:val="0059323F"/>
    <w:rsid w:val="00593271"/>
    <w:rsid w:val="00593786"/>
    <w:rsid w:val="00593878"/>
    <w:rsid w:val="005938B5"/>
    <w:rsid w:val="005938B8"/>
    <w:rsid w:val="005938FD"/>
    <w:rsid w:val="00593C73"/>
    <w:rsid w:val="00593CF1"/>
    <w:rsid w:val="00593D16"/>
    <w:rsid w:val="00593D5A"/>
    <w:rsid w:val="00593EB6"/>
    <w:rsid w:val="00593FA9"/>
    <w:rsid w:val="0059401D"/>
    <w:rsid w:val="005940DE"/>
    <w:rsid w:val="0059431A"/>
    <w:rsid w:val="005944E7"/>
    <w:rsid w:val="00594565"/>
    <w:rsid w:val="00594578"/>
    <w:rsid w:val="00594640"/>
    <w:rsid w:val="005946AD"/>
    <w:rsid w:val="0059485F"/>
    <w:rsid w:val="005949AD"/>
    <w:rsid w:val="005949D1"/>
    <w:rsid w:val="00594A98"/>
    <w:rsid w:val="00594E03"/>
    <w:rsid w:val="00595069"/>
    <w:rsid w:val="00595228"/>
    <w:rsid w:val="00595321"/>
    <w:rsid w:val="00595643"/>
    <w:rsid w:val="005956AC"/>
    <w:rsid w:val="005957EC"/>
    <w:rsid w:val="00595AAD"/>
    <w:rsid w:val="00595C06"/>
    <w:rsid w:val="00595D09"/>
    <w:rsid w:val="00595ECC"/>
    <w:rsid w:val="00596085"/>
    <w:rsid w:val="0059609D"/>
    <w:rsid w:val="005962F0"/>
    <w:rsid w:val="0059643F"/>
    <w:rsid w:val="0059655D"/>
    <w:rsid w:val="0059668B"/>
    <w:rsid w:val="005966EF"/>
    <w:rsid w:val="00596928"/>
    <w:rsid w:val="0059696C"/>
    <w:rsid w:val="005969B3"/>
    <w:rsid w:val="005969EE"/>
    <w:rsid w:val="00596A45"/>
    <w:rsid w:val="00596B03"/>
    <w:rsid w:val="00596B07"/>
    <w:rsid w:val="00596B64"/>
    <w:rsid w:val="00596D97"/>
    <w:rsid w:val="00596E0B"/>
    <w:rsid w:val="00597149"/>
    <w:rsid w:val="00597169"/>
    <w:rsid w:val="005971B3"/>
    <w:rsid w:val="005972EB"/>
    <w:rsid w:val="005974DB"/>
    <w:rsid w:val="00597536"/>
    <w:rsid w:val="005975E1"/>
    <w:rsid w:val="0059782C"/>
    <w:rsid w:val="005978A0"/>
    <w:rsid w:val="00597931"/>
    <w:rsid w:val="005979C8"/>
    <w:rsid w:val="005979D6"/>
    <w:rsid w:val="00597BD1"/>
    <w:rsid w:val="00597C58"/>
    <w:rsid w:val="00597C9E"/>
    <w:rsid w:val="00597CD9"/>
    <w:rsid w:val="00597E1E"/>
    <w:rsid w:val="00597E91"/>
    <w:rsid w:val="005A002B"/>
    <w:rsid w:val="005A03E7"/>
    <w:rsid w:val="005A048B"/>
    <w:rsid w:val="005A0686"/>
    <w:rsid w:val="005A08BF"/>
    <w:rsid w:val="005A0AA0"/>
    <w:rsid w:val="005A0CEC"/>
    <w:rsid w:val="005A0DC5"/>
    <w:rsid w:val="005A0E69"/>
    <w:rsid w:val="005A0EF3"/>
    <w:rsid w:val="005A1040"/>
    <w:rsid w:val="005A113A"/>
    <w:rsid w:val="005A11B6"/>
    <w:rsid w:val="005A1254"/>
    <w:rsid w:val="005A142B"/>
    <w:rsid w:val="005A1500"/>
    <w:rsid w:val="005A155E"/>
    <w:rsid w:val="005A156C"/>
    <w:rsid w:val="005A172B"/>
    <w:rsid w:val="005A1743"/>
    <w:rsid w:val="005A17F4"/>
    <w:rsid w:val="005A1AA4"/>
    <w:rsid w:val="005A1B40"/>
    <w:rsid w:val="005A1BD7"/>
    <w:rsid w:val="005A1BDD"/>
    <w:rsid w:val="005A1CEB"/>
    <w:rsid w:val="005A1D65"/>
    <w:rsid w:val="005A1F13"/>
    <w:rsid w:val="005A2269"/>
    <w:rsid w:val="005A2316"/>
    <w:rsid w:val="005A2380"/>
    <w:rsid w:val="005A239B"/>
    <w:rsid w:val="005A2516"/>
    <w:rsid w:val="005A2644"/>
    <w:rsid w:val="005A264A"/>
    <w:rsid w:val="005A2767"/>
    <w:rsid w:val="005A2B4C"/>
    <w:rsid w:val="005A2FAD"/>
    <w:rsid w:val="005A304A"/>
    <w:rsid w:val="005A311C"/>
    <w:rsid w:val="005A359B"/>
    <w:rsid w:val="005A35CA"/>
    <w:rsid w:val="005A35DF"/>
    <w:rsid w:val="005A3610"/>
    <w:rsid w:val="005A3616"/>
    <w:rsid w:val="005A3776"/>
    <w:rsid w:val="005A3935"/>
    <w:rsid w:val="005A395D"/>
    <w:rsid w:val="005A3A3E"/>
    <w:rsid w:val="005A3B48"/>
    <w:rsid w:val="005A3D68"/>
    <w:rsid w:val="005A401A"/>
    <w:rsid w:val="005A4068"/>
    <w:rsid w:val="005A42D5"/>
    <w:rsid w:val="005A430D"/>
    <w:rsid w:val="005A4348"/>
    <w:rsid w:val="005A439A"/>
    <w:rsid w:val="005A4415"/>
    <w:rsid w:val="005A45B6"/>
    <w:rsid w:val="005A469D"/>
    <w:rsid w:val="005A498F"/>
    <w:rsid w:val="005A49E7"/>
    <w:rsid w:val="005A4ADC"/>
    <w:rsid w:val="005A4BA0"/>
    <w:rsid w:val="005A4C32"/>
    <w:rsid w:val="005A4C7D"/>
    <w:rsid w:val="005A4D45"/>
    <w:rsid w:val="005A4EA8"/>
    <w:rsid w:val="005A4F2F"/>
    <w:rsid w:val="005A502B"/>
    <w:rsid w:val="005A51DC"/>
    <w:rsid w:val="005A5212"/>
    <w:rsid w:val="005A548A"/>
    <w:rsid w:val="005A55A5"/>
    <w:rsid w:val="005A5684"/>
    <w:rsid w:val="005A56BD"/>
    <w:rsid w:val="005A5930"/>
    <w:rsid w:val="005A5A13"/>
    <w:rsid w:val="005A5BE6"/>
    <w:rsid w:val="005A5F59"/>
    <w:rsid w:val="005A602F"/>
    <w:rsid w:val="005A6312"/>
    <w:rsid w:val="005A63CE"/>
    <w:rsid w:val="005A640E"/>
    <w:rsid w:val="005A65C3"/>
    <w:rsid w:val="005A65E8"/>
    <w:rsid w:val="005A662C"/>
    <w:rsid w:val="005A66C3"/>
    <w:rsid w:val="005A6711"/>
    <w:rsid w:val="005A6740"/>
    <w:rsid w:val="005A6787"/>
    <w:rsid w:val="005A6826"/>
    <w:rsid w:val="005A68F4"/>
    <w:rsid w:val="005A69B9"/>
    <w:rsid w:val="005A6D39"/>
    <w:rsid w:val="005A6D79"/>
    <w:rsid w:val="005A6E10"/>
    <w:rsid w:val="005A6ED8"/>
    <w:rsid w:val="005A6FBC"/>
    <w:rsid w:val="005A70A3"/>
    <w:rsid w:val="005A71BA"/>
    <w:rsid w:val="005A72B5"/>
    <w:rsid w:val="005A72D1"/>
    <w:rsid w:val="005A74AC"/>
    <w:rsid w:val="005A7664"/>
    <w:rsid w:val="005A7819"/>
    <w:rsid w:val="005A7C6E"/>
    <w:rsid w:val="005A7DE4"/>
    <w:rsid w:val="005A7E2D"/>
    <w:rsid w:val="005A7EF9"/>
    <w:rsid w:val="005B0160"/>
    <w:rsid w:val="005B0260"/>
    <w:rsid w:val="005B02BA"/>
    <w:rsid w:val="005B0362"/>
    <w:rsid w:val="005B079F"/>
    <w:rsid w:val="005B09A5"/>
    <w:rsid w:val="005B0BD2"/>
    <w:rsid w:val="005B0E6D"/>
    <w:rsid w:val="005B11C3"/>
    <w:rsid w:val="005B12B2"/>
    <w:rsid w:val="005B1341"/>
    <w:rsid w:val="005B1494"/>
    <w:rsid w:val="005B15E8"/>
    <w:rsid w:val="005B162B"/>
    <w:rsid w:val="005B16BB"/>
    <w:rsid w:val="005B1705"/>
    <w:rsid w:val="005B1897"/>
    <w:rsid w:val="005B19C6"/>
    <w:rsid w:val="005B1B63"/>
    <w:rsid w:val="005B1C76"/>
    <w:rsid w:val="005B1CE9"/>
    <w:rsid w:val="005B1DDC"/>
    <w:rsid w:val="005B1E6D"/>
    <w:rsid w:val="005B1F5C"/>
    <w:rsid w:val="005B217E"/>
    <w:rsid w:val="005B22A1"/>
    <w:rsid w:val="005B23E3"/>
    <w:rsid w:val="005B243B"/>
    <w:rsid w:val="005B2470"/>
    <w:rsid w:val="005B2583"/>
    <w:rsid w:val="005B259A"/>
    <w:rsid w:val="005B274F"/>
    <w:rsid w:val="005B2860"/>
    <w:rsid w:val="005B2969"/>
    <w:rsid w:val="005B2A3B"/>
    <w:rsid w:val="005B2BEA"/>
    <w:rsid w:val="005B2C16"/>
    <w:rsid w:val="005B2C1A"/>
    <w:rsid w:val="005B2C46"/>
    <w:rsid w:val="005B2ED4"/>
    <w:rsid w:val="005B2F10"/>
    <w:rsid w:val="005B3117"/>
    <w:rsid w:val="005B31E7"/>
    <w:rsid w:val="005B332E"/>
    <w:rsid w:val="005B338B"/>
    <w:rsid w:val="005B341C"/>
    <w:rsid w:val="005B355C"/>
    <w:rsid w:val="005B373E"/>
    <w:rsid w:val="005B3B40"/>
    <w:rsid w:val="005B3C2A"/>
    <w:rsid w:val="005B3CD3"/>
    <w:rsid w:val="005B3D7E"/>
    <w:rsid w:val="005B3FB2"/>
    <w:rsid w:val="005B3FB5"/>
    <w:rsid w:val="005B409D"/>
    <w:rsid w:val="005B40FC"/>
    <w:rsid w:val="005B41B8"/>
    <w:rsid w:val="005B423C"/>
    <w:rsid w:val="005B42F0"/>
    <w:rsid w:val="005B4340"/>
    <w:rsid w:val="005B4542"/>
    <w:rsid w:val="005B460A"/>
    <w:rsid w:val="005B4731"/>
    <w:rsid w:val="005B4793"/>
    <w:rsid w:val="005B47C1"/>
    <w:rsid w:val="005B4931"/>
    <w:rsid w:val="005B4969"/>
    <w:rsid w:val="005B4A6B"/>
    <w:rsid w:val="005B4B67"/>
    <w:rsid w:val="005B4C0C"/>
    <w:rsid w:val="005B4D71"/>
    <w:rsid w:val="005B4E12"/>
    <w:rsid w:val="005B4E1B"/>
    <w:rsid w:val="005B4E92"/>
    <w:rsid w:val="005B4F98"/>
    <w:rsid w:val="005B4FA5"/>
    <w:rsid w:val="005B5430"/>
    <w:rsid w:val="005B598F"/>
    <w:rsid w:val="005B5B80"/>
    <w:rsid w:val="005B5B9D"/>
    <w:rsid w:val="005B5C5E"/>
    <w:rsid w:val="005B5DE1"/>
    <w:rsid w:val="005B5F73"/>
    <w:rsid w:val="005B5FDD"/>
    <w:rsid w:val="005B5FF9"/>
    <w:rsid w:val="005B6064"/>
    <w:rsid w:val="005B663D"/>
    <w:rsid w:val="005B6716"/>
    <w:rsid w:val="005B69BD"/>
    <w:rsid w:val="005B6A01"/>
    <w:rsid w:val="005B6B44"/>
    <w:rsid w:val="005B6C1B"/>
    <w:rsid w:val="005B6EDC"/>
    <w:rsid w:val="005B6F7F"/>
    <w:rsid w:val="005B7359"/>
    <w:rsid w:val="005B7374"/>
    <w:rsid w:val="005B7379"/>
    <w:rsid w:val="005B7490"/>
    <w:rsid w:val="005B750D"/>
    <w:rsid w:val="005B7699"/>
    <w:rsid w:val="005B7828"/>
    <w:rsid w:val="005B7888"/>
    <w:rsid w:val="005B78D1"/>
    <w:rsid w:val="005B7B27"/>
    <w:rsid w:val="005B7B90"/>
    <w:rsid w:val="005C0026"/>
    <w:rsid w:val="005C005B"/>
    <w:rsid w:val="005C0200"/>
    <w:rsid w:val="005C0413"/>
    <w:rsid w:val="005C042D"/>
    <w:rsid w:val="005C046E"/>
    <w:rsid w:val="005C048E"/>
    <w:rsid w:val="005C0549"/>
    <w:rsid w:val="005C05ED"/>
    <w:rsid w:val="005C06F7"/>
    <w:rsid w:val="005C07AA"/>
    <w:rsid w:val="005C07DC"/>
    <w:rsid w:val="005C08BA"/>
    <w:rsid w:val="005C09B2"/>
    <w:rsid w:val="005C0A6E"/>
    <w:rsid w:val="005C0E9D"/>
    <w:rsid w:val="005C0F71"/>
    <w:rsid w:val="005C0F80"/>
    <w:rsid w:val="005C0FA7"/>
    <w:rsid w:val="005C1096"/>
    <w:rsid w:val="005C1098"/>
    <w:rsid w:val="005C113C"/>
    <w:rsid w:val="005C114B"/>
    <w:rsid w:val="005C15AC"/>
    <w:rsid w:val="005C15F4"/>
    <w:rsid w:val="005C1711"/>
    <w:rsid w:val="005C17B6"/>
    <w:rsid w:val="005C1811"/>
    <w:rsid w:val="005C1907"/>
    <w:rsid w:val="005C1990"/>
    <w:rsid w:val="005C19AA"/>
    <w:rsid w:val="005C1A13"/>
    <w:rsid w:val="005C1AA9"/>
    <w:rsid w:val="005C1AF6"/>
    <w:rsid w:val="005C1B46"/>
    <w:rsid w:val="005C1E04"/>
    <w:rsid w:val="005C220F"/>
    <w:rsid w:val="005C223A"/>
    <w:rsid w:val="005C2591"/>
    <w:rsid w:val="005C25A1"/>
    <w:rsid w:val="005C25B9"/>
    <w:rsid w:val="005C25CA"/>
    <w:rsid w:val="005C2728"/>
    <w:rsid w:val="005C275F"/>
    <w:rsid w:val="005C28AA"/>
    <w:rsid w:val="005C2AC2"/>
    <w:rsid w:val="005C2C0C"/>
    <w:rsid w:val="005C2C7E"/>
    <w:rsid w:val="005C2CB6"/>
    <w:rsid w:val="005C3088"/>
    <w:rsid w:val="005C308B"/>
    <w:rsid w:val="005C3139"/>
    <w:rsid w:val="005C317A"/>
    <w:rsid w:val="005C32AC"/>
    <w:rsid w:val="005C3504"/>
    <w:rsid w:val="005C3968"/>
    <w:rsid w:val="005C3AA9"/>
    <w:rsid w:val="005C3BA3"/>
    <w:rsid w:val="005C3C7D"/>
    <w:rsid w:val="005C3DDE"/>
    <w:rsid w:val="005C3DDF"/>
    <w:rsid w:val="005C3E4E"/>
    <w:rsid w:val="005C405D"/>
    <w:rsid w:val="005C411B"/>
    <w:rsid w:val="005C4256"/>
    <w:rsid w:val="005C4384"/>
    <w:rsid w:val="005C44F5"/>
    <w:rsid w:val="005C4510"/>
    <w:rsid w:val="005C4514"/>
    <w:rsid w:val="005C452E"/>
    <w:rsid w:val="005C45CF"/>
    <w:rsid w:val="005C4617"/>
    <w:rsid w:val="005C464F"/>
    <w:rsid w:val="005C4664"/>
    <w:rsid w:val="005C471A"/>
    <w:rsid w:val="005C4747"/>
    <w:rsid w:val="005C4766"/>
    <w:rsid w:val="005C496D"/>
    <w:rsid w:val="005C4B2B"/>
    <w:rsid w:val="005C4BF7"/>
    <w:rsid w:val="005C4C5F"/>
    <w:rsid w:val="005C4C76"/>
    <w:rsid w:val="005C4E22"/>
    <w:rsid w:val="005C4EE3"/>
    <w:rsid w:val="005C4F92"/>
    <w:rsid w:val="005C5003"/>
    <w:rsid w:val="005C526F"/>
    <w:rsid w:val="005C52E1"/>
    <w:rsid w:val="005C53F7"/>
    <w:rsid w:val="005C5513"/>
    <w:rsid w:val="005C55D5"/>
    <w:rsid w:val="005C5715"/>
    <w:rsid w:val="005C57A0"/>
    <w:rsid w:val="005C5A6D"/>
    <w:rsid w:val="005C5A8E"/>
    <w:rsid w:val="005C5B3B"/>
    <w:rsid w:val="005C5B83"/>
    <w:rsid w:val="005C5CF7"/>
    <w:rsid w:val="005C5EF8"/>
    <w:rsid w:val="005C613F"/>
    <w:rsid w:val="005C6178"/>
    <w:rsid w:val="005C62F7"/>
    <w:rsid w:val="005C650B"/>
    <w:rsid w:val="005C6640"/>
    <w:rsid w:val="005C66E7"/>
    <w:rsid w:val="005C6723"/>
    <w:rsid w:val="005C67B2"/>
    <w:rsid w:val="005C68B5"/>
    <w:rsid w:val="005C6922"/>
    <w:rsid w:val="005C6A09"/>
    <w:rsid w:val="005C6AA6"/>
    <w:rsid w:val="005C6B93"/>
    <w:rsid w:val="005C6E17"/>
    <w:rsid w:val="005C6E44"/>
    <w:rsid w:val="005C709F"/>
    <w:rsid w:val="005C725B"/>
    <w:rsid w:val="005C76BC"/>
    <w:rsid w:val="005C7718"/>
    <w:rsid w:val="005C777C"/>
    <w:rsid w:val="005C796E"/>
    <w:rsid w:val="005C7A0A"/>
    <w:rsid w:val="005C7C04"/>
    <w:rsid w:val="005C7C13"/>
    <w:rsid w:val="005C7C3A"/>
    <w:rsid w:val="005C7F2F"/>
    <w:rsid w:val="005C7FC4"/>
    <w:rsid w:val="005C7FE6"/>
    <w:rsid w:val="005D0129"/>
    <w:rsid w:val="005D030F"/>
    <w:rsid w:val="005D03A7"/>
    <w:rsid w:val="005D053A"/>
    <w:rsid w:val="005D07FA"/>
    <w:rsid w:val="005D08FE"/>
    <w:rsid w:val="005D0983"/>
    <w:rsid w:val="005D0A27"/>
    <w:rsid w:val="005D0C54"/>
    <w:rsid w:val="005D0F1F"/>
    <w:rsid w:val="005D11F3"/>
    <w:rsid w:val="005D134A"/>
    <w:rsid w:val="005D13AE"/>
    <w:rsid w:val="005D150F"/>
    <w:rsid w:val="005D1528"/>
    <w:rsid w:val="005D157E"/>
    <w:rsid w:val="005D15E9"/>
    <w:rsid w:val="005D1600"/>
    <w:rsid w:val="005D165B"/>
    <w:rsid w:val="005D16C8"/>
    <w:rsid w:val="005D1833"/>
    <w:rsid w:val="005D1982"/>
    <w:rsid w:val="005D19E8"/>
    <w:rsid w:val="005D1A66"/>
    <w:rsid w:val="005D1C33"/>
    <w:rsid w:val="005D1C59"/>
    <w:rsid w:val="005D1F75"/>
    <w:rsid w:val="005D1FC2"/>
    <w:rsid w:val="005D2018"/>
    <w:rsid w:val="005D21FB"/>
    <w:rsid w:val="005D228A"/>
    <w:rsid w:val="005D22FE"/>
    <w:rsid w:val="005D233A"/>
    <w:rsid w:val="005D2426"/>
    <w:rsid w:val="005D2480"/>
    <w:rsid w:val="005D25B1"/>
    <w:rsid w:val="005D25E1"/>
    <w:rsid w:val="005D27DA"/>
    <w:rsid w:val="005D2A2A"/>
    <w:rsid w:val="005D2AC5"/>
    <w:rsid w:val="005D2C09"/>
    <w:rsid w:val="005D2CE5"/>
    <w:rsid w:val="005D2E42"/>
    <w:rsid w:val="005D2EFF"/>
    <w:rsid w:val="005D2F13"/>
    <w:rsid w:val="005D3040"/>
    <w:rsid w:val="005D304C"/>
    <w:rsid w:val="005D30A0"/>
    <w:rsid w:val="005D31DE"/>
    <w:rsid w:val="005D32CC"/>
    <w:rsid w:val="005D335A"/>
    <w:rsid w:val="005D338E"/>
    <w:rsid w:val="005D3817"/>
    <w:rsid w:val="005D3D9D"/>
    <w:rsid w:val="005D3E9E"/>
    <w:rsid w:val="005D4092"/>
    <w:rsid w:val="005D4115"/>
    <w:rsid w:val="005D42B3"/>
    <w:rsid w:val="005D4451"/>
    <w:rsid w:val="005D4612"/>
    <w:rsid w:val="005D4962"/>
    <w:rsid w:val="005D49A0"/>
    <w:rsid w:val="005D4AEB"/>
    <w:rsid w:val="005D4C50"/>
    <w:rsid w:val="005D4CF6"/>
    <w:rsid w:val="005D4F01"/>
    <w:rsid w:val="005D5051"/>
    <w:rsid w:val="005D50B6"/>
    <w:rsid w:val="005D5147"/>
    <w:rsid w:val="005D5163"/>
    <w:rsid w:val="005D5377"/>
    <w:rsid w:val="005D53CC"/>
    <w:rsid w:val="005D5556"/>
    <w:rsid w:val="005D565B"/>
    <w:rsid w:val="005D592E"/>
    <w:rsid w:val="005D5AED"/>
    <w:rsid w:val="005D5DD6"/>
    <w:rsid w:val="005D5DE1"/>
    <w:rsid w:val="005D5F0D"/>
    <w:rsid w:val="005D5F82"/>
    <w:rsid w:val="005D606E"/>
    <w:rsid w:val="005D61F9"/>
    <w:rsid w:val="005D643E"/>
    <w:rsid w:val="005D6546"/>
    <w:rsid w:val="005D65E9"/>
    <w:rsid w:val="005D685F"/>
    <w:rsid w:val="005D68AB"/>
    <w:rsid w:val="005D6934"/>
    <w:rsid w:val="005D6B25"/>
    <w:rsid w:val="005D6CA4"/>
    <w:rsid w:val="005D6E27"/>
    <w:rsid w:val="005D7069"/>
    <w:rsid w:val="005D7271"/>
    <w:rsid w:val="005D729D"/>
    <w:rsid w:val="005D735B"/>
    <w:rsid w:val="005D74BE"/>
    <w:rsid w:val="005D7527"/>
    <w:rsid w:val="005D7572"/>
    <w:rsid w:val="005D775D"/>
    <w:rsid w:val="005D79AA"/>
    <w:rsid w:val="005D79F9"/>
    <w:rsid w:val="005D7A13"/>
    <w:rsid w:val="005D7AA9"/>
    <w:rsid w:val="005D7B95"/>
    <w:rsid w:val="005D7C28"/>
    <w:rsid w:val="005D7C84"/>
    <w:rsid w:val="005D7DBE"/>
    <w:rsid w:val="005E0098"/>
    <w:rsid w:val="005E00C4"/>
    <w:rsid w:val="005E0519"/>
    <w:rsid w:val="005E0574"/>
    <w:rsid w:val="005E0740"/>
    <w:rsid w:val="005E08FA"/>
    <w:rsid w:val="005E095A"/>
    <w:rsid w:val="005E0EB7"/>
    <w:rsid w:val="005E10E3"/>
    <w:rsid w:val="005E1125"/>
    <w:rsid w:val="005E12BB"/>
    <w:rsid w:val="005E1355"/>
    <w:rsid w:val="005E1774"/>
    <w:rsid w:val="005E17C9"/>
    <w:rsid w:val="005E1975"/>
    <w:rsid w:val="005E19D4"/>
    <w:rsid w:val="005E1AFA"/>
    <w:rsid w:val="005E1B95"/>
    <w:rsid w:val="005E1D8C"/>
    <w:rsid w:val="005E1DBB"/>
    <w:rsid w:val="005E1E0E"/>
    <w:rsid w:val="005E1E2A"/>
    <w:rsid w:val="005E1EBC"/>
    <w:rsid w:val="005E1F0F"/>
    <w:rsid w:val="005E204F"/>
    <w:rsid w:val="005E20DD"/>
    <w:rsid w:val="005E2247"/>
    <w:rsid w:val="005E25C5"/>
    <w:rsid w:val="005E2621"/>
    <w:rsid w:val="005E2784"/>
    <w:rsid w:val="005E27CC"/>
    <w:rsid w:val="005E2867"/>
    <w:rsid w:val="005E2970"/>
    <w:rsid w:val="005E29A1"/>
    <w:rsid w:val="005E2AD2"/>
    <w:rsid w:val="005E2C01"/>
    <w:rsid w:val="005E2CC0"/>
    <w:rsid w:val="005E2E58"/>
    <w:rsid w:val="005E2FFE"/>
    <w:rsid w:val="005E301A"/>
    <w:rsid w:val="005E3021"/>
    <w:rsid w:val="005E30C8"/>
    <w:rsid w:val="005E319A"/>
    <w:rsid w:val="005E3469"/>
    <w:rsid w:val="005E348E"/>
    <w:rsid w:val="005E35D9"/>
    <w:rsid w:val="005E371E"/>
    <w:rsid w:val="005E3969"/>
    <w:rsid w:val="005E3C04"/>
    <w:rsid w:val="005E3D1E"/>
    <w:rsid w:val="005E3FA0"/>
    <w:rsid w:val="005E41BC"/>
    <w:rsid w:val="005E4292"/>
    <w:rsid w:val="005E42A5"/>
    <w:rsid w:val="005E4347"/>
    <w:rsid w:val="005E4367"/>
    <w:rsid w:val="005E4519"/>
    <w:rsid w:val="005E452F"/>
    <w:rsid w:val="005E45CD"/>
    <w:rsid w:val="005E4856"/>
    <w:rsid w:val="005E4A05"/>
    <w:rsid w:val="005E4A96"/>
    <w:rsid w:val="005E4A9A"/>
    <w:rsid w:val="005E4D54"/>
    <w:rsid w:val="005E504F"/>
    <w:rsid w:val="005E50E4"/>
    <w:rsid w:val="005E547A"/>
    <w:rsid w:val="005E553A"/>
    <w:rsid w:val="005E5634"/>
    <w:rsid w:val="005E568E"/>
    <w:rsid w:val="005E570B"/>
    <w:rsid w:val="005E58F3"/>
    <w:rsid w:val="005E5961"/>
    <w:rsid w:val="005E5D2D"/>
    <w:rsid w:val="005E5DBD"/>
    <w:rsid w:val="005E5FB1"/>
    <w:rsid w:val="005E60B8"/>
    <w:rsid w:val="005E6290"/>
    <w:rsid w:val="005E6296"/>
    <w:rsid w:val="005E629E"/>
    <w:rsid w:val="005E6446"/>
    <w:rsid w:val="005E646C"/>
    <w:rsid w:val="005E65D2"/>
    <w:rsid w:val="005E6650"/>
    <w:rsid w:val="005E681D"/>
    <w:rsid w:val="005E69BB"/>
    <w:rsid w:val="005E6A02"/>
    <w:rsid w:val="005E6B1E"/>
    <w:rsid w:val="005E6B35"/>
    <w:rsid w:val="005E6BCB"/>
    <w:rsid w:val="005E6C50"/>
    <w:rsid w:val="005E6C6B"/>
    <w:rsid w:val="005E6D8B"/>
    <w:rsid w:val="005E6F3B"/>
    <w:rsid w:val="005E72A8"/>
    <w:rsid w:val="005E72B8"/>
    <w:rsid w:val="005E72C3"/>
    <w:rsid w:val="005E72F6"/>
    <w:rsid w:val="005E7349"/>
    <w:rsid w:val="005E74D7"/>
    <w:rsid w:val="005E7836"/>
    <w:rsid w:val="005E7886"/>
    <w:rsid w:val="005E7958"/>
    <w:rsid w:val="005E79C6"/>
    <w:rsid w:val="005E79D1"/>
    <w:rsid w:val="005E7A6F"/>
    <w:rsid w:val="005E7F21"/>
    <w:rsid w:val="005F0028"/>
    <w:rsid w:val="005F0264"/>
    <w:rsid w:val="005F02B2"/>
    <w:rsid w:val="005F04CE"/>
    <w:rsid w:val="005F0513"/>
    <w:rsid w:val="005F0693"/>
    <w:rsid w:val="005F094D"/>
    <w:rsid w:val="005F095A"/>
    <w:rsid w:val="005F0A34"/>
    <w:rsid w:val="005F0AAA"/>
    <w:rsid w:val="005F0E1A"/>
    <w:rsid w:val="005F0E25"/>
    <w:rsid w:val="005F0E9A"/>
    <w:rsid w:val="005F134C"/>
    <w:rsid w:val="005F180D"/>
    <w:rsid w:val="005F1830"/>
    <w:rsid w:val="005F1A2B"/>
    <w:rsid w:val="005F1B0E"/>
    <w:rsid w:val="005F1B3B"/>
    <w:rsid w:val="005F1B60"/>
    <w:rsid w:val="005F1F12"/>
    <w:rsid w:val="005F20F5"/>
    <w:rsid w:val="005F2140"/>
    <w:rsid w:val="005F214E"/>
    <w:rsid w:val="005F2373"/>
    <w:rsid w:val="005F23B9"/>
    <w:rsid w:val="005F2458"/>
    <w:rsid w:val="005F2469"/>
    <w:rsid w:val="005F2531"/>
    <w:rsid w:val="005F259B"/>
    <w:rsid w:val="005F2763"/>
    <w:rsid w:val="005F2808"/>
    <w:rsid w:val="005F282D"/>
    <w:rsid w:val="005F2A8C"/>
    <w:rsid w:val="005F2BF8"/>
    <w:rsid w:val="005F2FD6"/>
    <w:rsid w:val="005F329E"/>
    <w:rsid w:val="005F33EB"/>
    <w:rsid w:val="005F363A"/>
    <w:rsid w:val="005F365C"/>
    <w:rsid w:val="005F368F"/>
    <w:rsid w:val="005F3722"/>
    <w:rsid w:val="005F3743"/>
    <w:rsid w:val="005F3878"/>
    <w:rsid w:val="005F387B"/>
    <w:rsid w:val="005F38AF"/>
    <w:rsid w:val="005F3947"/>
    <w:rsid w:val="005F3A14"/>
    <w:rsid w:val="005F3C26"/>
    <w:rsid w:val="005F3DDD"/>
    <w:rsid w:val="005F3F3E"/>
    <w:rsid w:val="005F40EA"/>
    <w:rsid w:val="005F4313"/>
    <w:rsid w:val="005F4364"/>
    <w:rsid w:val="005F43C0"/>
    <w:rsid w:val="005F4689"/>
    <w:rsid w:val="005F47AD"/>
    <w:rsid w:val="005F496D"/>
    <w:rsid w:val="005F4A2F"/>
    <w:rsid w:val="005F4AFB"/>
    <w:rsid w:val="005F4BC7"/>
    <w:rsid w:val="005F4BDA"/>
    <w:rsid w:val="005F4C88"/>
    <w:rsid w:val="005F4D81"/>
    <w:rsid w:val="005F4E11"/>
    <w:rsid w:val="005F51DD"/>
    <w:rsid w:val="005F56AE"/>
    <w:rsid w:val="005F5931"/>
    <w:rsid w:val="005F59F8"/>
    <w:rsid w:val="005F5A42"/>
    <w:rsid w:val="005F5B6D"/>
    <w:rsid w:val="005F5DF9"/>
    <w:rsid w:val="005F5F25"/>
    <w:rsid w:val="005F5F36"/>
    <w:rsid w:val="005F5F9C"/>
    <w:rsid w:val="005F6007"/>
    <w:rsid w:val="005F6096"/>
    <w:rsid w:val="005F60C9"/>
    <w:rsid w:val="005F63CC"/>
    <w:rsid w:val="005F63EC"/>
    <w:rsid w:val="005F6829"/>
    <w:rsid w:val="005F6847"/>
    <w:rsid w:val="005F6886"/>
    <w:rsid w:val="005F6888"/>
    <w:rsid w:val="005F68A5"/>
    <w:rsid w:val="005F69C8"/>
    <w:rsid w:val="005F6DE9"/>
    <w:rsid w:val="005F6E31"/>
    <w:rsid w:val="005F6E63"/>
    <w:rsid w:val="005F6F3F"/>
    <w:rsid w:val="005F71E9"/>
    <w:rsid w:val="005F74CA"/>
    <w:rsid w:val="005F74DD"/>
    <w:rsid w:val="005F753D"/>
    <w:rsid w:val="005F789D"/>
    <w:rsid w:val="005F7B21"/>
    <w:rsid w:val="005F7BC3"/>
    <w:rsid w:val="005F7C05"/>
    <w:rsid w:val="005F7FB5"/>
    <w:rsid w:val="0060002C"/>
    <w:rsid w:val="006000C3"/>
    <w:rsid w:val="00600170"/>
    <w:rsid w:val="0060023B"/>
    <w:rsid w:val="00600B58"/>
    <w:rsid w:val="00600BC2"/>
    <w:rsid w:val="00600CC6"/>
    <w:rsid w:val="00600D2F"/>
    <w:rsid w:val="00600EA9"/>
    <w:rsid w:val="00600EB1"/>
    <w:rsid w:val="00600FE5"/>
    <w:rsid w:val="00601033"/>
    <w:rsid w:val="00601036"/>
    <w:rsid w:val="0060103F"/>
    <w:rsid w:val="0060115F"/>
    <w:rsid w:val="0060137A"/>
    <w:rsid w:val="006016C2"/>
    <w:rsid w:val="006016EC"/>
    <w:rsid w:val="00601858"/>
    <w:rsid w:val="006018D9"/>
    <w:rsid w:val="006019DF"/>
    <w:rsid w:val="00601B1E"/>
    <w:rsid w:val="00601CC4"/>
    <w:rsid w:val="00601DB8"/>
    <w:rsid w:val="00601E9D"/>
    <w:rsid w:val="00601F9B"/>
    <w:rsid w:val="00602127"/>
    <w:rsid w:val="0060212F"/>
    <w:rsid w:val="006021FE"/>
    <w:rsid w:val="00602403"/>
    <w:rsid w:val="0060241C"/>
    <w:rsid w:val="006026EB"/>
    <w:rsid w:val="0060277F"/>
    <w:rsid w:val="0060298D"/>
    <w:rsid w:val="00602A09"/>
    <w:rsid w:val="00602E4F"/>
    <w:rsid w:val="00602FA5"/>
    <w:rsid w:val="006032B8"/>
    <w:rsid w:val="006032CB"/>
    <w:rsid w:val="00603465"/>
    <w:rsid w:val="00603636"/>
    <w:rsid w:val="00603722"/>
    <w:rsid w:val="0060373D"/>
    <w:rsid w:val="006037C3"/>
    <w:rsid w:val="0060386F"/>
    <w:rsid w:val="00603B03"/>
    <w:rsid w:val="00603B43"/>
    <w:rsid w:val="00603CAC"/>
    <w:rsid w:val="00603D38"/>
    <w:rsid w:val="00603E47"/>
    <w:rsid w:val="00603EA0"/>
    <w:rsid w:val="00603F12"/>
    <w:rsid w:val="00603F5A"/>
    <w:rsid w:val="00604049"/>
    <w:rsid w:val="00604134"/>
    <w:rsid w:val="006041AB"/>
    <w:rsid w:val="0060433E"/>
    <w:rsid w:val="00604423"/>
    <w:rsid w:val="006045AF"/>
    <w:rsid w:val="0060482B"/>
    <w:rsid w:val="00604938"/>
    <w:rsid w:val="006049AC"/>
    <w:rsid w:val="00604A37"/>
    <w:rsid w:val="00604A6A"/>
    <w:rsid w:val="00604CBC"/>
    <w:rsid w:val="00604DC5"/>
    <w:rsid w:val="00604DFE"/>
    <w:rsid w:val="00604E9B"/>
    <w:rsid w:val="00604EA3"/>
    <w:rsid w:val="00604EF6"/>
    <w:rsid w:val="00604FA1"/>
    <w:rsid w:val="0060505D"/>
    <w:rsid w:val="0060512D"/>
    <w:rsid w:val="006051C0"/>
    <w:rsid w:val="0060536B"/>
    <w:rsid w:val="0060538C"/>
    <w:rsid w:val="00605432"/>
    <w:rsid w:val="0060553A"/>
    <w:rsid w:val="00605544"/>
    <w:rsid w:val="0060554D"/>
    <w:rsid w:val="00605591"/>
    <w:rsid w:val="006055B7"/>
    <w:rsid w:val="006055B9"/>
    <w:rsid w:val="00605609"/>
    <w:rsid w:val="006056A2"/>
    <w:rsid w:val="0060575E"/>
    <w:rsid w:val="006057F2"/>
    <w:rsid w:val="0060599A"/>
    <w:rsid w:val="00605A94"/>
    <w:rsid w:val="00605ACF"/>
    <w:rsid w:val="00605C0C"/>
    <w:rsid w:val="00605D64"/>
    <w:rsid w:val="00605E3D"/>
    <w:rsid w:val="00605F80"/>
    <w:rsid w:val="00606826"/>
    <w:rsid w:val="00606882"/>
    <w:rsid w:val="00606CC5"/>
    <w:rsid w:val="00606D0F"/>
    <w:rsid w:val="00606D7D"/>
    <w:rsid w:val="00606E18"/>
    <w:rsid w:val="00606E6F"/>
    <w:rsid w:val="00606E7E"/>
    <w:rsid w:val="00606FE7"/>
    <w:rsid w:val="00606FF4"/>
    <w:rsid w:val="00607230"/>
    <w:rsid w:val="0060769C"/>
    <w:rsid w:val="00607724"/>
    <w:rsid w:val="00607932"/>
    <w:rsid w:val="00607BA8"/>
    <w:rsid w:val="00607C33"/>
    <w:rsid w:val="00607D01"/>
    <w:rsid w:val="00607D11"/>
    <w:rsid w:val="00607E3B"/>
    <w:rsid w:val="00607F1F"/>
    <w:rsid w:val="00607F7B"/>
    <w:rsid w:val="006100FC"/>
    <w:rsid w:val="00610324"/>
    <w:rsid w:val="00610451"/>
    <w:rsid w:val="006107CA"/>
    <w:rsid w:val="00610A7A"/>
    <w:rsid w:val="00610BDE"/>
    <w:rsid w:val="00610CEF"/>
    <w:rsid w:val="00610D10"/>
    <w:rsid w:val="00610E70"/>
    <w:rsid w:val="00610FEB"/>
    <w:rsid w:val="0061109D"/>
    <w:rsid w:val="0061112A"/>
    <w:rsid w:val="00611150"/>
    <w:rsid w:val="00611252"/>
    <w:rsid w:val="00611784"/>
    <w:rsid w:val="006117F7"/>
    <w:rsid w:val="00611974"/>
    <w:rsid w:val="006119AD"/>
    <w:rsid w:val="00611A3A"/>
    <w:rsid w:val="00611BA5"/>
    <w:rsid w:val="00611BE8"/>
    <w:rsid w:val="00611EAD"/>
    <w:rsid w:val="00611FDC"/>
    <w:rsid w:val="0061208C"/>
    <w:rsid w:val="006121C5"/>
    <w:rsid w:val="006122E9"/>
    <w:rsid w:val="00612300"/>
    <w:rsid w:val="00612334"/>
    <w:rsid w:val="00612357"/>
    <w:rsid w:val="0061239D"/>
    <w:rsid w:val="0061246F"/>
    <w:rsid w:val="00612682"/>
    <w:rsid w:val="006126C5"/>
    <w:rsid w:val="0061270E"/>
    <w:rsid w:val="00612780"/>
    <w:rsid w:val="006128B3"/>
    <w:rsid w:val="0061291E"/>
    <w:rsid w:val="00612978"/>
    <w:rsid w:val="006129E9"/>
    <w:rsid w:val="00612A71"/>
    <w:rsid w:val="00612B8E"/>
    <w:rsid w:val="00612CD1"/>
    <w:rsid w:val="00612FE5"/>
    <w:rsid w:val="006132E0"/>
    <w:rsid w:val="0061358C"/>
    <w:rsid w:val="00613629"/>
    <w:rsid w:val="0061375C"/>
    <w:rsid w:val="00613B17"/>
    <w:rsid w:val="00613C50"/>
    <w:rsid w:val="00613C75"/>
    <w:rsid w:val="00613CAE"/>
    <w:rsid w:val="00613D57"/>
    <w:rsid w:val="00613E41"/>
    <w:rsid w:val="00613EB7"/>
    <w:rsid w:val="00613F6E"/>
    <w:rsid w:val="0061400B"/>
    <w:rsid w:val="0061402E"/>
    <w:rsid w:val="00614050"/>
    <w:rsid w:val="006140AE"/>
    <w:rsid w:val="006141F4"/>
    <w:rsid w:val="006143E2"/>
    <w:rsid w:val="0061443A"/>
    <w:rsid w:val="0061445A"/>
    <w:rsid w:val="0061446A"/>
    <w:rsid w:val="006144C9"/>
    <w:rsid w:val="006146F4"/>
    <w:rsid w:val="00614CED"/>
    <w:rsid w:val="0061535B"/>
    <w:rsid w:val="00615428"/>
    <w:rsid w:val="00615480"/>
    <w:rsid w:val="006155A4"/>
    <w:rsid w:val="00615C04"/>
    <w:rsid w:val="00615EB1"/>
    <w:rsid w:val="00615EC1"/>
    <w:rsid w:val="00616198"/>
    <w:rsid w:val="0061631D"/>
    <w:rsid w:val="00616460"/>
    <w:rsid w:val="00616639"/>
    <w:rsid w:val="00616A23"/>
    <w:rsid w:val="00616A30"/>
    <w:rsid w:val="00616C4E"/>
    <w:rsid w:val="00616EC1"/>
    <w:rsid w:val="00616ED5"/>
    <w:rsid w:val="00616F17"/>
    <w:rsid w:val="0061723D"/>
    <w:rsid w:val="006172FD"/>
    <w:rsid w:val="006173CA"/>
    <w:rsid w:val="00617432"/>
    <w:rsid w:val="00617550"/>
    <w:rsid w:val="006176CB"/>
    <w:rsid w:val="0061780E"/>
    <w:rsid w:val="00617975"/>
    <w:rsid w:val="00617AA8"/>
    <w:rsid w:val="00617BD7"/>
    <w:rsid w:val="00617C11"/>
    <w:rsid w:val="00617CAD"/>
    <w:rsid w:val="00617DA5"/>
    <w:rsid w:val="00617DCD"/>
    <w:rsid w:val="0062001D"/>
    <w:rsid w:val="006202DA"/>
    <w:rsid w:val="006203A2"/>
    <w:rsid w:val="006205AA"/>
    <w:rsid w:val="006206B0"/>
    <w:rsid w:val="0062078E"/>
    <w:rsid w:val="006207F6"/>
    <w:rsid w:val="00620836"/>
    <w:rsid w:val="00620AD8"/>
    <w:rsid w:val="00620B42"/>
    <w:rsid w:val="00620B47"/>
    <w:rsid w:val="00620B8A"/>
    <w:rsid w:val="00620C04"/>
    <w:rsid w:val="00620DBA"/>
    <w:rsid w:val="0062107F"/>
    <w:rsid w:val="0062110D"/>
    <w:rsid w:val="00621402"/>
    <w:rsid w:val="006215DC"/>
    <w:rsid w:val="0062166B"/>
    <w:rsid w:val="0062175B"/>
    <w:rsid w:val="006217AC"/>
    <w:rsid w:val="00621817"/>
    <w:rsid w:val="006218AC"/>
    <w:rsid w:val="006218BE"/>
    <w:rsid w:val="00621938"/>
    <w:rsid w:val="0062194F"/>
    <w:rsid w:val="00621968"/>
    <w:rsid w:val="006219A6"/>
    <w:rsid w:val="006219B5"/>
    <w:rsid w:val="00621AC7"/>
    <w:rsid w:val="00621AE4"/>
    <w:rsid w:val="00621C1F"/>
    <w:rsid w:val="00621C72"/>
    <w:rsid w:val="00621D7E"/>
    <w:rsid w:val="00622116"/>
    <w:rsid w:val="00622129"/>
    <w:rsid w:val="006221CF"/>
    <w:rsid w:val="006222B6"/>
    <w:rsid w:val="00622447"/>
    <w:rsid w:val="00622628"/>
    <w:rsid w:val="006227A3"/>
    <w:rsid w:val="006227DC"/>
    <w:rsid w:val="006227E4"/>
    <w:rsid w:val="006227F5"/>
    <w:rsid w:val="00622907"/>
    <w:rsid w:val="006229B0"/>
    <w:rsid w:val="00622C1A"/>
    <w:rsid w:val="00622CBE"/>
    <w:rsid w:val="00622D70"/>
    <w:rsid w:val="00622E0E"/>
    <w:rsid w:val="00622E67"/>
    <w:rsid w:val="00622EBB"/>
    <w:rsid w:val="00622F13"/>
    <w:rsid w:val="0062302A"/>
    <w:rsid w:val="00623086"/>
    <w:rsid w:val="00623214"/>
    <w:rsid w:val="00623322"/>
    <w:rsid w:val="0062358C"/>
    <w:rsid w:val="006239AC"/>
    <w:rsid w:val="00623B45"/>
    <w:rsid w:val="00623D96"/>
    <w:rsid w:val="00623DA6"/>
    <w:rsid w:val="0062404D"/>
    <w:rsid w:val="00624101"/>
    <w:rsid w:val="00624296"/>
    <w:rsid w:val="006242AD"/>
    <w:rsid w:val="006242EC"/>
    <w:rsid w:val="0062435E"/>
    <w:rsid w:val="00624425"/>
    <w:rsid w:val="00624519"/>
    <w:rsid w:val="00624684"/>
    <w:rsid w:val="0062481C"/>
    <w:rsid w:val="00624945"/>
    <w:rsid w:val="00624B19"/>
    <w:rsid w:val="00624BF2"/>
    <w:rsid w:val="00624D6D"/>
    <w:rsid w:val="00624DA8"/>
    <w:rsid w:val="00624F38"/>
    <w:rsid w:val="00624F79"/>
    <w:rsid w:val="00625045"/>
    <w:rsid w:val="00625243"/>
    <w:rsid w:val="006254D2"/>
    <w:rsid w:val="0062557D"/>
    <w:rsid w:val="00625843"/>
    <w:rsid w:val="00625AF1"/>
    <w:rsid w:val="00625D73"/>
    <w:rsid w:val="00625E12"/>
    <w:rsid w:val="00625EBC"/>
    <w:rsid w:val="00625F47"/>
    <w:rsid w:val="00625F6D"/>
    <w:rsid w:val="006262D6"/>
    <w:rsid w:val="006265D4"/>
    <w:rsid w:val="00626704"/>
    <w:rsid w:val="00626B3E"/>
    <w:rsid w:val="00626E11"/>
    <w:rsid w:val="00626FCE"/>
    <w:rsid w:val="00627036"/>
    <w:rsid w:val="00627062"/>
    <w:rsid w:val="0062709F"/>
    <w:rsid w:val="00627149"/>
    <w:rsid w:val="0062733B"/>
    <w:rsid w:val="006274F1"/>
    <w:rsid w:val="0062755F"/>
    <w:rsid w:val="0062781A"/>
    <w:rsid w:val="00627E61"/>
    <w:rsid w:val="00630130"/>
    <w:rsid w:val="00630540"/>
    <w:rsid w:val="006307F9"/>
    <w:rsid w:val="00630968"/>
    <w:rsid w:val="006309E9"/>
    <w:rsid w:val="00630BAA"/>
    <w:rsid w:val="00630FC0"/>
    <w:rsid w:val="00630FDF"/>
    <w:rsid w:val="00631061"/>
    <w:rsid w:val="006310B5"/>
    <w:rsid w:val="006310FD"/>
    <w:rsid w:val="006311E8"/>
    <w:rsid w:val="00631293"/>
    <w:rsid w:val="006313A3"/>
    <w:rsid w:val="00631686"/>
    <w:rsid w:val="006317BD"/>
    <w:rsid w:val="006317DA"/>
    <w:rsid w:val="00631823"/>
    <w:rsid w:val="00631B13"/>
    <w:rsid w:val="00631E88"/>
    <w:rsid w:val="00631FF9"/>
    <w:rsid w:val="00632001"/>
    <w:rsid w:val="00632020"/>
    <w:rsid w:val="00632234"/>
    <w:rsid w:val="00632307"/>
    <w:rsid w:val="00632401"/>
    <w:rsid w:val="00632456"/>
    <w:rsid w:val="00632701"/>
    <w:rsid w:val="00632A53"/>
    <w:rsid w:val="00632B12"/>
    <w:rsid w:val="00632BDC"/>
    <w:rsid w:val="00632CDE"/>
    <w:rsid w:val="00632CF8"/>
    <w:rsid w:val="00632E0D"/>
    <w:rsid w:val="00632E2D"/>
    <w:rsid w:val="00632F56"/>
    <w:rsid w:val="00632FF0"/>
    <w:rsid w:val="00633352"/>
    <w:rsid w:val="006333D5"/>
    <w:rsid w:val="0063343C"/>
    <w:rsid w:val="006334F8"/>
    <w:rsid w:val="00633606"/>
    <w:rsid w:val="00633752"/>
    <w:rsid w:val="00633765"/>
    <w:rsid w:val="00633770"/>
    <w:rsid w:val="00633B37"/>
    <w:rsid w:val="00633BCC"/>
    <w:rsid w:val="00633C37"/>
    <w:rsid w:val="00633F15"/>
    <w:rsid w:val="00633F2D"/>
    <w:rsid w:val="00633F39"/>
    <w:rsid w:val="00633F8C"/>
    <w:rsid w:val="00634158"/>
    <w:rsid w:val="00634386"/>
    <w:rsid w:val="00634392"/>
    <w:rsid w:val="0063439F"/>
    <w:rsid w:val="006343DE"/>
    <w:rsid w:val="0063449D"/>
    <w:rsid w:val="006344C9"/>
    <w:rsid w:val="006344CB"/>
    <w:rsid w:val="006346EB"/>
    <w:rsid w:val="00634732"/>
    <w:rsid w:val="00634949"/>
    <w:rsid w:val="006349C9"/>
    <w:rsid w:val="006349DA"/>
    <w:rsid w:val="00634BB8"/>
    <w:rsid w:val="00634D2F"/>
    <w:rsid w:val="006350F9"/>
    <w:rsid w:val="006352D2"/>
    <w:rsid w:val="00635480"/>
    <w:rsid w:val="00635622"/>
    <w:rsid w:val="00635674"/>
    <w:rsid w:val="00635691"/>
    <w:rsid w:val="0063569E"/>
    <w:rsid w:val="00635724"/>
    <w:rsid w:val="00635A36"/>
    <w:rsid w:val="00635A96"/>
    <w:rsid w:val="00635D81"/>
    <w:rsid w:val="00635F74"/>
    <w:rsid w:val="00635F78"/>
    <w:rsid w:val="00635F9C"/>
    <w:rsid w:val="00635FDA"/>
    <w:rsid w:val="006361DB"/>
    <w:rsid w:val="006362A8"/>
    <w:rsid w:val="00636331"/>
    <w:rsid w:val="0063655A"/>
    <w:rsid w:val="006367E0"/>
    <w:rsid w:val="006368FA"/>
    <w:rsid w:val="00636987"/>
    <w:rsid w:val="0063698B"/>
    <w:rsid w:val="006369B2"/>
    <w:rsid w:val="00636AD1"/>
    <w:rsid w:val="00636C1D"/>
    <w:rsid w:val="0063727E"/>
    <w:rsid w:val="006374FF"/>
    <w:rsid w:val="00637714"/>
    <w:rsid w:val="006378C2"/>
    <w:rsid w:val="00637971"/>
    <w:rsid w:val="006379F2"/>
    <w:rsid w:val="00637A0E"/>
    <w:rsid w:val="00637AB6"/>
    <w:rsid w:val="00637AD6"/>
    <w:rsid w:val="00637BE8"/>
    <w:rsid w:val="00637D6B"/>
    <w:rsid w:val="00637E53"/>
    <w:rsid w:val="00637E83"/>
    <w:rsid w:val="00637FE5"/>
    <w:rsid w:val="006400F5"/>
    <w:rsid w:val="0064025D"/>
    <w:rsid w:val="00640367"/>
    <w:rsid w:val="0064053E"/>
    <w:rsid w:val="0064057F"/>
    <w:rsid w:val="0064070E"/>
    <w:rsid w:val="00640E3B"/>
    <w:rsid w:val="00640FF2"/>
    <w:rsid w:val="006411EA"/>
    <w:rsid w:val="006412ED"/>
    <w:rsid w:val="0064135B"/>
    <w:rsid w:val="00641435"/>
    <w:rsid w:val="00641478"/>
    <w:rsid w:val="00641661"/>
    <w:rsid w:val="00641688"/>
    <w:rsid w:val="006417EB"/>
    <w:rsid w:val="00641873"/>
    <w:rsid w:val="00641952"/>
    <w:rsid w:val="0064195A"/>
    <w:rsid w:val="0064195C"/>
    <w:rsid w:val="00641C07"/>
    <w:rsid w:val="00641CFC"/>
    <w:rsid w:val="00641EC8"/>
    <w:rsid w:val="00641F73"/>
    <w:rsid w:val="006420BA"/>
    <w:rsid w:val="00642223"/>
    <w:rsid w:val="00642625"/>
    <w:rsid w:val="00642646"/>
    <w:rsid w:val="006427A2"/>
    <w:rsid w:val="006429C1"/>
    <w:rsid w:val="00642A37"/>
    <w:rsid w:val="00642A77"/>
    <w:rsid w:val="00642AA6"/>
    <w:rsid w:val="00642C53"/>
    <w:rsid w:val="00642C69"/>
    <w:rsid w:val="00642DBF"/>
    <w:rsid w:val="00642DD1"/>
    <w:rsid w:val="00643007"/>
    <w:rsid w:val="006430B4"/>
    <w:rsid w:val="006430F8"/>
    <w:rsid w:val="00643203"/>
    <w:rsid w:val="00643285"/>
    <w:rsid w:val="006433A8"/>
    <w:rsid w:val="00643544"/>
    <w:rsid w:val="0064360E"/>
    <w:rsid w:val="00643790"/>
    <w:rsid w:val="006437CB"/>
    <w:rsid w:val="006437CF"/>
    <w:rsid w:val="006439C5"/>
    <w:rsid w:val="006439C6"/>
    <w:rsid w:val="00643A98"/>
    <w:rsid w:val="00643AA6"/>
    <w:rsid w:val="00643ABC"/>
    <w:rsid w:val="00643C21"/>
    <w:rsid w:val="00643D6F"/>
    <w:rsid w:val="00643E00"/>
    <w:rsid w:val="00643F0A"/>
    <w:rsid w:val="00643F37"/>
    <w:rsid w:val="00644197"/>
    <w:rsid w:val="006442AA"/>
    <w:rsid w:val="006442BD"/>
    <w:rsid w:val="006444A8"/>
    <w:rsid w:val="006446E9"/>
    <w:rsid w:val="006448E4"/>
    <w:rsid w:val="006449E8"/>
    <w:rsid w:val="00644A40"/>
    <w:rsid w:val="00644B89"/>
    <w:rsid w:val="00644D39"/>
    <w:rsid w:val="00644D49"/>
    <w:rsid w:val="00644D4F"/>
    <w:rsid w:val="0064561D"/>
    <w:rsid w:val="006457F3"/>
    <w:rsid w:val="0064581C"/>
    <w:rsid w:val="0064594E"/>
    <w:rsid w:val="00645AC5"/>
    <w:rsid w:val="00645B0A"/>
    <w:rsid w:val="00645B39"/>
    <w:rsid w:val="00645ECF"/>
    <w:rsid w:val="00645F4A"/>
    <w:rsid w:val="00646248"/>
    <w:rsid w:val="00646420"/>
    <w:rsid w:val="006464CB"/>
    <w:rsid w:val="006465DD"/>
    <w:rsid w:val="00646822"/>
    <w:rsid w:val="00646B6B"/>
    <w:rsid w:val="00646D54"/>
    <w:rsid w:val="00646FE7"/>
    <w:rsid w:val="00646FF0"/>
    <w:rsid w:val="0064706D"/>
    <w:rsid w:val="006470A2"/>
    <w:rsid w:val="006471E1"/>
    <w:rsid w:val="006472AE"/>
    <w:rsid w:val="006474C1"/>
    <w:rsid w:val="00647514"/>
    <w:rsid w:val="00647522"/>
    <w:rsid w:val="00647563"/>
    <w:rsid w:val="006476A0"/>
    <w:rsid w:val="006476E9"/>
    <w:rsid w:val="00647838"/>
    <w:rsid w:val="00647938"/>
    <w:rsid w:val="00647BDD"/>
    <w:rsid w:val="006490A1"/>
    <w:rsid w:val="006500EF"/>
    <w:rsid w:val="006502A7"/>
    <w:rsid w:val="006503F0"/>
    <w:rsid w:val="00650601"/>
    <w:rsid w:val="00650641"/>
    <w:rsid w:val="006506BF"/>
    <w:rsid w:val="006507C3"/>
    <w:rsid w:val="006507D8"/>
    <w:rsid w:val="006507DC"/>
    <w:rsid w:val="0065080F"/>
    <w:rsid w:val="00650885"/>
    <w:rsid w:val="00650A49"/>
    <w:rsid w:val="00650AC2"/>
    <w:rsid w:val="00650D24"/>
    <w:rsid w:val="00650E12"/>
    <w:rsid w:val="00650EEE"/>
    <w:rsid w:val="00651513"/>
    <w:rsid w:val="00651646"/>
    <w:rsid w:val="00651744"/>
    <w:rsid w:val="00651787"/>
    <w:rsid w:val="00651A71"/>
    <w:rsid w:val="00651B1D"/>
    <w:rsid w:val="00651C49"/>
    <w:rsid w:val="00651D61"/>
    <w:rsid w:val="00651F9F"/>
    <w:rsid w:val="0065225F"/>
    <w:rsid w:val="0065228C"/>
    <w:rsid w:val="00652438"/>
    <w:rsid w:val="00652555"/>
    <w:rsid w:val="006525E9"/>
    <w:rsid w:val="0065265D"/>
    <w:rsid w:val="0065278B"/>
    <w:rsid w:val="006527FE"/>
    <w:rsid w:val="0065285C"/>
    <w:rsid w:val="00652A2C"/>
    <w:rsid w:val="00652D93"/>
    <w:rsid w:val="00652E68"/>
    <w:rsid w:val="00652E7C"/>
    <w:rsid w:val="00652F39"/>
    <w:rsid w:val="00652FE0"/>
    <w:rsid w:val="00653052"/>
    <w:rsid w:val="0065305B"/>
    <w:rsid w:val="006530C2"/>
    <w:rsid w:val="006530F5"/>
    <w:rsid w:val="0065324F"/>
    <w:rsid w:val="00653418"/>
    <w:rsid w:val="00653436"/>
    <w:rsid w:val="006535D7"/>
    <w:rsid w:val="006536BB"/>
    <w:rsid w:val="0065390F"/>
    <w:rsid w:val="00653A4C"/>
    <w:rsid w:val="00653C35"/>
    <w:rsid w:val="00653C4F"/>
    <w:rsid w:val="00653CB9"/>
    <w:rsid w:val="00653EF1"/>
    <w:rsid w:val="0065414D"/>
    <w:rsid w:val="00654296"/>
    <w:rsid w:val="00654770"/>
    <w:rsid w:val="00654AF9"/>
    <w:rsid w:val="00654B21"/>
    <w:rsid w:val="00654B72"/>
    <w:rsid w:val="00654E9D"/>
    <w:rsid w:val="00654F3C"/>
    <w:rsid w:val="00654FF7"/>
    <w:rsid w:val="0065507D"/>
    <w:rsid w:val="006550D2"/>
    <w:rsid w:val="0065564B"/>
    <w:rsid w:val="00655980"/>
    <w:rsid w:val="00655A08"/>
    <w:rsid w:val="00655B11"/>
    <w:rsid w:val="00655B20"/>
    <w:rsid w:val="00655E9A"/>
    <w:rsid w:val="006560AE"/>
    <w:rsid w:val="006560C7"/>
    <w:rsid w:val="00656246"/>
    <w:rsid w:val="006563B5"/>
    <w:rsid w:val="006563F7"/>
    <w:rsid w:val="00656496"/>
    <w:rsid w:val="006564DD"/>
    <w:rsid w:val="006564F5"/>
    <w:rsid w:val="006565BF"/>
    <w:rsid w:val="006565E0"/>
    <w:rsid w:val="0065662E"/>
    <w:rsid w:val="00656AA3"/>
    <w:rsid w:val="00656D68"/>
    <w:rsid w:val="00656F0E"/>
    <w:rsid w:val="0065710E"/>
    <w:rsid w:val="0065712B"/>
    <w:rsid w:val="006571AE"/>
    <w:rsid w:val="006571B1"/>
    <w:rsid w:val="006572CC"/>
    <w:rsid w:val="0065747B"/>
    <w:rsid w:val="0065757D"/>
    <w:rsid w:val="00657655"/>
    <w:rsid w:val="006579C3"/>
    <w:rsid w:val="00657C52"/>
    <w:rsid w:val="00657C82"/>
    <w:rsid w:val="00657F34"/>
    <w:rsid w:val="00660012"/>
    <w:rsid w:val="006602D5"/>
    <w:rsid w:val="006607E1"/>
    <w:rsid w:val="00660A2A"/>
    <w:rsid w:val="00660AA6"/>
    <w:rsid w:val="00660BE5"/>
    <w:rsid w:val="00660EAF"/>
    <w:rsid w:val="00660F73"/>
    <w:rsid w:val="0066103C"/>
    <w:rsid w:val="006611A3"/>
    <w:rsid w:val="006611F8"/>
    <w:rsid w:val="006613E2"/>
    <w:rsid w:val="0066164D"/>
    <w:rsid w:val="006618F7"/>
    <w:rsid w:val="00661955"/>
    <w:rsid w:val="00661987"/>
    <w:rsid w:val="006619DF"/>
    <w:rsid w:val="00661AAC"/>
    <w:rsid w:val="00661D7F"/>
    <w:rsid w:val="00661E29"/>
    <w:rsid w:val="00661EC5"/>
    <w:rsid w:val="00661FD2"/>
    <w:rsid w:val="006622C8"/>
    <w:rsid w:val="00662536"/>
    <w:rsid w:val="00662622"/>
    <w:rsid w:val="006626FA"/>
    <w:rsid w:val="006628F3"/>
    <w:rsid w:val="00662C2C"/>
    <w:rsid w:val="0066319F"/>
    <w:rsid w:val="006631DE"/>
    <w:rsid w:val="006632B3"/>
    <w:rsid w:val="00663328"/>
    <w:rsid w:val="0066349E"/>
    <w:rsid w:val="00663633"/>
    <w:rsid w:val="006636A3"/>
    <w:rsid w:val="006636D7"/>
    <w:rsid w:val="006636FD"/>
    <w:rsid w:val="006638E4"/>
    <w:rsid w:val="00663E72"/>
    <w:rsid w:val="00663FDB"/>
    <w:rsid w:val="00663FDE"/>
    <w:rsid w:val="00664145"/>
    <w:rsid w:val="006642B2"/>
    <w:rsid w:val="00664337"/>
    <w:rsid w:val="006643F9"/>
    <w:rsid w:val="00664473"/>
    <w:rsid w:val="00664720"/>
    <w:rsid w:val="006647D1"/>
    <w:rsid w:val="0066480C"/>
    <w:rsid w:val="00664814"/>
    <w:rsid w:val="00664835"/>
    <w:rsid w:val="00664A4E"/>
    <w:rsid w:val="00664A86"/>
    <w:rsid w:val="00664E59"/>
    <w:rsid w:val="00664F8C"/>
    <w:rsid w:val="00665025"/>
    <w:rsid w:val="00665095"/>
    <w:rsid w:val="00665185"/>
    <w:rsid w:val="00665251"/>
    <w:rsid w:val="00665283"/>
    <w:rsid w:val="00665401"/>
    <w:rsid w:val="0066583A"/>
    <w:rsid w:val="00665A6E"/>
    <w:rsid w:val="00665C1F"/>
    <w:rsid w:val="00665C2E"/>
    <w:rsid w:val="00665D22"/>
    <w:rsid w:val="00665E70"/>
    <w:rsid w:val="00665E7A"/>
    <w:rsid w:val="00666051"/>
    <w:rsid w:val="00666061"/>
    <w:rsid w:val="00666139"/>
    <w:rsid w:val="00666514"/>
    <w:rsid w:val="00666B4D"/>
    <w:rsid w:val="00666BD2"/>
    <w:rsid w:val="00666C80"/>
    <w:rsid w:val="00666EC6"/>
    <w:rsid w:val="00666EC7"/>
    <w:rsid w:val="006671D3"/>
    <w:rsid w:val="00667405"/>
    <w:rsid w:val="00667490"/>
    <w:rsid w:val="00667751"/>
    <w:rsid w:val="0066777F"/>
    <w:rsid w:val="00667796"/>
    <w:rsid w:val="0066779C"/>
    <w:rsid w:val="00667923"/>
    <w:rsid w:val="00667B47"/>
    <w:rsid w:val="00667C0E"/>
    <w:rsid w:val="00667CD6"/>
    <w:rsid w:val="006701FA"/>
    <w:rsid w:val="00670206"/>
    <w:rsid w:val="0067022E"/>
    <w:rsid w:val="0067025F"/>
    <w:rsid w:val="00670447"/>
    <w:rsid w:val="006704AD"/>
    <w:rsid w:val="006707AF"/>
    <w:rsid w:val="00670830"/>
    <w:rsid w:val="00670862"/>
    <w:rsid w:val="00670931"/>
    <w:rsid w:val="00670A48"/>
    <w:rsid w:val="00670F5C"/>
    <w:rsid w:val="00671060"/>
    <w:rsid w:val="0067107B"/>
    <w:rsid w:val="0067138D"/>
    <w:rsid w:val="0067146D"/>
    <w:rsid w:val="0067148F"/>
    <w:rsid w:val="00671525"/>
    <w:rsid w:val="006715B7"/>
    <w:rsid w:val="00671712"/>
    <w:rsid w:val="006717C8"/>
    <w:rsid w:val="00671BAD"/>
    <w:rsid w:val="00671BBF"/>
    <w:rsid w:val="00671F0E"/>
    <w:rsid w:val="0067213F"/>
    <w:rsid w:val="006723D2"/>
    <w:rsid w:val="006726CA"/>
    <w:rsid w:val="0067276A"/>
    <w:rsid w:val="00672837"/>
    <w:rsid w:val="00672B0C"/>
    <w:rsid w:val="00672B8B"/>
    <w:rsid w:val="00672DE1"/>
    <w:rsid w:val="00672EA2"/>
    <w:rsid w:val="00672F4E"/>
    <w:rsid w:val="006730CF"/>
    <w:rsid w:val="006730E4"/>
    <w:rsid w:val="0067329D"/>
    <w:rsid w:val="0067364C"/>
    <w:rsid w:val="00673727"/>
    <w:rsid w:val="00673B49"/>
    <w:rsid w:val="00673BE2"/>
    <w:rsid w:val="00673C9B"/>
    <w:rsid w:val="00673FB0"/>
    <w:rsid w:val="0067405E"/>
    <w:rsid w:val="006741E3"/>
    <w:rsid w:val="0067425F"/>
    <w:rsid w:val="006742FE"/>
    <w:rsid w:val="00674521"/>
    <w:rsid w:val="00674658"/>
    <w:rsid w:val="0067478A"/>
    <w:rsid w:val="00674A36"/>
    <w:rsid w:val="00674AB7"/>
    <w:rsid w:val="00674C58"/>
    <w:rsid w:val="00674D32"/>
    <w:rsid w:val="00674E40"/>
    <w:rsid w:val="00675393"/>
    <w:rsid w:val="00675476"/>
    <w:rsid w:val="0067556A"/>
    <w:rsid w:val="00675681"/>
    <w:rsid w:val="00675754"/>
    <w:rsid w:val="006757ED"/>
    <w:rsid w:val="0067586B"/>
    <w:rsid w:val="006759E4"/>
    <w:rsid w:val="00675AA4"/>
    <w:rsid w:val="00675AD9"/>
    <w:rsid w:val="00675B62"/>
    <w:rsid w:val="00675B8B"/>
    <w:rsid w:val="00675BAC"/>
    <w:rsid w:val="00675EB5"/>
    <w:rsid w:val="006761BF"/>
    <w:rsid w:val="006762AB"/>
    <w:rsid w:val="006764EF"/>
    <w:rsid w:val="00676573"/>
    <w:rsid w:val="00676583"/>
    <w:rsid w:val="0067659B"/>
    <w:rsid w:val="006765DF"/>
    <w:rsid w:val="006765FF"/>
    <w:rsid w:val="006766DE"/>
    <w:rsid w:val="006768D7"/>
    <w:rsid w:val="00676982"/>
    <w:rsid w:val="00676C88"/>
    <w:rsid w:val="00676DE9"/>
    <w:rsid w:val="00676E46"/>
    <w:rsid w:val="00676E4E"/>
    <w:rsid w:val="00676F0D"/>
    <w:rsid w:val="006770FB"/>
    <w:rsid w:val="006771F1"/>
    <w:rsid w:val="00677456"/>
    <w:rsid w:val="0067775D"/>
    <w:rsid w:val="00677890"/>
    <w:rsid w:val="006778D8"/>
    <w:rsid w:val="00677979"/>
    <w:rsid w:val="00677B5C"/>
    <w:rsid w:val="00677B7B"/>
    <w:rsid w:val="00677BE9"/>
    <w:rsid w:val="00677C3F"/>
    <w:rsid w:val="00677ED2"/>
    <w:rsid w:val="0068016C"/>
    <w:rsid w:val="006801BF"/>
    <w:rsid w:val="0068062F"/>
    <w:rsid w:val="00680650"/>
    <w:rsid w:val="006807B4"/>
    <w:rsid w:val="006808EB"/>
    <w:rsid w:val="00680C88"/>
    <w:rsid w:val="006812EC"/>
    <w:rsid w:val="006813F3"/>
    <w:rsid w:val="00681412"/>
    <w:rsid w:val="00681643"/>
    <w:rsid w:val="0068164E"/>
    <w:rsid w:val="0068168F"/>
    <w:rsid w:val="006818E4"/>
    <w:rsid w:val="00681B43"/>
    <w:rsid w:val="00681C3E"/>
    <w:rsid w:val="00681C61"/>
    <w:rsid w:val="00681CD3"/>
    <w:rsid w:val="00682329"/>
    <w:rsid w:val="0068238A"/>
    <w:rsid w:val="006823F3"/>
    <w:rsid w:val="006828CD"/>
    <w:rsid w:val="006829D6"/>
    <w:rsid w:val="00682BC6"/>
    <w:rsid w:val="00682D9C"/>
    <w:rsid w:val="00682EC7"/>
    <w:rsid w:val="006830DC"/>
    <w:rsid w:val="006831A6"/>
    <w:rsid w:val="006836F8"/>
    <w:rsid w:val="0068374F"/>
    <w:rsid w:val="00683824"/>
    <w:rsid w:val="00683897"/>
    <w:rsid w:val="006839BD"/>
    <w:rsid w:val="00683BBE"/>
    <w:rsid w:val="00683C23"/>
    <w:rsid w:val="00683C73"/>
    <w:rsid w:val="00683DF0"/>
    <w:rsid w:val="00683E20"/>
    <w:rsid w:val="00683F91"/>
    <w:rsid w:val="00684030"/>
    <w:rsid w:val="00684034"/>
    <w:rsid w:val="006843C6"/>
    <w:rsid w:val="00684561"/>
    <w:rsid w:val="006845C5"/>
    <w:rsid w:val="00684606"/>
    <w:rsid w:val="00684615"/>
    <w:rsid w:val="0068464F"/>
    <w:rsid w:val="00684898"/>
    <w:rsid w:val="00684AE4"/>
    <w:rsid w:val="00684BC8"/>
    <w:rsid w:val="00684D4A"/>
    <w:rsid w:val="00684E13"/>
    <w:rsid w:val="00684EC6"/>
    <w:rsid w:val="00684ED4"/>
    <w:rsid w:val="0068509A"/>
    <w:rsid w:val="006850D1"/>
    <w:rsid w:val="006850DB"/>
    <w:rsid w:val="00685589"/>
    <w:rsid w:val="00685671"/>
    <w:rsid w:val="00685721"/>
    <w:rsid w:val="0068586B"/>
    <w:rsid w:val="00685874"/>
    <w:rsid w:val="006858BB"/>
    <w:rsid w:val="006858D9"/>
    <w:rsid w:val="00685C7F"/>
    <w:rsid w:val="00685CD4"/>
    <w:rsid w:val="00685CE1"/>
    <w:rsid w:val="00685EDC"/>
    <w:rsid w:val="00686045"/>
    <w:rsid w:val="00686152"/>
    <w:rsid w:val="006861A9"/>
    <w:rsid w:val="00686269"/>
    <w:rsid w:val="00686348"/>
    <w:rsid w:val="00686395"/>
    <w:rsid w:val="0068639F"/>
    <w:rsid w:val="00686472"/>
    <w:rsid w:val="00686603"/>
    <w:rsid w:val="0068668F"/>
    <w:rsid w:val="0068669E"/>
    <w:rsid w:val="006866F1"/>
    <w:rsid w:val="00686778"/>
    <w:rsid w:val="00686928"/>
    <w:rsid w:val="00686AB6"/>
    <w:rsid w:val="00686AC4"/>
    <w:rsid w:val="00686ADC"/>
    <w:rsid w:val="00686AFC"/>
    <w:rsid w:val="00686C4C"/>
    <w:rsid w:val="00686E36"/>
    <w:rsid w:val="00686FB2"/>
    <w:rsid w:val="006873A9"/>
    <w:rsid w:val="00687510"/>
    <w:rsid w:val="0068763C"/>
    <w:rsid w:val="00687740"/>
    <w:rsid w:val="006878CF"/>
    <w:rsid w:val="00687F60"/>
    <w:rsid w:val="00690067"/>
    <w:rsid w:val="006902B7"/>
    <w:rsid w:val="00690303"/>
    <w:rsid w:val="006903E3"/>
    <w:rsid w:val="00690460"/>
    <w:rsid w:val="006907C5"/>
    <w:rsid w:val="00690A2A"/>
    <w:rsid w:val="00690AFD"/>
    <w:rsid w:val="00690C48"/>
    <w:rsid w:val="00690E52"/>
    <w:rsid w:val="00690E68"/>
    <w:rsid w:val="00690ED6"/>
    <w:rsid w:val="0069113D"/>
    <w:rsid w:val="006912E6"/>
    <w:rsid w:val="00691466"/>
    <w:rsid w:val="0069175A"/>
    <w:rsid w:val="0069178E"/>
    <w:rsid w:val="006917A3"/>
    <w:rsid w:val="006917E2"/>
    <w:rsid w:val="00691A47"/>
    <w:rsid w:val="00691AF8"/>
    <w:rsid w:val="00691C64"/>
    <w:rsid w:val="00691F1E"/>
    <w:rsid w:val="00691F5E"/>
    <w:rsid w:val="00692190"/>
    <w:rsid w:val="00692252"/>
    <w:rsid w:val="00692344"/>
    <w:rsid w:val="006923EA"/>
    <w:rsid w:val="006924B9"/>
    <w:rsid w:val="00692532"/>
    <w:rsid w:val="00692628"/>
    <w:rsid w:val="00692986"/>
    <w:rsid w:val="00692AED"/>
    <w:rsid w:val="00692B7E"/>
    <w:rsid w:val="00692C17"/>
    <w:rsid w:val="00692E27"/>
    <w:rsid w:val="00692E28"/>
    <w:rsid w:val="00692E40"/>
    <w:rsid w:val="00692F15"/>
    <w:rsid w:val="00692F42"/>
    <w:rsid w:val="00692FC9"/>
    <w:rsid w:val="00693088"/>
    <w:rsid w:val="006931DB"/>
    <w:rsid w:val="00693367"/>
    <w:rsid w:val="0069347E"/>
    <w:rsid w:val="0069361D"/>
    <w:rsid w:val="00693683"/>
    <w:rsid w:val="00693865"/>
    <w:rsid w:val="006938A9"/>
    <w:rsid w:val="00693A45"/>
    <w:rsid w:val="00693C59"/>
    <w:rsid w:val="00693C7D"/>
    <w:rsid w:val="00693D18"/>
    <w:rsid w:val="00693F69"/>
    <w:rsid w:val="00693FCA"/>
    <w:rsid w:val="00694181"/>
    <w:rsid w:val="00694919"/>
    <w:rsid w:val="00694AB7"/>
    <w:rsid w:val="00694C03"/>
    <w:rsid w:val="00694D6E"/>
    <w:rsid w:val="00694ECB"/>
    <w:rsid w:val="00695011"/>
    <w:rsid w:val="00695043"/>
    <w:rsid w:val="006950C0"/>
    <w:rsid w:val="00695106"/>
    <w:rsid w:val="006952FE"/>
    <w:rsid w:val="00695328"/>
    <w:rsid w:val="0069545A"/>
    <w:rsid w:val="0069552F"/>
    <w:rsid w:val="00695623"/>
    <w:rsid w:val="0069572D"/>
    <w:rsid w:val="006957EB"/>
    <w:rsid w:val="006958F8"/>
    <w:rsid w:val="0069596B"/>
    <w:rsid w:val="006959B4"/>
    <w:rsid w:val="00695A2E"/>
    <w:rsid w:val="00695B6D"/>
    <w:rsid w:val="00695DB1"/>
    <w:rsid w:val="00695F0D"/>
    <w:rsid w:val="0069600E"/>
    <w:rsid w:val="00696041"/>
    <w:rsid w:val="0069605F"/>
    <w:rsid w:val="006960AF"/>
    <w:rsid w:val="006962C1"/>
    <w:rsid w:val="006964A5"/>
    <w:rsid w:val="00696607"/>
    <w:rsid w:val="00696657"/>
    <w:rsid w:val="006967D9"/>
    <w:rsid w:val="006969A2"/>
    <w:rsid w:val="00696A1E"/>
    <w:rsid w:val="00696A22"/>
    <w:rsid w:val="00696ABF"/>
    <w:rsid w:val="00696B43"/>
    <w:rsid w:val="00696BCF"/>
    <w:rsid w:val="00696BEB"/>
    <w:rsid w:val="00696C9A"/>
    <w:rsid w:val="00696E1F"/>
    <w:rsid w:val="00697127"/>
    <w:rsid w:val="0069713C"/>
    <w:rsid w:val="0069714F"/>
    <w:rsid w:val="00697426"/>
    <w:rsid w:val="0069755F"/>
    <w:rsid w:val="006975C9"/>
    <w:rsid w:val="00697637"/>
    <w:rsid w:val="00697957"/>
    <w:rsid w:val="006979C7"/>
    <w:rsid w:val="00697A53"/>
    <w:rsid w:val="00697AFF"/>
    <w:rsid w:val="00697B39"/>
    <w:rsid w:val="00697BB2"/>
    <w:rsid w:val="00697C95"/>
    <w:rsid w:val="00697F8C"/>
    <w:rsid w:val="006A00F6"/>
    <w:rsid w:val="006A0258"/>
    <w:rsid w:val="006A038B"/>
    <w:rsid w:val="006A043C"/>
    <w:rsid w:val="006A0702"/>
    <w:rsid w:val="006A08E9"/>
    <w:rsid w:val="006A093F"/>
    <w:rsid w:val="006A095F"/>
    <w:rsid w:val="006A0A8D"/>
    <w:rsid w:val="006A0CD9"/>
    <w:rsid w:val="006A0D3C"/>
    <w:rsid w:val="006A0D4C"/>
    <w:rsid w:val="006A0D90"/>
    <w:rsid w:val="006A0F5C"/>
    <w:rsid w:val="006A0F9E"/>
    <w:rsid w:val="006A1112"/>
    <w:rsid w:val="006A11AF"/>
    <w:rsid w:val="006A1317"/>
    <w:rsid w:val="006A13D9"/>
    <w:rsid w:val="006A142F"/>
    <w:rsid w:val="006A1469"/>
    <w:rsid w:val="006A1780"/>
    <w:rsid w:val="006A1808"/>
    <w:rsid w:val="006A1A6D"/>
    <w:rsid w:val="006A1CC1"/>
    <w:rsid w:val="006A1CC6"/>
    <w:rsid w:val="006A1DD7"/>
    <w:rsid w:val="006A1E8D"/>
    <w:rsid w:val="006A20B2"/>
    <w:rsid w:val="006A21CB"/>
    <w:rsid w:val="006A23A1"/>
    <w:rsid w:val="006A26A1"/>
    <w:rsid w:val="006A26E0"/>
    <w:rsid w:val="006A26F9"/>
    <w:rsid w:val="006A2896"/>
    <w:rsid w:val="006A2B58"/>
    <w:rsid w:val="006A2CFD"/>
    <w:rsid w:val="006A2FAE"/>
    <w:rsid w:val="006A307F"/>
    <w:rsid w:val="006A32AD"/>
    <w:rsid w:val="006A32E3"/>
    <w:rsid w:val="006A345F"/>
    <w:rsid w:val="006A35D9"/>
    <w:rsid w:val="006A35ED"/>
    <w:rsid w:val="006A3653"/>
    <w:rsid w:val="006A368D"/>
    <w:rsid w:val="006A374D"/>
    <w:rsid w:val="006A376E"/>
    <w:rsid w:val="006A3930"/>
    <w:rsid w:val="006A39E7"/>
    <w:rsid w:val="006A39F4"/>
    <w:rsid w:val="006A3AF1"/>
    <w:rsid w:val="006A3B3E"/>
    <w:rsid w:val="006A3C29"/>
    <w:rsid w:val="006A3DB7"/>
    <w:rsid w:val="006A3DC2"/>
    <w:rsid w:val="006A3DFC"/>
    <w:rsid w:val="006A3E62"/>
    <w:rsid w:val="006A3F5C"/>
    <w:rsid w:val="006A401A"/>
    <w:rsid w:val="006A437D"/>
    <w:rsid w:val="006A44B3"/>
    <w:rsid w:val="006A44F8"/>
    <w:rsid w:val="006A464F"/>
    <w:rsid w:val="006A4780"/>
    <w:rsid w:val="006A48F8"/>
    <w:rsid w:val="006A4986"/>
    <w:rsid w:val="006A4ADA"/>
    <w:rsid w:val="006A4CE7"/>
    <w:rsid w:val="006A4E16"/>
    <w:rsid w:val="006A4F70"/>
    <w:rsid w:val="006A4FEA"/>
    <w:rsid w:val="006A4FEB"/>
    <w:rsid w:val="006A509C"/>
    <w:rsid w:val="006A518B"/>
    <w:rsid w:val="006A540A"/>
    <w:rsid w:val="006A5950"/>
    <w:rsid w:val="006A5979"/>
    <w:rsid w:val="006A5D26"/>
    <w:rsid w:val="006A6076"/>
    <w:rsid w:val="006A61D8"/>
    <w:rsid w:val="006A6226"/>
    <w:rsid w:val="006A6257"/>
    <w:rsid w:val="006A6315"/>
    <w:rsid w:val="006A6342"/>
    <w:rsid w:val="006A639F"/>
    <w:rsid w:val="006A63C9"/>
    <w:rsid w:val="006A64CB"/>
    <w:rsid w:val="006A653F"/>
    <w:rsid w:val="006A6611"/>
    <w:rsid w:val="006A67A9"/>
    <w:rsid w:val="006A67E4"/>
    <w:rsid w:val="006A689C"/>
    <w:rsid w:val="006A693A"/>
    <w:rsid w:val="006A6B7C"/>
    <w:rsid w:val="006A6BAB"/>
    <w:rsid w:val="006A6BCB"/>
    <w:rsid w:val="006A6CF8"/>
    <w:rsid w:val="006A6D6C"/>
    <w:rsid w:val="006A6F9C"/>
    <w:rsid w:val="006A6FBC"/>
    <w:rsid w:val="006A728F"/>
    <w:rsid w:val="006A72A2"/>
    <w:rsid w:val="006A7331"/>
    <w:rsid w:val="006A739D"/>
    <w:rsid w:val="006A7459"/>
    <w:rsid w:val="006A74B2"/>
    <w:rsid w:val="006A756C"/>
    <w:rsid w:val="006A76C1"/>
    <w:rsid w:val="006A7A20"/>
    <w:rsid w:val="006A7C6F"/>
    <w:rsid w:val="006A7CE1"/>
    <w:rsid w:val="006A7CE3"/>
    <w:rsid w:val="006A7F68"/>
    <w:rsid w:val="006AE56C"/>
    <w:rsid w:val="006B0007"/>
    <w:rsid w:val="006B0076"/>
    <w:rsid w:val="006B00DC"/>
    <w:rsid w:val="006B0485"/>
    <w:rsid w:val="006B055D"/>
    <w:rsid w:val="006B06C9"/>
    <w:rsid w:val="006B0711"/>
    <w:rsid w:val="006B0948"/>
    <w:rsid w:val="006B0A2A"/>
    <w:rsid w:val="006B0D53"/>
    <w:rsid w:val="006B0F9A"/>
    <w:rsid w:val="006B0FC7"/>
    <w:rsid w:val="006B1015"/>
    <w:rsid w:val="006B11C1"/>
    <w:rsid w:val="006B11DC"/>
    <w:rsid w:val="006B1256"/>
    <w:rsid w:val="006B14EB"/>
    <w:rsid w:val="006B150D"/>
    <w:rsid w:val="006B156A"/>
    <w:rsid w:val="006B15DE"/>
    <w:rsid w:val="006B1BE6"/>
    <w:rsid w:val="006B1CCF"/>
    <w:rsid w:val="006B1DAB"/>
    <w:rsid w:val="006B1F8B"/>
    <w:rsid w:val="006B2199"/>
    <w:rsid w:val="006B22D3"/>
    <w:rsid w:val="006B2478"/>
    <w:rsid w:val="006B24CB"/>
    <w:rsid w:val="006B274C"/>
    <w:rsid w:val="006B27F6"/>
    <w:rsid w:val="006B286B"/>
    <w:rsid w:val="006B298B"/>
    <w:rsid w:val="006B2A24"/>
    <w:rsid w:val="006B2B1C"/>
    <w:rsid w:val="006B2DD1"/>
    <w:rsid w:val="006B308B"/>
    <w:rsid w:val="006B3153"/>
    <w:rsid w:val="006B3162"/>
    <w:rsid w:val="006B31C0"/>
    <w:rsid w:val="006B3338"/>
    <w:rsid w:val="006B33B5"/>
    <w:rsid w:val="006B3816"/>
    <w:rsid w:val="006B3966"/>
    <w:rsid w:val="006B3BBB"/>
    <w:rsid w:val="006B3E37"/>
    <w:rsid w:val="006B3FDC"/>
    <w:rsid w:val="006B4104"/>
    <w:rsid w:val="006B4109"/>
    <w:rsid w:val="006B421F"/>
    <w:rsid w:val="006B4566"/>
    <w:rsid w:val="006B46BC"/>
    <w:rsid w:val="006B48EE"/>
    <w:rsid w:val="006B4937"/>
    <w:rsid w:val="006B49E5"/>
    <w:rsid w:val="006B4A8F"/>
    <w:rsid w:val="006B4E32"/>
    <w:rsid w:val="006B5298"/>
    <w:rsid w:val="006B5318"/>
    <w:rsid w:val="006B53E5"/>
    <w:rsid w:val="006B554C"/>
    <w:rsid w:val="006B55BC"/>
    <w:rsid w:val="006B56B1"/>
    <w:rsid w:val="006B56D2"/>
    <w:rsid w:val="006B584B"/>
    <w:rsid w:val="006B58EB"/>
    <w:rsid w:val="006B5984"/>
    <w:rsid w:val="006B5CA8"/>
    <w:rsid w:val="006B5CD6"/>
    <w:rsid w:val="006B5D70"/>
    <w:rsid w:val="006B5FD7"/>
    <w:rsid w:val="006B6052"/>
    <w:rsid w:val="006B60A2"/>
    <w:rsid w:val="006B61DB"/>
    <w:rsid w:val="006B631C"/>
    <w:rsid w:val="006B63DF"/>
    <w:rsid w:val="006B64AA"/>
    <w:rsid w:val="006B64CA"/>
    <w:rsid w:val="006B64FB"/>
    <w:rsid w:val="006B66DC"/>
    <w:rsid w:val="006B6981"/>
    <w:rsid w:val="006B6ADC"/>
    <w:rsid w:val="006B6D4E"/>
    <w:rsid w:val="006B6E27"/>
    <w:rsid w:val="006B6FBA"/>
    <w:rsid w:val="006B727E"/>
    <w:rsid w:val="006B7329"/>
    <w:rsid w:val="006B7420"/>
    <w:rsid w:val="006B74F1"/>
    <w:rsid w:val="006B763A"/>
    <w:rsid w:val="006B769A"/>
    <w:rsid w:val="006B7956"/>
    <w:rsid w:val="006B7A25"/>
    <w:rsid w:val="006B7A96"/>
    <w:rsid w:val="006B7D90"/>
    <w:rsid w:val="006B7DB6"/>
    <w:rsid w:val="006B7DDB"/>
    <w:rsid w:val="006C009E"/>
    <w:rsid w:val="006C015F"/>
    <w:rsid w:val="006C01DF"/>
    <w:rsid w:val="006C02A0"/>
    <w:rsid w:val="006C04F3"/>
    <w:rsid w:val="006C07D8"/>
    <w:rsid w:val="006C0985"/>
    <w:rsid w:val="006C09B6"/>
    <w:rsid w:val="006C09EE"/>
    <w:rsid w:val="006C0AD2"/>
    <w:rsid w:val="006C0ADF"/>
    <w:rsid w:val="006C0D87"/>
    <w:rsid w:val="006C0FC9"/>
    <w:rsid w:val="006C1139"/>
    <w:rsid w:val="006C11A8"/>
    <w:rsid w:val="006C1229"/>
    <w:rsid w:val="006C1313"/>
    <w:rsid w:val="006C167D"/>
    <w:rsid w:val="006C1AC3"/>
    <w:rsid w:val="006C1C45"/>
    <w:rsid w:val="006C212D"/>
    <w:rsid w:val="006C2491"/>
    <w:rsid w:val="006C25BA"/>
    <w:rsid w:val="006C26E6"/>
    <w:rsid w:val="006C2D56"/>
    <w:rsid w:val="006C2D9B"/>
    <w:rsid w:val="006C2E65"/>
    <w:rsid w:val="006C304C"/>
    <w:rsid w:val="006C3087"/>
    <w:rsid w:val="006C311E"/>
    <w:rsid w:val="006C3173"/>
    <w:rsid w:val="006C3218"/>
    <w:rsid w:val="006C35E7"/>
    <w:rsid w:val="006C3670"/>
    <w:rsid w:val="006C3969"/>
    <w:rsid w:val="006C3A8D"/>
    <w:rsid w:val="006C3AB0"/>
    <w:rsid w:val="006C3AE0"/>
    <w:rsid w:val="006C3C37"/>
    <w:rsid w:val="006C40F4"/>
    <w:rsid w:val="006C421D"/>
    <w:rsid w:val="006C4309"/>
    <w:rsid w:val="006C466E"/>
    <w:rsid w:val="006C4739"/>
    <w:rsid w:val="006C4C41"/>
    <w:rsid w:val="006C4DAE"/>
    <w:rsid w:val="006C4E18"/>
    <w:rsid w:val="006C4E1E"/>
    <w:rsid w:val="006C4EDC"/>
    <w:rsid w:val="006C4F5E"/>
    <w:rsid w:val="006C4FFE"/>
    <w:rsid w:val="006C5067"/>
    <w:rsid w:val="006C51D3"/>
    <w:rsid w:val="006C55C2"/>
    <w:rsid w:val="006C5699"/>
    <w:rsid w:val="006C5844"/>
    <w:rsid w:val="006C5C6C"/>
    <w:rsid w:val="006C5D54"/>
    <w:rsid w:val="006C5EF3"/>
    <w:rsid w:val="006C5F1A"/>
    <w:rsid w:val="006C607B"/>
    <w:rsid w:val="006C61A4"/>
    <w:rsid w:val="006C6364"/>
    <w:rsid w:val="006C6400"/>
    <w:rsid w:val="006C6495"/>
    <w:rsid w:val="006C64A0"/>
    <w:rsid w:val="006C6A4F"/>
    <w:rsid w:val="006C6A9D"/>
    <w:rsid w:val="006C6AE8"/>
    <w:rsid w:val="006C6B93"/>
    <w:rsid w:val="006C6C4F"/>
    <w:rsid w:val="006C70FE"/>
    <w:rsid w:val="006C71BE"/>
    <w:rsid w:val="006C71F3"/>
    <w:rsid w:val="006C730C"/>
    <w:rsid w:val="006C730D"/>
    <w:rsid w:val="006C7389"/>
    <w:rsid w:val="006C7390"/>
    <w:rsid w:val="006C7397"/>
    <w:rsid w:val="006C74C3"/>
    <w:rsid w:val="006C74FE"/>
    <w:rsid w:val="006C759D"/>
    <w:rsid w:val="006C76EE"/>
    <w:rsid w:val="006C7726"/>
    <w:rsid w:val="006C7746"/>
    <w:rsid w:val="006C77E6"/>
    <w:rsid w:val="006C7A33"/>
    <w:rsid w:val="006C7A6A"/>
    <w:rsid w:val="006C7B76"/>
    <w:rsid w:val="006C7F68"/>
    <w:rsid w:val="006D001D"/>
    <w:rsid w:val="006D007A"/>
    <w:rsid w:val="006D00A0"/>
    <w:rsid w:val="006D02B1"/>
    <w:rsid w:val="006D03A9"/>
    <w:rsid w:val="006D03E8"/>
    <w:rsid w:val="006D0632"/>
    <w:rsid w:val="006D066A"/>
    <w:rsid w:val="006D079D"/>
    <w:rsid w:val="006D07AE"/>
    <w:rsid w:val="006D07BC"/>
    <w:rsid w:val="006D0AF2"/>
    <w:rsid w:val="006D0C31"/>
    <w:rsid w:val="006D0C91"/>
    <w:rsid w:val="006D0D3A"/>
    <w:rsid w:val="006D0D67"/>
    <w:rsid w:val="006D0F3A"/>
    <w:rsid w:val="006D0FD6"/>
    <w:rsid w:val="006D101C"/>
    <w:rsid w:val="006D10BC"/>
    <w:rsid w:val="006D10D4"/>
    <w:rsid w:val="006D16FD"/>
    <w:rsid w:val="006D17B8"/>
    <w:rsid w:val="006D18A1"/>
    <w:rsid w:val="006D18EE"/>
    <w:rsid w:val="006D1941"/>
    <w:rsid w:val="006D1985"/>
    <w:rsid w:val="006D1DED"/>
    <w:rsid w:val="006D1E13"/>
    <w:rsid w:val="006D1EBA"/>
    <w:rsid w:val="006D1EC1"/>
    <w:rsid w:val="006D1ED1"/>
    <w:rsid w:val="006D1F1D"/>
    <w:rsid w:val="006D1FBB"/>
    <w:rsid w:val="006D20BD"/>
    <w:rsid w:val="006D20D5"/>
    <w:rsid w:val="006D22C7"/>
    <w:rsid w:val="006D230C"/>
    <w:rsid w:val="006D2394"/>
    <w:rsid w:val="006D2527"/>
    <w:rsid w:val="006D25D6"/>
    <w:rsid w:val="006D26D5"/>
    <w:rsid w:val="006D274B"/>
    <w:rsid w:val="006D27AF"/>
    <w:rsid w:val="006D28CE"/>
    <w:rsid w:val="006D2923"/>
    <w:rsid w:val="006D2992"/>
    <w:rsid w:val="006D2B7E"/>
    <w:rsid w:val="006D2BAE"/>
    <w:rsid w:val="006D3065"/>
    <w:rsid w:val="006D30D1"/>
    <w:rsid w:val="006D31DE"/>
    <w:rsid w:val="006D3329"/>
    <w:rsid w:val="006D334B"/>
    <w:rsid w:val="006D337E"/>
    <w:rsid w:val="006D36A3"/>
    <w:rsid w:val="006D38C6"/>
    <w:rsid w:val="006D3997"/>
    <w:rsid w:val="006D39CA"/>
    <w:rsid w:val="006D3A20"/>
    <w:rsid w:val="006D3A9B"/>
    <w:rsid w:val="006D3B5E"/>
    <w:rsid w:val="006D3B93"/>
    <w:rsid w:val="006D3D18"/>
    <w:rsid w:val="006D3D92"/>
    <w:rsid w:val="006D3DD2"/>
    <w:rsid w:val="006D3EB0"/>
    <w:rsid w:val="006D3EDB"/>
    <w:rsid w:val="006D3FBC"/>
    <w:rsid w:val="006D40F7"/>
    <w:rsid w:val="006D42B8"/>
    <w:rsid w:val="006D430F"/>
    <w:rsid w:val="006D435E"/>
    <w:rsid w:val="006D46DF"/>
    <w:rsid w:val="006D4812"/>
    <w:rsid w:val="006D4881"/>
    <w:rsid w:val="006D4AB3"/>
    <w:rsid w:val="006D4AC1"/>
    <w:rsid w:val="006D4C09"/>
    <w:rsid w:val="006D4CBB"/>
    <w:rsid w:val="006D4D3F"/>
    <w:rsid w:val="006D4D4F"/>
    <w:rsid w:val="006D4E9C"/>
    <w:rsid w:val="006D52B5"/>
    <w:rsid w:val="006D53B3"/>
    <w:rsid w:val="006D56BE"/>
    <w:rsid w:val="006D59D2"/>
    <w:rsid w:val="006D5A58"/>
    <w:rsid w:val="006D5D1E"/>
    <w:rsid w:val="006D5D40"/>
    <w:rsid w:val="006D5EB1"/>
    <w:rsid w:val="006D5FB4"/>
    <w:rsid w:val="006D6008"/>
    <w:rsid w:val="006D621D"/>
    <w:rsid w:val="006D62D6"/>
    <w:rsid w:val="006D634F"/>
    <w:rsid w:val="006D6465"/>
    <w:rsid w:val="006D65B4"/>
    <w:rsid w:val="006D6708"/>
    <w:rsid w:val="006D6761"/>
    <w:rsid w:val="006D6774"/>
    <w:rsid w:val="006D6931"/>
    <w:rsid w:val="006D698B"/>
    <w:rsid w:val="006D6B97"/>
    <w:rsid w:val="006D6BF9"/>
    <w:rsid w:val="006D6CE4"/>
    <w:rsid w:val="006D6F0A"/>
    <w:rsid w:val="006D7034"/>
    <w:rsid w:val="006D732B"/>
    <w:rsid w:val="006D739A"/>
    <w:rsid w:val="006D768E"/>
    <w:rsid w:val="006D7776"/>
    <w:rsid w:val="006D7880"/>
    <w:rsid w:val="006D7908"/>
    <w:rsid w:val="006D7C8F"/>
    <w:rsid w:val="006D7DB2"/>
    <w:rsid w:val="006E03AD"/>
    <w:rsid w:val="006E06CB"/>
    <w:rsid w:val="006E06FB"/>
    <w:rsid w:val="006E0807"/>
    <w:rsid w:val="006E08C1"/>
    <w:rsid w:val="006E0C19"/>
    <w:rsid w:val="006E0C1E"/>
    <w:rsid w:val="006E0C9B"/>
    <w:rsid w:val="006E0F32"/>
    <w:rsid w:val="006E1005"/>
    <w:rsid w:val="006E106C"/>
    <w:rsid w:val="006E1097"/>
    <w:rsid w:val="006E10D2"/>
    <w:rsid w:val="006E1127"/>
    <w:rsid w:val="006E1187"/>
    <w:rsid w:val="006E1B9D"/>
    <w:rsid w:val="006E1BDD"/>
    <w:rsid w:val="006E1BE1"/>
    <w:rsid w:val="006E1CE5"/>
    <w:rsid w:val="006E1F9A"/>
    <w:rsid w:val="006E1FBE"/>
    <w:rsid w:val="006E1FEA"/>
    <w:rsid w:val="006E23FC"/>
    <w:rsid w:val="006E25EE"/>
    <w:rsid w:val="006E27A3"/>
    <w:rsid w:val="006E2809"/>
    <w:rsid w:val="006E2C2E"/>
    <w:rsid w:val="006E2C5F"/>
    <w:rsid w:val="006E2D64"/>
    <w:rsid w:val="006E2E78"/>
    <w:rsid w:val="006E2F2E"/>
    <w:rsid w:val="006E30D1"/>
    <w:rsid w:val="006E32FE"/>
    <w:rsid w:val="006E33D6"/>
    <w:rsid w:val="006E3438"/>
    <w:rsid w:val="006E3452"/>
    <w:rsid w:val="006E3476"/>
    <w:rsid w:val="006E36F6"/>
    <w:rsid w:val="006E3787"/>
    <w:rsid w:val="006E37A6"/>
    <w:rsid w:val="006E3A3D"/>
    <w:rsid w:val="006E3A5B"/>
    <w:rsid w:val="006E3B08"/>
    <w:rsid w:val="006E3B34"/>
    <w:rsid w:val="006E3C26"/>
    <w:rsid w:val="006E3C4B"/>
    <w:rsid w:val="006E3D68"/>
    <w:rsid w:val="006E3D87"/>
    <w:rsid w:val="006E3D9B"/>
    <w:rsid w:val="006E3F32"/>
    <w:rsid w:val="006E427B"/>
    <w:rsid w:val="006E43C4"/>
    <w:rsid w:val="006E4493"/>
    <w:rsid w:val="006E459E"/>
    <w:rsid w:val="006E45A7"/>
    <w:rsid w:val="006E48A0"/>
    <w:rsid w:val="006E48E5"/>
    <w:rsid w:val="006E4975"/>
    <w:rsid w:val="006E4B77"/>
    <w:rsid w:val="006E4BAF"/>
    <w:rsid w:val="006E4C11"/>
    <w:rsid w:val="006E4CB1"/>
    <w:rsid w:val="006E4E07"/>
    <w:rsid w:val="006E4FE8"/>
    <w:rsid w:val="006E50E4"/>
    <w:rsid w:val="006E51A3"/>
    <w:rsid w:val="006E527A"/>
    <w:rsid w:val="006E52B8"/>
    <w:rsid w:val="006E534C"/>
    <w:rsid w:val="006E559E"/>
    <w:rsid w:val="006E5713"/>
    <w:rsid w:val="006E5892"/>
    <w:rsid w:val="006E58A9"/>
    <w:rsid w:val="006E59C5"/>
    <w:rsid w:val="006E5ACF"/>
    <w:rsid w:val="006E5B03"/>
    <w:rsid w:val="006E5B6B"/>
    <w:rsid w:val="006E5CD4"/>
    <w:rsid w:val="006E5F10"/>
    <w:rsid w:val="006E5F4B"/>
    <w:rsid w:val="006E609F"/>
    <w:rsid w:val="006E6100"/>
    <w:rsid w:val="006E6146"/>
    <w:rsid w:val="006E635D"/>
    <w:rsid w:val="006E63A9"/>
    <w:rsid w:val="006E6663"/>
    <w:rsid w:val="006E66F1"/>
    <w:rsid w:val="006E673D"/>
    <w:rsid w:val="006E67CA"/>
    <w:rsid w:val="006E69BE"/>
    <w:rsid w:val="006E6A8F"/>
    <w:rsid w:val="006E6AEA"/>
    <w:rsid w:val="006E6B81"/>
    <w:rsid w:val="006E6BE1"/>
    <w:rsid w:val="006E6D32"/>
    <w:rsid w:val="006E6F1D"/>
    <w:rsid w:val="006E7179"/>
    <w:rsid w:val="006E734F"/>
    <w:rsid w:val="006E7458"/>
    <w:rsid w:val="006E794E"/>
    <w:rsid w:val="006E7987"/>
    <w:rsid w:val="006E79A6"/>
    <w:rsid w:val="006E7A68"/>
    <w:rsid w:val="006E7BD0"/>
    <w:rsid w:val="006E7C9A"/>
    <w:rsid w:val="006E7D34"/>
    <w:rsid w:val="006E7E7D"/>
    <w:rsid w:val="006E7FC6"/>
    <w:rsid w:val="006EDEA8"/>
    <w:rsid w:val="006F001B"/>
    <w:rsid w:val="006F0073"/>
    <w:rsid w:val="006F02E3"/>
    <w:rsid w:val="006F03B3"/>
    <w:rsid w:val="006F0420"/>
    <w:rsid w:val="006F0478"/>
    <w:rsid w:val="006F0660"/>
    <w:rsid w:val="006F088F"/>
    <w:rsid w:val="006F08F0"/>
    <w:rsid w:val="006F0D31"/>
    <w:rsid w:val="006F10FF"/>
    <w:rsid w:val="006F12A2"/>
    <w:rsid w:val="006F158F"/>
    <w:rsid w:val="006F17CB"/>
    <w:rsid w:val="006F1944"/>
    <w:rsid w:val="006F1A95"/>
    <w:rsid w:val="006F1C6A"/>
    <w:rsid w:val="006F1E9E"/>
    <w:rsid w:val="006F2070"/>
    <w:rsid w:val="006F2125"/>
    <w:rsid w:val="006F223D"/>
    <w:rsid w:val="006F22AF"/>
    <w:rsid w:val="006F24A9"/>
    <w:rsid w:val="006F2662"/>
    <w:rsid w:val="006F26DE"/>
    <w:rsid w:val="006F29C0"/>
    <w:rsid w:val="006F2B30"/>
    <w:rsid w:val="006F2B5F"/>
    <w:rsid w:val="006F2BAF"/>
    <w:rsid w:val="006F2BB7"/>
    <w:rsid w:val="006F2E7D"/>
    <w:rsid w:val="006F2F91"/>
    <w:rsid w:val="006F30CF"/>
    <w:rsid w:val="006F310F"/>
    <w:rsid w:val="006F34E9"/>
    <w:rsid w:val="006F36B3"/>
    <w:rsid w:val="006F38C0"/>
    <w:rsid w:val="006F39D9"/>
    <w:rsid w:val="006F3AD6"/>
    <w:rsid w:val="006F3B02"/>
    <w:rsid w:val="006F3CDB"/>
    <w:rsid w:val="006F3DF8"/>
    <w:rsid w:val="006F3E50"/>
    <w:rsid w:val="006F3F24"/>
    <w:rsid w:val="006F3F7B"/>
    <w:rsid w:val="006F403E"/>
    <w:rsid w:val="006F429C"/>
    <w:rsid w:val="006F4320"/>
    <w:rsid w:val="006F4332"/>
    <w:rsid w:val="006F4395"/>
    <w:rsid w:val="006F43D9"/>
    <w:rsid w:val="006F44DF"/>
    <w:rsid w:val="006F4757"/>
    <w:rsid w:val="006F4B1E"/>
    <w:rsid w:val="006F4C43"/>
    <w:rsid w:val="006F4E8E"/>
    <w:rsid w:val="006F4EE5"/>
    <w:rsid w:val="006F4F5B"/>
    <w:rsid w:val="006F50B8"/>
    <w:rsid w:val="006F512B"/>
    <w:rsid w:val="006F52A9"/>
    <w:rsid w:val="006F52E0"/>
    <w:rsid w:val="006F54A4"/>
    <w:rsid w:val="006F54FD"/>
    <w:rsid w:val="006F55D7"/>
    <w:rsid w:val="006F560F"/>
    <w:rsid w:val="006F5629"/>
    <w:rsid w:val="006F57EF"/>
    <w:rsid w:val="006F57FD"/>
    <w:rsid w:val="006F583C"/>
    <w:rsid w:val="006F5A5C"/>
    <w:rsid w:val="006F5A87"/>
    <w:rsid w:val="006F5AC2"/>
    <w:rsid w:val="006F5B18"/>
    <w:rsid w:val="006F5CE1"/>
    <w:rsid w:val="006F5FEC"/>
    <w:rsid w:val="006F6165"/>
    <w:rsid w:val="006F62D1"/>
    <w:rsid w:val="006F62E5"/>
    <w:rsid w:val="006F635E"/>
    <w:rsid w:val="006F636C"/>
    <w:rsid w:val="006F6501"/>
    <w:rsid w:val="006F6504"/>
    <w:rsid w:val="006F6575"/>
    <w:rsid w:val="006F66E1"/>
    <w:rsid w:val="006F6815"/>
    <w:rsid w:val="006F6BED"/>
    <w:rsid w:val="006F6BFC"/>
    <w:rsid w:val="006F6D50"/>
    <w:rsid w:val="006F6DB7"/>
    <w:rsid w:val="006F6DD9"/>
    <w:rsid w:val="006F6EA8"/>
    <w:rsid w:val="006F6F69"/>
    <w:rsid w:val="006F6F80"/>
    <w:rsid w:val="006F6FC0"/>
    <w:rsid w:val="006F744F"/>
    <w:rsid w:val="006F74AA"/>
    <w:rsid w:val="006F7569"/>
    <w:rsid w:val="006F75A0"/>
    <w:rsid w:val="006F7921"/>
    <w:rsid w:val="006F79E0"/>
    <w:rsid w:val="006F7BD9"/>
    <w:rsid w:val="00700125"/>
    <w:rsid w:val="00700142"/>
    <w:rsid w:val="007001DF"/>
    <w:rsid w:val="0070021B"/>
    <w:rsid w:val="0070023C"/>
    <w:rsid w:val="00700607"/>
    <w:rsid w:val="00700645"/>
    <w:rsid w:val="007007D4"/>
    <w:rsid w:val="00700945"/>
    <w:rsid w:val="0070097A"/>
    <w:rsid w:val="007009B8"/>
    <w:rsid w:val="00700AC4"/>
    <w:rsid w:val="00700C07"/>
    <w:rsid w:val="00700CD8"/>
    <w:rsid w:val="00700E2A"/>
    <w:rsid w:val="00700F33"/>
    <w:rsid w:val="00700F89"/>
    <w:rsid w:val="0070127E"/>
    <w:rsid w:val="007015F3"/>
    <w:rsid w:val="007017D6"/>
    <w:rsid w:val="0070180C"/>
    <w:rsid w:val="00701816"/>
    <w:rsid w:val="0070185E"/>
    <w:rsid w:val="00701896"/>
    <w:rsid w:val="007018A7"/>
    <w:rsid w:val="007019B0"/>
    <w:rsid w:val="007019DA"/>
    <w:rsid w:val="00701A81"/>
    <w:rsid w:val="00701A9B"/>
    <w:rsid w:val="00701CB2"/>
    <w:rsid w:val="00701D5A"/>
    <w:rsid w:val="00701EAB"/>
    <w:rsid w:val="00702003"/>
    <w:rsid w:val="00702055"/>
    <w:rsid w:val="0070237E"/>
    <w:rsid w:val="00702622"/>
    <w:rsid w:val="0070280C"/>
    <w:rsid w:val="0070294A"/>
    <w:rsid w:val="00702A6B"/>
    <w:rsid w:val="00702BBA"/>
    <w:rsid w:val="00702DAD"/>
    <w:rsid w:val="00702DB5"/>
    <w:rsid w:val="00702DBD"/>
    <w:rsid w:val="00702F0F"/>
    <w:rsid w:val="00702F13"/>
    <w:rsid w:val="00702F3B"/>
    <w:rsid w:val="00702FB6"/>
    <w:rsid w:val="0070304B"/>
    <w:rsid w:val="00703160"/>
    <w:rsid w:val="00703286"/>
    <w:rsid w:val="00703325"/>
    <w:rsid w:val="007033ED"/>
    <w:rsid w:val="00703409"/>
    <w:rsid w:val="0070344C"/>
    <w:rsid w:val="007035F4"/>
    <w:rsid w:val="00703DE7"/>
    <w:rsid w:val="00703E17"/>
    <w:rsid w:val="00704011"/>
    <w:rsid w:val="007041F5"/>
    <w:rsid w:val="0070429A"/>
    <w:rsid w:val="007042C9"/>
    <w:rsid w:val="00704349"/>
    <w:rsid w:val="00704492"/>
    <w:rsid w:val="0070469F"/>
    <w:rsid w:val="00704771"/>
    <w:rsid w:val="0070481F"/>
    <w:rsid w:val="007048AF"/>
    <w:rsid w:val="0070496C"/>
    <w:rsid w:val="00704A85"/>
    <w:rsid w:val="00704CB6"/>
    <w:rsid w:val="00704DAF"/>
    <w:rsid w:val="00704EDC"/>
    <w:rsid w:val="00704F2F"/>
    <w:rsid w:val="007051BD"/>
    <w:rsid w:val="007051C2"/>
    <w:rsid w:val="0070523E"/>
    <w:rsid w:val="007054E0"/>
    <w:rsid w:val="0070571B"/>
    <w:rsid w:val="00705811"/>
    <w:rsid w:val="0070592B"/>
    <w:rsid w:val="00705BAB"/>
    <w:rsid w:val="00705BF9"/>
    <w:rsid w:val="00705D30"/>
    <w:rsid w:val="00705E13"/>
    <w:rsid w:val="00706054"/>
    <w:rsid w:val="00706133"/>
    <w:rsid w:val="00706283"/>
    <w:rsid w:val="00706289"/>
    <w:rsid w:val="007065E8"/>
    <w:rsid w:val="007066B7"/>
    <w:rsid w:val="007066C7"/>
    <w:rsid w:val="0070698B"/>
    <w:rsid w:val="00706F89"/>
    <w:rsid w:val="007070D2"/>
    <w:rsid w:val="00707343"/>
    <w:rsid w:val="007073DB"/>
    <w:rsid w:val="00707546"/>
    <w:rsid w:val="0070755B"/>
    <w:rsid w:val="0070769B"/>
    <w:rsid w:val="00707709"/>
    <w:rsid w:val="00707812"/>
    <w:rsid w:val="007078ED"/>
    <w:rsid w:val="00707BB0"/>
    <w:rsid w:val="00707C0F"/>
    <w:rsid w:val="00707D6D"/>
    <w:rsid w:val="00707D74"/>
    <w:rsid w:val="00707ED5"/>
    <w:rsid w:val="00707FB7"/>
    <w:rsid w:val="007102B8"/>
    <w:rsid w:val="00710507"/>
    <w:rsid w:val="00710511"/>
    <w:rsid w:val="0071051D"/>
    <w:rsid w:val="007105BC"/>
    <w:rsid w:val="007105C0"/>
    <w:rsid w:val="0071068E"/>
    <w:rsid w:val="007106B8"/>
    <w:rsid w:val="00710836"/>
    <w:rsid w:val="0071086E"/>
    <w:rsid w:val="007108BE"/>
    <w:rsid w:val="0071097E"/>
    <w:rsid w:val="007109A3"/>
    <w:rsid w:val="00710B1F"/>
    <w:rsid w:val="00710B61"/>
    <w:rsid w:val="00710C79"/>
    <w:rsid w:val="00710CB0"/>
    <w:rsid w:val="00710CC7"/>
    <w:rsid w:val="00710E27"/>
    <w:rsid w:val="00710E4A"/>
    <w:rsid w:val="00710FFF"/>
    <w:rsid w:val="007110A2"/>
    <w:rsid w:val="007110D2"/>
    <w:rsid w:val="007110DA"/>
    <w:rsid w:val="007111DE"/>
    <w:rsid w:val="00711409"/>
    <w:rsid w:val="007116CE"/>
    <w:rsid w:val="0071190F"/>
    <w:rsid w:val="0071198A"/>
    <w:rsid w:val="007119AA"/>
    <w:rsid w:val="007119AF"/>
    <w:rsid w:val="00711E63"/>
    <w:rsid w:val="00712007"/>
    <w:rsid w:val="00712091"/>
    <w:rsid w:val="00712377"/>
    <w:rsid w:val="00712536"/>
    <w:rsid w:val="007126B2"/>
    <w:rsid w:val="00712744"/>
    <w:rsid w:val="007129D0"/>
    <w:rsid w:val="00712A62"/>
    <w:rsid w:val="00712B12"/>
    <w:rsid w:val="00712BCE"/>
    <w:rsid w:val="00713040"/>
    <w:rsid w:val="007130B3"/>
    <w:rsid w:val="007134C5"/>
    <w:rsid w:val="0071366D"/>
    <w:rsid w:val="0071371C"/>
    <w:rsid w:val="00713820"/>
    <w:rsid w:val="0071385F"/>
    <w:rsid w:val="00713B41"/>
    <w:rsid w:val="00713BC9"/>
    <w:rsid w:val="00713E22"/>
    <w:rsid w:val="00713F29"/>
    <w:rsid w:val="00714085"/>
    <w:rsid w:val="0071442B"/>
    <w:rsid w:val="0071447D"/>
    <w:rsid w:val="007144E9"/>
    <w:rsid w:val="00714534"/>
    <w:rsid w:val="007147DF"/>
    <w:rsid w:val="0071499D"/>
    <w:rsid w:val="007149C7"/>
    <w:rsid w:val="00714A2C"/>
    <w:rsid w:val="00714B7E"/>
    <w:rsid w:val="00714BA2"/>
    <w:rsid w:val="00714CFD"/>
    <w:rsid w:val="00714DC5"/>
    <w:rsid w:val="00714F0A"/>
    <w:rsid w:val="00715186"/>
    <w:rsid w:val="007151D1"/>
    <w:rsid w:val="0071521B"/>
    <w:rsid w:val="00715375"/>
    <w:rsid w:val="0071540B"/>
    <w:rsid w:val="0071557A"/>
    <w:rsid w:val="007155AA"/>
    <w:rsid w:val="007158C1"/>
    <w:rsid w:val="007159CA"/>
    <w:rsid w:val="00715A9D"/>
    <w:rsid w:val="00715ACF"/>
    <w:rsid w:val="00715C1A"/>
    <w:rsid w:val="00715C45"/>
    <w:rsid w:val="00716292"/>
    <w:rsid w:val="007162BD"/>
    <w:rsid w:val="00716495"/>
    <w:rsid w:val="00716571"/>
    <w:rsid w:val="00716650"/>
    <w:rsid w:val="0071665F"/>
    <w:rsid w:val="00716BEB"/>
    <w:rsid w:val="00716FC3"/>
    <w:rsid w:val="007173E5"/>
    <w:rsid w:val="007174FA"/>
    <w:rsid w:val="0071754C"/>
    <w:rsid w:val="00717723"/>
    <w:rsid w:val="00717793"/>
    <w:rsid w:val="00717B33"/>
    <w:rsid w:val="00717B6A"/>
    <w:rsid w:val="00717C50"/>
    <w:rsid w:val="00717D8B"/>
    <w:rsid w:val="00717E0D"/>
    <w:rsid w:val="00717F1C"/>
    <w:rsid w:val="0072024F"/>
    <w:rsid w:val="00720288"/>
    <w:rsid w:val="007205A4"/>
    <w:rsid w:val="007205C2"/>
    <w:rsid w:val="007205F7"/>
    <w:rsid w:val="00720608"/>
    <w:rsid w:val="00720661"/>
    <w:rsid w:val="007208DA"/>
    <w:rsid w:val="00720947"/>
    <w:rsid w:val="00720A3A"/>
    <w:rsid w:val="00720B00"/>
    <w:rsid w:val="00720FF0"/>
    <w:rsid w:val="00721155"/>
    <w:rsid w:val="00721160"/>
    <w:rsid w:val="007211E5"/>
    <w:rsid w:val="007211E6"/>
    <w:rsid w:val="0072126F"/>
    <w:rsid w:val="00721384"/>
    <w:rsid w:val="0072145F"/>
    <w:rsid w:val="007217A7"/>
    <w:rsid w:val="007217CD"/>
    <w:rsid w:val="007219F1"/>
    <w:rsid w:val="00721A0E"/>
    <w:rsid w:val="00721C13"/>
    <w:rsid w:val="00721E68"/>
    <w:rsid w:val="00721F55"/>
    <w:rsid w:val="00721FCA"/>
    <w:rsid w:val="0072232B"/>
    <w:rsid w:val="007223FE"/>
    <w:rsid w:val="00722451"/>
    <w:rsid w:val="007224B6"/>
    <w:rsid w:val="007224F3"/>
    <w:rsid w:val="007226ED"/>
    <w:rsid w:val="0072280C"/>
    <w:rsid w:val="007228AB"/>
    <w:rsid w:val="007228B4"/>
    <w:rsid w:val="007229CB"/>
    <w:rsid w:val="00722F65"/>
    <w:rsid w:val="0072318C"/>
    <w:rsid w:val="00723358"/>
    <w:rsid w:val="007233E7"/>
    <w:rsid w:val="007235EA"/>
    <w:rsid w:val="0072361F"/>
    <w:rsid w:val="00723669"/>
    <w:rsid w:val="00723934"/>
    <w:rsid w:val="00723B5C"/>
    <w:rsid w:val="00723C49"/>
    <w:rsid w:val="00723C77"/>
    <w:rsid w:val="00723DD1"/>
    <w:rsid w:val="00723FC9"/>
    <w:rsid w:val="00724056"/>
    <w:rsid w:val="007240BB"/>
    <w:rsid w:val="007245A3"/>
    <w:rsid w:val="00724752"/>
    <w:rsid w:val="00724B2C"/>
    <w:rsid w:val="00724B64"/>
    <w:rsid w:val="00724DD9"/>
    <w:rsid w:val="00725080"/>
    <w:rsid w:val="007251B6"/>
    <w:rsid w:val="00725295"/>
    <w:rsid w:val="007252BA"/>
    <w:rsid w:val="007254BA"/>
    <w:rsid w:val="007254C1"/>
    <w:rsid w:val="007255AD"/>
    <w:rsid w:val="007255FF"/>
    <w:rsid w:val="0072566C"/>
    <w:rsid w:val="00725729"/>
    <w:rsid w:val="00725A2C"/>
    <w:rsid w:val="00725C43"/>
    <w:rsid w:val="00725E25"/>
    <w:rsid w:val="00725FC5"/>
    <w:rsid w:val="0072601F"/>
    <w:rsid w:val="0072605A"/>
    <w:rsid w:val="007261C1"/>
    <w:rsid w:val="007261DD"/>
    <w:rsid w:val="007262E2"/>
    <w:rsid w:val="007262F3"/>
    <w:rsid w:val="0072632A"/>
    <w:rsid w:val="007263E9"/>
    <w:rsid w:val="0072656B"/>
    <w:rsid w:val="007265AC"/>
    <w:rsid w:val="0072683A"/>
    <w:rsid w:val="00726933"/>
    <w:rsid w:val="00726B4D"/>
    <w:rsid w:val="00726E23"/>
    <w:rsid w:val="00726EAD"/>
    <w:rsid w:val="00726F14"/>
    <w:rsid w:val="00726FDA"/>
    <w:rsid w:val="00727145"/>
    <w:rsid w:val="00727150"/>
    <w:rsid w:val="007271E2"/>
    <w:rsid w:val="00727278"/>
    <w:rsid w:val="007272D6"/>
    <w:rsid w:val="007272DD"/>
    <w:rsid w:val="007279C0"/>
    <w:rsid w:val="00727A27"/>
    <w:rsid w:val="00727ABD"/>
    <w:rsid w:val="00727B0F"/>
    <w:rsid w:val="00727DD3"/>
    <w:rsid w:val="00727F67"/>
    <w:rsid w:val="00727F87"/>
    <w:rsid w:val="00730021"/>
    <w:rsid w:val="007301F2"/>
    <w:rsid w:val="00730200"/>
    <w:rsid w:val="007303C9"/>
    <w:rsid w:val="007303E8"/>
    <w:rsid w:val="00730422"/>
    <w:rsid w:val="00730429"/>
    <w:rsid w:val="00730518"/>
    <w:rsid w:val="0073071E"/>
    <w:rsid w:val="00730721"/>
    <w:rsid w:val="007307AC"/>
    <w:rsid w:val="00730A1B"/>
    <w:rsid w:val="00730BE7"/>
    <w:rsid w:val="00730BE9"/>
    <w:rsid w:val="00730C60"/>
    <w:rsid w:val="00730E89"/>
    <w:rsid w:val="00731002"/>
    <w:rsid w:val="00731064"/>
    <w:rsid w:val="007310CA"/>
    <w:rsid w:val="00731180"/>
    <w:rsid w:val="00731328"/>
    <w:rsid w:val="007313AE"/>
    <w:rsid w:val="007313D2"/>
    <w:rsid w:val="007313F3"/>
    <w:rsid w:val="00731509"/>
    <w:rsid w:val="00731765"/>
    <w:rsid w:val="007317B0"/>
    <w:rsid w:val="007317E8"/>
    <w:rsid w:val="007319AA"/>
    <w:rsid w:val="007319F3"/>
    <w:rsid w:val="00731A3B"/>
    <w:rsid w:val="00731A9B"/>
    <w:rsid w:val="00731BC3"/>
    <w:rsid w:val="00731E4F"/>
    <w:rsid w:val="00731E5A"/>
    <w:rsid w:val="007320B9"/>
    <w:rsid w:val="0073210E"/>
    <w:rsid w:val="007321CC"/>
    <w:rsid w:val="007322AA"/>
    <w:rsid w:val="0073237E"/>
    <w:rsid w:val="00732547"/>
    <w:rsid w:val="00732553"/>
    <w:rsid w:val="007326CB"/>
    <w:rsid w:val="007327A3"/>
    <w:rsid w:val="00732872"/>
    <w:rsid w:val="0073293B"/>
    <w:rsid w:val="00732BA7"/>
    <w:rsid w:val="00732CC1"/>
    <w:rsid w:val="00732D64"/>
    <w:rsid w:val="00732EB8"/>
    <w:rsid w:val="00732FF6"/>
    <w:rsid w:val="00733091"/>
    <w:rsid w:val="0073323A"/>
    <w:rsid w:val="007333B9"/>
    <w:rsid w:val="007334EF"/>
    <w:rsid w:val="0073350E"/>
    <w:rsid w:val="0073356D"/>
    <w:rsid w:val="007339D7"/>
    <w:rsid w:val="00733C30"/>
    <w:rsid w:val="00733CEC"/>
    <w:rsid w:val="00733E50"/>
    <w:rsid w:val="00733E9D"/>
    <w:rsid w:val="00734029"/>
    <w:rsid w:val="007340A0"/>
    <w:rsid w:val="007340EB"/>
    <w:rsid w:val="00734138"/>
    <w:rsid w:val="0073424B"/>
    <w:rsid w:val="00734333"/>
    <w:rsid w:val="00734521"/>
    <w:rsid w:val="00734600"/>
    <w:rsid w:val="00734622"/>
    <w:rsid w:val="00734A4B"/>
    <w:rsid w:val="00734D4C"/>
    <w:rsid w:val="00734DE8"/>
    <w:rsid w:val="00734EBA"/>
    <w:rsid w:val="0073507D"/>
    <w:rsid w:val="0073530D"/>
    <w:rsid w:val="00735359"/>
    <w:rsid w:val="0073549A"/>
    <w:rsid w:val="007355FD"/>
    <w:rsid w:val="00735667"/>
    <w:rsid w:val="007356AC"/>
    <w:rsid w:val="007356F5"/>
    <w:rsid w:val="00735964"/>
    <w:rsid w:val="00735A80"/>
    <w:rsid w:val="00735AD7"/>
    <w:rsid w:val="00735B0B"/>
    <w:rsid w:val="00735B26"/>
    <w:rsid w:val="00735D69"/>
    <w:rsid w:val="00735F75"/>
    <w:rsid w:val="00735FCB"/>
    <w:rsid w:val="0073610F"/>
    <w:rsid w:val="007361DB"/>
    <w:rsid w:val="00736340"/>
    <w:rsid w:val="007366AB"/>
    <w:rsid w:val="00736816"/>
    <w:rsid w:val="0073681C"/>
    <w:rsid w:val="007369B6"/>
    <w:rsid w:val="00736A31"/>
    <w:rsid w:val="00736B9B"/>
    <w:rsid w:val="00736D62"/>
    <w:rsid w:val="00736E30"/>
    <w:rsid w:val="00736ED0"/>
    <w:rsid w:val="00736F11"/>
    <w:rsid w:val="007371B5"/>
    <w:rsid w:val="0073725D"/>
    <w:rsid w:val="0073733D"/>
    <w:rsid w:val="007373BC"/>
    <w:rsid w:val="007374DB"/>
    <w:rsid w:val="00737696"/>
    <w:rsid w:val="00737713"/>
    <w:rsid w:val="00737A24"/>
    <w:rsid w:val="00737AE0"/>
    <w:rsid w:val="00737CDA"/>
    <w:rsid w:val="00737D43"/>
    <w:rsid w:val="00737D6F"/>
    <w:rsid w:val="00737DE9"/>
    <w:rsid w:val="00737E0C"/>
    <w:rsid w:val="00737E1F"/>
    <w:rsid w:val="00737F66"/>
    <w:rsid w:val="007400CC"/>
    <w:rsid w:val="00740138"/>
    <w:rsid w:val="00740162"/>
    <w:rsid w:val="007401B0"/>
    <w:rsid w:val="00740291"/>
    <w:rsid w:val="0074032D"/>
    <w:rsid w:val="0074079E"/>
    <w:rsid w:val="0074088B"/>
    <w:rsid w:val="007409DB"/>
    <w:rsid w:val="007410BF"/>
    <w:rsid w:val="0074116E"/>
    <w:rsid w:val="0074128E"/>
    <w:rsid w:val="007412FB"/>
    <w:rsid w:val="00741602"/>
    <w:rsid w:val="007416BC"/>
    <w:rsid w:val="00741728"/>
    <w:rsid w:val="00741771"/>
    <w:rsid w:val="0074178A"/>
    <w:rsid w:val="00741998"/>
    <w:rsid w:val="007419EF"/>
    <w:rsid w:val="00741A16"/>
    <w:rsid w:val="00741B5E"/>
    <w:rsid w:val="00741BF1"/>
    <w:rsid w:val="00741C53"/>
    <w:rsid w:val="00741E95"/>
    <w:rsid w:val="00741F3F"/>
    <w:rsid w:val="007420BB"/>
    <w:rsid w:val="00742263"/>
    <w:rsid w:val="00742738"/>
    <w:rsid w:val="00742913"/>
    <w:rsid w:val="00742EEC"/>
    <w:rsid w:val="00742F53"/>
    <w:rsid w:val="00743041"/>
    <w:rsid w:val="007430B9"/>
    <w:rsid w:val="007430C3"/>
    <w:rsid w:val="00743360"/>
    <w:rsid w:val="007438F1"/>
    <w:rsid w:val="007439DC"/>
    <w:rsid w:val="00743A1E"/>
    <w:rsid w:val="00743BE9"/>
    <w:rsid w:val="00743C9D"/>
    <w:rsid w:val="00743EB3"/>
    <w:rsid w:val="00743F33"/>
    <w:rsid w:val="00744197"/>
    <w:rsid w:val="00744406"/>
    <w:rsid w:val="00744549"/>
    <w:rsid w:val="00744760"/>
    <w:rsid w:val="0074476A"/>
    <w:rsid w:val="0074499B"/>
    <w:rsid w:val="00744ABE"/>
    <w:rsid w:val="00744ACA"/>
    <w:rsid w:val="00744AD2"/>
    <w:rsid w:val="00744BDC"/>
    <w:rsid w:val="00744C78"/>
    <w:rsid w:val="00744ECA"/>
    <w:rsid w:val="007454AF"/>
    <w:rsid w:val="007454D6"/>
    <w:rsid w:val="007459C7"/>
    <w:rsid w:val="00745AD6"/>
    <w:rsid w:val="00745AF6"/>
    <w:rsid w:val="00745BBE"/>
    <w:rsid w:val="00745D82"/>
    <w:rsid w:val="00745ED6"/>
    <w:rsid w:val="00745F5B"/>
    <w:rsid w:val="00746098"/>
    <w:rsid w:val="0074634F"/>
    <w:rsid w:val="0074642F"/>
    <w:rsid w:val="00746537"/>
    <w:rsid w:val="0074662C"/>
    <w:rsid w:val="00746739"/>
    <w:rsid w:val="007468B5"/>
    <w:rsid w:val="00746905"/>
    <w:rsid w:val="00746A86"/>
    <w:rsid w:val="00746ADA"/>
    <w:rsid w:val="00746B26"/>
    <w:rsid w:val="00746C39"/>
    <w:rsid w:val="00746CEC"/>
    <w:rsid w:val="007470B0"/>
    <w:rsid w:val="007471D9"/>
    <w:rsid w:val="007472AE"/>
    <w:rsid w:val="00747478"/>
    <w:rsid w:val="0074748A"/>
    <w:rsid w:val="00747783"/>
    <w:rsid w:val="00747874"/>
    <w:rsid w:val="0074790C"/>
    <w:rsid w:val="00747B1A"/>
    <w:rsid w:val="00747CA1"/>
    <w:rsid w:val="00747CEE"/>
    <w:rsid w:val="00747D75"/>
    <w:rsid w:val="00747EAD"/>
    <w:rsid w:val="00750033"/>
    <w:rsid w:val="00750075"/>
    <w:rsid w:val="00750120"/>
    <w:rsid w:val="0075035E"/>
    <w:rsid w:val="00750361"/>
    <w:rsid w:val="007503EB"/>
    <w:rsid w:val="00750669"/>
    <w:rsid w:val="007507B4"/>
    <w:rsid w:val="00750974"/>
    <w:rsid w:val="007509FA"/>
    <w:rsid w:val="00750A23"/>
    <w:rsid w:val="00750A68"/>
    <w:rsid w:val="00750B15"/>
    <w:rsid w:val="00750D1B"/>
    <w:rsid w:val="00750E36"/>
    <w:rsid w:val="00750EC6"/>
    <w:rsid w:val="00750EFB"/>
    <w:rsid w:val="007511D5"/>
    <w:rsid w:val="007514DC"/>
    <w:rsid w:val="00751570"/>
    <w:rsid w:val="00751584"/>
    <w:rsid w:val="00751604"/>
    <w:rsid w:val="00751640"/>
    <w:rsid w:val="00751982"/>
    <w:rsid w:val="00751FA0"/>
    <w:rsid w:val="0075207F"/>
    <w:rsid w:val="007520B3"/>
    <w:rsid w:val="007520D4"/>
    <w:rsid w:val="007523FF"/>
    <w:rsid w:val="00752520"/>
    <w:rsid w:val="0075259B"/>
    <w:rsid w:val="007526F5"/>
    <w:rsid w:val="00752741"/>
    <w:rsid w:val="007527CB"/>
    <w:rsid w:val="007528C1"/>
    <w:rsid w:val="00752B63"/>
    <w:rsid w:val="00752C41"/>
    <w:rsid w:val="00752E41"/>
    <w:rsid w:val="00752EA0"/>
    <w:rsid w:val="00752FC0"/>
    <w:rsid w:val="007531A2"/>
    <w:rsid w:val="007532D2"/>
    <w:rsid w:val="00753392"/>
    <w:rsid w:val="00753781"/>
    <w:rsid w:val="00753924"/>
    <w:rsid w:val="0075393C"/>
    <w:rsid w:val="0075394B"/>
    <w:rsid w:val="00753A51"/>
    <w:rsid w:val="00753A5B"/>
    <w:rsid w:val="00753B6A"/>
    <w:rsid w:val="00753D74"/>
    <w:rsid w:val="007540F2"/>
    <w:rsid w:val="0075410E"/>
    <w:rsid w:val="007544D3"/>
    <w:rsid w:val="0075454E"/>
    <w:rsid w:val="007545C2"/>
    <w:rsid w:val="00754641"/>
    <w:rsid w:val="00754657"/>
    <w:rsid w:val="007546B1"/>
    <w:rsid w:val="007547B7"/>
    <w:rsid w:val="0075483D"/>
    <w:rsid w:val="00754C53"/>
    <w:rsid w:val="00754C6B"/>
    <w:rsid w:val="00754F14"/>
    <w:rsid w:val="00754F95"/>
    <w:rsid w:val="007550FF"/>
    <w:rsid w:val="00755110"/>
    <w:rsid w:val="00755142"/>
    <w:rsid w:val="0075527D"/>
    <w:rsid w:val="007553E5"/>
    <w:rsid w:val="00755686"/>
    <w:rsid w:val="0075577B"/>
    <w:rsid w:val="007557A7"/>
    <w:rsid w:val="00755A2F"/>
    <w:rsid w:val="00755AF0"/>
    <w:rsid w:val="00755BE3"/>
    <w:rsid w:val="00755D86"/>
    <w:rsid w:val="00755E06"/>
    <w:rsid w:val="007563AD"/>
    <w:rsid w:val="007566B3"/>
    <w:rsid w:val="007566F7"/>
    <w:rsid w:val="007567EE"/>
    <w:rsid w:val="0075696C"/>
    <w:rsid w:val="007569AC"/>
    <w:rsid w:val="00756A4F"/>
    <w:rsid w:val="00756BC7"/>
    <w:rsid w:val="00756C33"/>
    <w:rsid w:val="00756D01"/>
    <w:rsid w:val="00757026"/>
    <w:rsid w:val="00757297"/>
    <w:rsid w:val="0075731D"/>
    <w:rsid w:val="00757383"/>
    <w:rsid w:val="007574FC"/>
    <w:rsid w:val="007575A2"/>
    <w:rsid w:val="007575B3"/>
    <w:rsid w:val="007575E3"/>
    <w:rsid w:val="007579A1"/>
    <w:rsid w:val="007579E7"/>
    <w:rsid w:val="00757BEF"/>
    <w:rsid w:val="00757C23"/>
    <w:rsid w:val="00757C33"/>
    <w:rsid w:val="00757DD7"/>
    <w:rsid w:val="00757E74"/>
    <w:rsid w:val="00757F82"/>
    <w:rsid w:val="007602A6"/>
    <w:rsid w:val="0076060E"/>
    <w:rsid w:val="00760720"/>
    <w:rsid w:val="00760ADE"/>
    <w:rsid w:val="00760C0E"/>
    <w:rsid w:val="00760CB0"/>
    <w:rsid w:val="00760CE2"/>
    <w:rsid w:val="00760DB0"/>
    <w:rsid w:val="00760F5F"/>
    <w:rsid w:val="007612C6"/>
    <w:rsid w:val="007613A5"/>
    <w:rsid w:val="00761444"/>
    <w:rsid w:val="00761452"/>
    <w:rsid w:val="0076153B"/>
    <w:rsid w:val="007616A9"/>
    <w:rsid w:val="00761706"/>
    <w:rsid w:val="007617D8"/>
    <w:rsid w:val="00761865"/>
    <w:rsid w:val="00761B86"/>
    <w:rsid w:val="00761E2B"/>
    <w:rsid w:val="00762165"/>
    <w:rsid w:val="007621E7"/>
    <w:rsid w:val="00762340"/>
    <w:rsid w:val="0076248F"/>
    <w:rsid w:val="0076261E"/>
    <w:rsid w:val="0076284C"/>
    <w:rsid w:val="00762854"/>
    <w:rsid w:val="0076285A"/>
    <w:rsid w:val="007628B2"/>
    <w:rsid w:val="0076291D"/>
    <w:rsid w:val="00762D30"/>
    <w:rsid w:val="00762D73"/>
    <w:rsid w:val="00762E37"/>
    <w:rsid w:val="00762E59"/>
    <w:rsid w:val="00762F20"/>
    <w:rsid w:val="00762F89"/>
    <w:rsid w:val="00763017"/>
    <w:rsid w:val="007632FB"/>
    <w:rsid w:val="0076335F"/>
    <w:rsid w:val="007635B0"/>
    <w:rsid w:val="007636CA"/>
    <w:rsid w:val="00763A0F"/>
    <w:rsid w:val="00763FAD"/>
    <w:rsid w:val="0076425E"/>
    <w:rsid w:val="0076483D"/>
    <w:rsid w:val="0076490E"/>
    <w:rsid w:val="0076497B"/>
    <w:rsid w:val="00764FA2"/>
    <w:rsid w:val="00765264"/>
    <w:rsid w:val="007652D7"/>
    <w:rsid w:val="0076551D"/>
    <w:rsid w:val="0076565D"/>
    <w:rsid w:val="007657BB"/>
    <w:rsid w:val="00765A14"/>
    <w:rsid w:val="00765A6B"/>
    <w:rsid w:val="00765DE0"/>
    <w:rsid w:val="00765E27"/>
    <w:rsid w:val="00765E72"/>
    <w:rsid w:val="0076601D"/>
    <w:rsid w:val="00766179"/>
    <w:rsid w:val="007661C1"/>
    <w:rsid w:val="0076638E"/>
    <w:rsid w:val="007663A8"/>
    <w:rsid w:val="007663D6"/>
    <w:rsid w:val="0076677F"/>
    <w:rsid w:val="0076679F"/>
    <w:rsid w:val="007667AF"/>
    <w:rsid w:val="0076692C"/>
    <w:rsid w:val="0076700D"/>
    <w:rsid w:val="00767674"/>
    <w:rsid w:val="007678E2"/>
    <w:rsid w:val="007678FC"/>
    <w:rsid w:val="00767908"/>
    <w:rsid w:val="0076792B"/>
    <w:rsid w:val="007679EE"/>
    <w:rsid w:val="00767C09"/>
    <w:rsid w:val="00767C80"/>
    <w:rsid w:val="00767D01"/>
    <w:rsid w:val="00767D5E"/>
    <w:rsid w:val="00767DE7"/>
    <w:rsid w:val="00767DFC"/>
    <w:rsid w:val="007700A9"/>
    <w:rsid w:val="007700C9"/>
    <w:rsid w:val="007702D0"/>
    <w:rsid w:val="00770300"/>
    <w:rsid w:val="00770755"/>
    <w:rsid w:val="007708E8"/>
    <w:rsid w:val="00770BA2"/>
    <w:rsid w:val="00770E12"/>
    <w:rsid w:val="00770FF3"/>
    <w:rsid w:val="00771131"/>
    <w:rsid w:val="0077128E"/>
    <w:rsid w:val="00771490"/>
    <w:rsid w:val="007719B2"/>
    <w:rsid w:val="00771A2F"/>
    <w:rsid w:val="00771A80"/>
    <w:rsid w:val="00771B9F"/>
    <w:rsid w:val="00771CCA"/>
    <w:rsid w:val="00771CE0"/>
    <w:rsid w:val="00771ED5"/>
    <w:rsid w:val="00771FE2"/>
    <w:rsid w:val="00772147"/>
    <w:rsid w:val="0077215F"/>
    <w:rsid w:val="007721FC"/>
    <w:rsid w:val="00772357"/>
    <w:rsid w:val="007723FC"/>
    <w:rsid w:val="007724DE"/>
    <w:rsid w:val="007725A1"/>
    <w:rsid w:val="00772855"/>
    <w:rsid w:val="00772889"/>
    <w:rsid w:val="00772B83"/>
    <w:rsid w:val="00772CBF"/>
    <w:rsid w:val="00772E65"/>
    <w:rsid w:val="00772F29"/>
    <w:rsid w:val="0077310B"/>
    <w:rsid w:val="00773188"/>
    <w:rsid w:val="00773405"/>
    <w:rsid w:val="007735A9"/>
    <w:rsid w:val="007736E8"/>
    <w:rsid w:val="00773789"/>
    <w:rsid w:val="007737D7"/>
    <w:rsid w:val="007739FF"/>
    <w:rsid w:val="00773A48"/>
    <w:rsid w:val="00773BC9"/>
    <w:rsid w:val="00773ED1"/>
    <w:rsid w:val="00773ED3"/>
    <w:rsid w:val="00774094"/>
    <w:rsid w:val="007740A5"/>
    <w:rsid w:val="007741E5"/>
    <w:rsid w:val="0077426D"/>
    <w:rsid w:val="00774450"/>
    <w:rsid w:val="007745C5"/>
    <w:rsid w:val="00774705"/>
    <w:rsid w:val="0077481A"/>
    <w:rsid w:val="0077494E"/>
    <w:rsid w:val="00774A1B"/>
    <w:rsid w:val="00774A41"/>
    <w:rsid w:val="00774C7A"/>
    <w:rsid w:val="00774C7D"/>
    <w:rsid w:val="00774D3B"/>
    <w:rsid w:val="00774E62"/>
    <w:rsid w:val="00774FA1"/>
    <w:rsid w:val="0077504E"/>
    <w:rsid w:val="007752EE"/>
    <w:rsid w:val="00775457"/>
    <w:rsid w:val="00775532"/>
    <w:rsid w:val="00775642"/>
    <w:rsid w:val="007757F3"/>
    <w:rsid w:val="00775826"/>
    <w:rsid w:val="00775AAF"/>
    <w:rsid w:val="00775D96"/>
    <w:rsid w:val="00775E6B"/>
    <w:rsid w:val="00775E71"/>
    <w:rsid w:val="00775EC7"/>
    <w:rsid w:val="00775EC8"/>
    <w:rsid w:val="00776182"/>
    <w:rsid w:val="007761F3"/>
    <w:rsid w:val="007762E5"/>
    <w:rsid w:val="00776397"/>
    <w:rsid w:val="00776451"/>
    <w:rsid w:val="007764C8"/>
    <w:rsid w:val="00776555"/>
    <w:rsid w:val="00776637"/>
    <w:rsid w:val="0077675C"/>
    <w:rsid w:val="00776989"/>
    <w:rsid w:val="00776BBA"/>
    <w:rsid w:val="00776BF0"/>
    <w:rsid w:val="00776D94"/>
    <w:rsid w:val="00776DE8"/>
    <w:rsid w:val="00776ED0"/>
    <w:rsid w:val="00776EFF"/>
    <w:rsid w:val="007771B3"/>
    <w:rsid w:val="00777224"/>
    <w:rsid w:val="0077731B"/>
    <w:rsid w:val="00777432"/>
    <w:rsid w:val="007774AA"/>
    <w:rsid w:val="007775D3"/>
    <w:rsid w:val="0077788B"/>
    <w:rsid w:val="00777A47"/>
    <w:rsid w:val="00777B51"/>
    <w:rsid w:val="00777BDF"/>
    <w:rsid w:val="00777C80"/>
    <w:rsid w:val="00777ECD"/>
    <w:rsid w:val="00780012"/>
    <w:rsid w:val="00780288"/>
    <w:rsid w:val="007802CF"/>
    <w:rsid w:val="0078030B"/>
    <w:rsid w:val="00780360"/>
    <w:rsid w:val="0078051D"/>
    <w:rsid w:val="0078058E"/>
    <w:rsid w:val="0078059C"/>
    <w:rsid w:val="00780722"/>
    <w:rsid w:val="00780AE9"/>
    <w:rsid w:val="00780D5A"/>
    <w:rsid w:val="00780E08"/>
    <w:rsid w:val="00781096"/>
    <w:rsid w:val="007811E5"/>
    <w:rsid w:val="00781668"/>
    <w:rsid w:val="00781957"/>
    <w:rsid w:val="00781975"/>
    <w:rsid w:val="007819A6"/>
    <w:rsid w:val="007819E3"/>
    <w:rsid w:val="00781A2A"/>
    <w:rsid w:val="00781AA1"/>
    <w:rsid w:val="00781B47"/>
    <w:rsid w:val="00781D44"/>
    <w:rsid w:val="00781E6E"/>
    <w:rsid w:val="00781FA5"/>
    <w:rsid w:val="00782101"/>
    <w:rsid w:val="00782352"/>
    <w:rsid w:val="00782499"/>
    <w:rsid w:val="00782668"/>
    <w:rsid w:val="00782972"/>
    <w:rsid w:val="0078299C"/>
    <w:rsid w:val="00782A04"/>
    <w:rsid w:val="00782B26"/>
    <w:rsid w:val="00782B5F"/>
    <w:rsid w:val="00782C4A"/>
    <w:rsid w:val="00782C91"/>
    <w:rsid w:val="00782DF4"/>
    <w:rsid w:val="00782F2B"/>
    <w:rsid w:val="0078332A"/>
    <w:rsid w:val="00783392"/>
    <w:rsid w:val="0078362E"/>
    <w:rsid w:val="00783694"/>
    <w:rsid w:val="0078376F"/>
    <w:rsid w:val="00783841"/>
    <w:rsid w:val="00783984"/>
    <w:rsid w:val="00783B3E"/>
    <w:rsid w:val="00783B5D"/>
    <w:rsid w:val="00783BAD"/>
    <w:rsid w:val="00783C40"/>
    <w:rsid w:val="00783E7F"/>
    <w:rsid w:val="00783F37"/>
    <w:rsid w:val="0078402B"/>
    <w:rsid w:val="007844BE"/>
    <w:rsid w:val="007844E8"/>
    <w:rsid w:val="0078452E"/>
    <w:rsid w:val="007846EB"/>
    <w:rsid w:val="007849EE"/>
    <w:rsid w:val="007849FD"/>
    <w:rsid w:val="00784A00"/>
    <w:rsid w:val="00784AEB"/>
    <w:rsid w:val="00784B64"/>
    <w:rsid w:val="00784B98"/>
    <w:rsid w:val="00784C21"/>
    <w:rsid w:val="00784C2F"/>
    <w:rsid w:val="00785237"/>
    <w:rsid w:val="00785261"/>
    <w:rsid w:val="007852E1"/>
    <w:rsid w:val="00785435"/>
    <w:rsid w:val="007854FA"/>
    <w:rsid w:val="007855A2"/>
    <w:rsid w:val="007856B1"/>
    <w:rsid w:val="007859C0"/>
    <w:rsid w:val="007859CF"/>
    <w:rsid w:val="007859E7"/>
    <w:rsid w:val="00785A69"/>
    <w:rsid w:val="00785EBC"/>
    <w:rsid w:val="00785F44"/>
    <w:rsid w:val="00785FDA"/>
    <w:rsid w:val="0078622D"/>
    <w:rsid w:val="00786549"/>
    <w:rsid w:val="007865B1"/>
    <w:rsid w:val="007866D3"/>
    <w:rsid w:val="0078678B"/>
    <w:rsid w:val="00786A04"/>
    <w:rsid w:val="00786AB0"/>
    <w:rsid w:val="00786BB5"/>
    <w:rsid w:val="00786C24"/>
    <w:rsid w:val="00786D2A"/>
    <w:rsid w:val="00786E5E"/>
    <w:rsid w:val="00786F7B"/>
    <w:rsid w:val="0078706F"/>
    <w:rsid w:val="00787235"/>
    <w:rsid w:val="0078723C"/>
    <w:rsid w:val="0078726F"/>
    <w:rsid w:val="00787442"/>
    <w:rsid w:val="0078744C"/>
    <w:rsid w:val="0078770C"/>
    <w:rsid w:val="0078773F"/>
    <w:rsid w:val="007877CC"/>
    <w:rsid w:val="00787A8A"/>
    <w:rsid w:val="00787B95"/>
    <w:rsid w:val="00787E64"/>
    <w:rsid w:val="0079026C"/>
    <w:rsid w:val="00790480"/>
    <w:rsid w:val="007905BA"/>
    <w:rsid w:val="007906F9"/>
    <w:rsid w:val="0079072C"/>
    <w:rsid w:val="00790757"/>
    <w:rsid w:val="0079076E"/>
    <w:rsid w:val="007909AF"/>
    <w:rsid w:val="00790BED"/>
    <w:rsid w:val="00790C33"/>
    <w:rsid w:val="00790C47"/>
    <w:rsid w:val="00790C65"/>
    <w:rsid w:val="00790D97"/>
    <w:rsid w:val="0079104D"/>
    <w:rsid w:val="00791082"/>
    <w:rsid w:val="0079136A"/>
    <w:rsid w:val="0079143F"/>
    <w:rsid w:val="007915E7"/>
    <w:rsid w:val="00791772"/>
    <w:rsid w:val="007917C1"/>
    <w:rsid w:val="00791A32"/>
    <w:rsid w:val="00791AF9"/>
    <w:rsid w:val="00791D41"/>
    <w:rsid w:val="00791E00"/>
    <w:rsid w:val="00791E30"/>
    <w:rsid w:val="0079215C"/>
    <w:rsid w:val="00792685"/>
    <w:rsid w:val="00792727"/>
    <w:rsid w:val="00792788"/>
    <w:rsid w:val="0079282B"/>
    <w:rsid w:val="0079285C"/>
    <w:rsid w:val="00792CE3"/>
    <w:rsid w:val="00792D84"/>
    <w:rsid w:val="00792DAA"/>
    <w:rsid w:val="00792E35"/>
    <w:rsid w:val="00792F42"/>
    <w:rsid w:val="00793256"/>
    <w:rsid w:val="0079325B"/>
    <w:rsid w:val="0079343D"/>
    <w:rsid w:val="007935BF"/>
    <w:rsid w:val="0079360F"/>
    <w:rsid w:val="0079364E"/>
    <w:rsid w:val="007936A7"/>
    <w:rsid w:val="0079388D"/>
    <w:rsid w:val="00793B30"/>
    <w:rsid w:val="00793CB9"/>
    <w:rsid w:val="00794083"/>
    <w:rsid w:val="00794199"/>
    <w:rsid w:val="00794415"/>
    <w:rsid w:val="00794587"/>
    <w:rsid w:val="00794795"/>
    <w:rsid w:val="0079496C"/>
    <w:rsid w:val="007949A4"/>
    <w:rsid w:val="00794BB9"/>
    <w:rsid w:val="00794CD0"/>
    <w:rsid w:val="00794D33"/>
    <w:rsid w:val="00794D48"/>
    <w:rsid w:val="007951DF"/>
    <w:rsid w:val="007953FC"/>
    <w:rsid w:val="0079542F"/>
    <w:rsid w:val="007954B1"/>
    <w:rsid w:val="007955C4"/>
    <w:rsid w:val="007956A2"/>
    <w:rsid w:val="007957FE"/>
    <w:rsid w:val="00795876"/>
    <w:rsid w:val="007958BF"/>
    <w:rsid w:val="0079593F"/>
    <w:rsid w:val="00795B93"/>
    <w:rsid w:val="00795BFA"/>
    <w:rsid w:val="00795CAD"/>
    <w:rsid w:val="00795F26"/>
    <w:rsid w:val="007960E5"/>
    <w:rsid w:val="00796A8C"/>
    <w:rsid w:val="00796BE9"/>
    <w:rsid w:val="00796CD5"/>
    <w:rsid w:val="00796CDE"/>
    <w:rsid w:val="00796D01"/>
    <w:rsid w:val="00796F5E"/>
    <w:rsid w:val="00797221"/>
    <w:rsid w:val="00797418"/>
    <w:rsid w:val="00797565"/>
    <w:rsid w:val="007975C0"/>
    <w:rsid w:val="007975CD"/>
    <w:rsid w:val="007975D4"/>
    <w:rsid w:val="00797742"/>
    <w:rsid w:val="00797773"/>
    <w:rsid w:val="00797889"/>
    <w:rsid w:val="00797997"/>
    <w:rsid w:val="00797A5B"/>
    <w:rsid w:val="00797D02"/>
    <w:rsid w:val="00797D22"/>
    <w:rsid w:val="00797E6A"/>
    <w:rsid w:val="00797FD1"/>
    <w:rsid w:val="007A000A"/>
    <w:rsid w:val="007A00EC"/>
    <w:rsid w:val="007A0210"/>
    <w:rsid w:val="007A0255"/>
    <w:rsid w:val="007A0367"/>
    <w:rsid w:val="007A03F3"/>
    <w:rsid w:val="007A0655"/>
    <w:rsid w:val="007A086F"/>
    <w:rsid w:val="007A08DD"/>
    <w:rsid w:val="007A098D"/>
    <w:rsid w:val="007A0A3F"/>
    <w:rsid w:val="007A0BD5"/>
    <w:rsid w:val="007A0F4E"/>
    <w:rsid w:val="007A0F7D"/>
    <w:rsid w:val="007A1003"/>
    <w:rsid w:val="007A1283"/>
    <w:rsid w:val="007A1459"/>
    <w:rsid w:val="007A152D"/>
    <w:rsid w:val="007A1B40"/>
    <w:rsid w:val="007A1D7B"/>
    <w:rsid w:val="007A1D7D"/>
    <w:rsid w:val="007A1EB0"/>
    <w:rsid w:val="007A21B6"/>
    <w:rsid w:val="007A21F3"/>
    <w:rsid w:val="007A2269"/>
    <w:rsid w:val="007A234F"/>
    <w:rsid w:val="007A2454"/>
    <w:rsid w:val="007A2457"/>
    <w:rsid w:val="007A24DC"/>
    <w:rsid w:val="007A284F"/>
    <w:rsid w:val="007A286E"/>
    <w:rsid w:val="007A2B18"/>
    <w:rsid w:val="007A2B79"/>
    <w:rsid w:val="007A2BAC"/>
    <w:rsid w:val="007A2C41"/>
    <w:rsid w:val="007A2F38"/>
    <w:rsid w:val="007A2FCA"/>
    <w:rsid w:val="007A3033"/>
    <w:rsid w:val="007A30A7"/>
    <w:rsid w:val="007A322E"/>
    <w:rsid w:val="007A33C9"/>
    <w:rsid w:val="007A356D"/>
    <w:rsid w:val="007A3603"/>
    <w:rsid w:val="007A36A7"/>
    <w:rsid w:val="007A36C4"/>
    <w:rsid w:val="007A38F9"/>
    <w:rsid w:val="007A3A16"/>
    <w:rsid w:val="007A3A19"/>
    <w:rsid w:val="007A3A2F"/>
    <w:rsid w:val="007A3A3B"/>
    <w:rsid w:val="007A3DE4"/>
    <w:rsid w:val="007A3E01"/>
    <w:rsid w:val="007A3E74"/>
    <w:rsid w:val="007A41C4"/>
    <w:rsid w:val="007A4239"/>
    <w:rsid w:val="007A441E"/>
    <w:rsid w:val="007A4480"/>
    <w:rsid w:val="007A4638"/>
    <w:rsid w:val="007A482A"/>
    <w:rsid w:val="007A4D94"/>
    <w:rsid w:val="007A4F12"/>
    <w:rsid w:val="007A503B"/>
    <w:rsid w:val="007A51BE"/>
    <w:rsid w:val="007A5267"/>
    <w:rsid w:val="007A526D"/>
    <w:rsid w:val="007A573A"/>
    <w:rsid w:val="007A5793"/>
    <w:rsid w:val="007A57A1"/>
    <w:rsid w:val="007A59BB"/>
    <w:rsid w:val="007A59D7"/>
    <w:rsid w:val="007A5DDC"/>
    <w:rsid w:val="007A5E57"/>
    <w:rsid w:val="007A5EAE"/>
    <w:rsid w:val="007A5F64"/>
    <w:rsid w:val="007A5FFE"/>
    <w:rsid w:val="007A60FC"/>
    <w:rsid w:val="007A620D"/>
    <w:rsid w:val="007A62D4"/>
    <w:rsid w:val="007A64DD"/>
    <w:rsid w:val="007A6758"/>
    <w:rsid w:val="007A6825"/>
    <w:rsid w:val="007A6C14"/>
    <w:rsid w:val="007A6C54"/>
    <w:rsid w:val="007A6EB6"/>
    <w:rsid w:val="007A6FA1"/>
    <w:rsid w:val="007A6FB5"/>
    <w:rsid w:val="007A7013"/>
    <w:rsid w:val="007A7090"/>
    <w:rsid w:val="007A7278"/>
    <w:rsid w:val="007A7564"/>
    <w:rsid w:val="007A75E0"/>
    <w:rsid w:val="007A794A"/>
    <w:rsid w:val="007A798D"/>
    <w:rsid w:val="007A7A4C"/>
    <w:rsid w:val="007A7AB7"/>
    <w:rsid w:val="007A7C04"/>
    <w:rsid w:val="007B0042"/>
    <w:rsid w:val="007B0256"/>
    <w:rsid w:val="007B02B7"/>
    <w:rsid w:val="007B047C"/>
    <w:rsid w:val="007B04C4"/>
    <w:rsid w:val="007B065A"/>
    <w:rsid w:val="007B0681"/>
    <w:rsid w:val="007B080B"/>
    <w:rsid w:val="007B0A8A"/>
    <w:rsid w:val="007B0BD4"/>
    <w:rsid w:val="007B0DB2"/>
    <w:rsid w:val="007B0F30"/>
    <w:rsid w:val="007B10D9"/>
    <w:rsid w:val="007B1253"/>
    <w:rsid w:val="007B13D3"/>
    <w:rsid w:val="007B146A"/>
    <w:rsid w:val="007B1483"/>
    <w:rsid w:val="007B148F"/>
    <w:rsid w:val="007B14AE"/>
    <w:rsid w:val="007B14D1"/>
    <w:rsid w:val="007B151C"/>
    <w:rsid w:val="007B155E"/>
    <w:rsid w:val="007B161B"/>
    <w:rsid w:val="007B180E"/>
    <w:rsid w:val="007B19B4"/>
    <w:rsid w:val="007B1E41"/>
    <w:rsid w:val="007B1E7B"/>
    <w:rsid w:val="007B2093"/>
    <w:rsid w:val="007B2684"/>
    <w:rsid w:val="007B26A6"/>
    <w:rsid w:val="007B2A8D"/>
    <w:rsid w:val="007B2A9E"/>
    <w:rsid w:val="007B2B08"/>
    <w:rsid w:val="007B2B55"/>
    <w:rsid w:val="007B2F76"/>
    <w:rsid w:val="007B320D"/>
    <w:rsid w:val="007B3215"/>
    <w:rsid w:val="007B322E"/>
    <w:rsid w:val="007B33B0"/>
    <w:rsid w:val="007B363F"/>
    <w:rsid w:val="007B3789"/>
    <w:rsid w:val="007B384C"/>
    <w:rsid w:val="007B3A11"/>
    <w:rsid w:val="007B3AC3"/>
    <w:rsid w:val="007B3D8A"/>
    <w:rsid w:val="007B3FBF"/>
    <w:rsid w:val="007B3FF8"/>
    <w:rsid w:val="007B41CA"/>
    <w:rsid w:val="007B427A"/>
    <w:rsid w:val="007B436B"/>
    <w:rsid w:val="007B43E1"/>
    <w:rsid w:val="007B4650"/>
    <w:rsid w:val="007B46D0"/>
    <w:rsid w:val="007B4EF1"/>
    <w:rsid w:val="007B51EE"/>
    <w:rsid w:val="007B538E"/>
    <w:rsid w:val="007B5517"/>
    <w:rsid w:val="007B56B5"/>
    <w:rsid w:val="007B5778"/>
    <w:rsid w:val="007B57C9"/>
    <w:rsid w:val="007B58E1"/>
    <w:rsid w:val="007B5984"/>
    <w:rsid w:val="007B5A3B"/>
    <w:rsid w:val="007B5DA6"/>
    <w:rsid w:val="007B5E47"/>
    <w:rsid w:val="007B5EAD"/>
    <w:rsid w:val="007B5F09"/>
    <w:rsid w:val="007B5F49"/>
    <w:rsid w:val="007B606A"/>
    <w:rsid w:val="007B609F"/>
    <w:rsid w:val="007B6123"/>
    <w:rsid w:val="007B638C"/>
    <w:rsid w:val="007B65F5"/>
    <w:rsid w:val="007B690D"/>
    <w:rsid w:val="007B6A78"/>
    <w:rsid w:val="007B6AF0"/>
    <w:rsid w:val="007B6DB0"/>
    <w:rsid w:val="007B6F36"/>
    <w:rsid w:val="007B7091"/>
    <w:rsid w:val="007B73C2"/>
    <w:rsid w:val="007B7438"/>
    <w:rsid w:val="007B7475"/>
    <w:rsid w:val="007B74E9"/>
    <w:rsid w:val="007B74F5"/>
    <w:rsid w:val="007B75E5"/>
    <w:rsid w:val="007B764B"/>
    <w:rsid w:val="007B7906"/>
    <w:rsid w:val="007B7AC8"/>
    <w:rsid w:val="007B7BF3"/>
    <w:rsid w:val="007B7C0B"/>
    <w:rsid w:val="007B7E38"/>
    <w:rsid w:val="007B7ECA"/>
    <w:rsid w:val="007C0002"/>
    <w:rsid w:val="007C0249"/>
    <w:rsid w:val="007C02F7"/>
    <w:rsid w:val="007C0303"/>
    <w:rsid w:val="007C0392"/>
    <w:rsid w:val="007C05DA"/>
    <w:rsid w:val="007C0962"/>
    <w:rsid w:val="007C098D"/>
    <w:rsid w:val="007C0B77"/>
    <w:rsid w:val="007C1133"/>
    <w:rsid w:val="007C1167"/>
    <w:rsid w:val="007C11B2"/>
    <w:rsid w:val="007C12C1"/>
    <w:rsid w:val="007C134D"/>
    <w:rsid w:val="007C1426"/>
    <w:rsid w:val="007C1577"/>
    <w:rsid w:val="007C1631"/>
    <w:rsid w:val="007C17F5"/>
    <w:rsid w:val="007C1853"/>
    <w:rsid w:val="007C18BE"/>
    <w:rsid w:val="007C18EC"/>
    <w:rsid w:val="007C18ED"/>
    <w:rsid w:val="007C1A8B"/>
    <w:rsid w:val="007C1B58"/>
    <w:rsid w:val="007C1C83"/>
    <w:rsid w:val="007C1CB4"/>
    <w:rsid w:val="007C1F2A"/>
    <w:rsid w:val="007C2026"/>
    <w:rsid w:val="007C21A2"/>
    <w:rsid w:val="007C22B1"/>
    <w:rsid w:val="007C23DF"/>
    <w:rsid w:val="007C23EA"/>
    <w:rsid w:val="007C241D"/>
    <w:rsid w:val="007C2565"/>
    <w:rsid w:val="007C297F"/>
    <w:rsid w:val="007C2A14"/>
    <w:rsid w:val="007C2A68"/>
    <w:rsid w:val="007C2B15"/>
    <w:rsid w:val="007C2C30"/>
    <w:rsid w:val="007C2CBD"/>
    <w:rsid w:val="007C2EC0"/>
    <w:rsid w:val="007C2F0B"/>
    <w:rsid w:val="007C2FF6"/>
    <w:rsid w:val="007C3123"/>
    <w:rsid w:val="007C31D6"/>
    <w:rsid w:val="007C3229"/>
    <w:rsid w:val="007C344D"/>
    <w:rsid w:val="007C3666"/>
    <w:rsid w:val="007C3688"/>
    <w:rsid w:val="007C379D"/>
    <w:rsid w:val="007C37BD"/>
    <w:rsid w:val="007C37BE"/>
    <w:rsid w:val="007C380F"/>
    <w:rsid w:val="007C3848"/>
    <w:rsid w:val="007C390B"/>
    <w:rsid w:val="007C398A"/>
    <w:rsid w:val="007C39CD"/>
    <w:rsid w:val="007C3BA7"/>
    <w:rsid w:val="007C3E37"/>
    <w:rsid w:val="007C3E90"/>
    <w:rsid w:val="007C404A"/>
    <w:rsid w:val="007C4246"/>
    <w:rsid w:val="007C42BE"/>
    <w:rsid w:val="007C43B7"/>
    <w:rsid w:val="007C4565"/>
    <w:rsid w:val="007C4639"/>
    <w:rsid w:val="007C4745"/>
    <w:rsid w:val="007C4805"/>
    <w:rsid w:val="007C48D6"/>
    <w:rsid w:val="007C49A6"/>
    <w:rsid w:val="007C4A21"/>
    <w:rsid w:val="007C4B5A"/>
    <w:rsid w:val="007C4C03"/>
    <w:rsid w:val="007C4C47"/>
    <w:rsid w:val="007C4CAE"/>
    <w:rsid w:val="007C4E25"/>
    <w:rsid w:val="007C4EC1"/>
    <w:rsid w:val="007C51AD"/>
    <w:rsid w:val="007C51B8"/>
    <w:rsid w:val="007C5743"/>
    <w:rsid w:val="007C5745"/>
    <w:rsid w:val="007C57A1"/>
    <w:rsid w:val="007C5AA6"/>
    <w:rsid w:val="007C5F5D"/>
    <w:rsid w:val="007C5FC3"/>
    <w:rsid w:val="007C60FB"/>
    <w:rsid w:val="007C621F"/>
    <w:rsid w:val="007C637E"/>
    <w:rsid w:val="007C63D5"/>
    <w:rsid w:val="007C654B"/>
    <w:rsid w:val="007C6614"/>
    <w:rsid w:val="007C6712"/>
    <w:rsid w:val="007C6730"/>
    <w:rsid w:val="007C694B"/>
    <w:rsid w:val="007C6997"/>
    <w:rsid w:val="007C6CC2"/>
    <w:rsid w:val="007C6FF9"/>
    <w:rsid w:val="007C7238"/>
    <w:rsid w:val="007C725B"/>
    <w:rsid w:val="007C75F2"/>
    <w:rsid w:val="007C7CC1"/>
    <w:rsid w:val="007C7F2E"/>
    <w:rsid w:val="007D0160"/>
    <w:rsid w:val="007D0446"/>
    <w:rsid w:val="007D0548"/>
    <w:rsid w:val="007D070E"/>
    <w:rsid w:val="007D0797"/>
    <w:rsid w:val="007D082F"/>
    <w:rsid w:val="007D0A31"/>
    <w:rsid w:val="007D0C85"/>
    <w:rsid w:val="007D0EDA"/>
    <w:rsid w:val="007D0FFB"/>
    <w:rsid w:val="007D10A1"/>
    <w:rsid w:val="007D112A"/>
    <w:rsid w:val="007D1374"/>
    <w:rsid w:val="007D13B3"/>
    <w:rsid w:val="007D1477"/>
    <w:rsid w:val="007D147D"/>
    <w:rsid w:val="007D15AF"/>
    <w:rsid w:val="007D1657"/>
    <w:rsid w:val="007D1788"/>
    <w:rsid w:val="007D1805"/>
    <w:rsid w:val="007D189E"/>
    <w:rsid w:val="007D1A15"/>
    <w:rsid w:val="007D1DB3"/>
    <w:rsid w:val="007D21DA"/>
    <w:rsid w:val="007D224D"/>
    <w:rsid w:val="007D226B"/>
    <w:rsid w:val="007D2467"/>
    <w:rsid w:val="007D273B"/>
    <w:rsid w:val="007D2900"/>
    <w:rsid w:val="007D29ED"/>
    <w:rsid w:val="007D2AD4"/>
    <w:rsid w:val="007D2CB6"/>
    <w:rsid w:val="007D2D5A"/>
    <w:rsid w:val="007D2D73"/>
    <w:rsid w:val="007D2F8A"/>
    <w:rsid w:val="007D30F4"/>
    <w:rsid w:val="007D3202"/>
    <w:rsid w:val="007D3231"/>
    <w:rsid w:val="007D32B7"/>
    <w:rsid w:val="007D3482"/>
    <w:rsid w:val="007D34E6"/>
    <w:rsid w:val="007D358E"/>
    <w:rsid w:val="007D3796"/>
    <w:rsid w:val="007D37AE"/>
    <w:rsid w:val="007D37B9"/>
    <w:rsid w:val="007D37E3"/>
    <w:rsid w:val="007D391A"/>
    <w:rsid w:val="007D3965"/>
    <w:rsid w:val="007D3BCA"/>
    <w:rsid w:val="007D3E3A"/>
    <w:rsid w:val="007D4027"/>
    <w:rsid w:val="007D42C4"/>
    <w:rsid w:val="007D4423"/>
    <w:rsid w:val="007D452C"/>
    <w:rsid w:val="007D453E"/>
    <w:rsid w:val="007D468A"/>
    <w:rsid w:val="007D4786"/>
    <w:rsid w:val="007D47E3"/>
    <w:rsid w:val="007D4805"/>
    <w:rsid w:val="007D487F"/>
    <w:rsid w:val="007D4919"/>
    <w:rsid w:val="007D4AFB"/>
    <w:rsid w:val="007D4B8A"/>
    <w:rsid w:val="007D4C92"/>
    <w:rsid w:val="007D4D44"/>
    <w:rsid w:val="007D4EBC"/>
    <w:rsid w:val="007D4F3F"/>
    <w:rsid w:val="007D526D"/>
    <w:rsid w:val="007D5340"/>
    <w:rsid w:val="007D53C5"/>
    <w:rsid w:val="007D5403"/>
    <w:rsid w:val="007D5543"/>
    <w:rsid w:val="007D55A4"/>
    <w:rsid w:val="007D5603"/>
    <w:rsid w:val="007D56D4"/>
    <w:rsid w:val="007D5837"/>
    <w:rsid w:val="007D5A70"/>
    <w:rsid w:val="007D5B9F"/>
    <w:rsid w:val="007D5CD1"/>
    <w:rsid w:val="007D5D40"/>
    <w:rsid w:val="007D5F18"/>
    <w:rsid w:val="007D601F"/>
    <w:rsid w:val="007D6055"/>
    <w:rsid w:val="007D60FE"/>
    <w:rsid w:val="007D6387"/>
    <w:rsid w:val="007D686C"/>
    <w:rsid w:val="007D68D2"/>
    <w:rsid w:val="007D6B9B"/>
    <w:rsid w:val="007D6C98"/>
    <w:rsid w:val="007D6D75"/>
    <w:rsid w:val="007D6DFF"/>
    <w:rsid w:val="007D717F"/>
    <w:rsid w:val="007D72FF"/>
    <w:rsid w:val="007D7441"/>
    <w:rsid w:val="007D752B"/>
    <w:rsid w:val="007D75DA"/>
    <w:rsid w:val="007D77FA"/>
    <w:rsid w:val="007D7935"/>
    <w:rsid w:val="007D7BFD"/>
    <w:rsid w:val="007D7C67"/>
    <w:rsid w:val="007D7D47"/>
    <w:rsid w:val="007D7D81"/>
    <w:rsid w:val="007D7DA7"/>
    <w:rsid w:val="007D7E1F"/>
    <w:rsid w:val="007D7ECA"/>
    <w:rsid w:val="007D7F15"/>
    <w:rsid w:val="007E028E"/>
    <w:rsid w:val="007E02C0"/>
    <w:rsid w:val="007E0302"/>
    <w:rsid w:val="007E05A7"/>
    <w:rsid w:val="007E06E2"/>
    <w:rsid w:val="007E07A2"/>
    <w:rsid w:val="007E08A0"/>
    <w:rsid w:val="007E0A18"/>
    <w:rsid w:val="007E0A4B"/>
    <w:rsid w:val="007E0C15"/>
    <w:rsid w:val="007E0D9F"/>
    <w:rsid w:val="007E0E67"/>
    <w:rsid w:val="007E0EFE"/>
    <w:rsid w:val="007E0FA2"/>
    <w:rsid w:val="007E10B2"/>
    <w:rsid w:val="007E10D9"/>
    <w:rsid w:val="007E1142"/>
    <w:rsid w:val="007E12AF"/>
    <w:rsid w:val="007E15D0"/>
    <w:rsid w:val="007E15DD"/>
    <w:rsid w:val="007E1C24"/>
    <w:rsid w:val="007E1CBA"/>
    <w:rsid w:val="007E1D8D"/>
    <w:rsid w:val="007E1E71"/>
    <w:rsid w:val="007E2035"/>
    <w:rsid w:val="007E219F"/>
    <w:rsid w:val="007E21AF"/>
    <w:rsid w:val="007E2361"/>
    <w:rsid w:val="007E2518"/>
    <w:rsid w:val="007E2540"/>
    <w:rsid w:val="007E2680"/>
    <w:rsid w:val="007E29C9"/>
    <w:rsid w:val="007E2ABF"/>
    <w:rsid w:val="007E2B4D"/>
    <w:rsid w:val="007E2E27"/>
    <w:rsid w:val="007E30F1"/>
    <w:rsid w:val="007E30F7"/>
    <w:rsid w:val="007E3222"/>
    <w:rsid w:val="007E330C"/>
    <w:rsid w:val="007E3317"/>
    <w:rsid w:val="007E336D"/>
    <w:rsid w:val="007E3391"/>
    <w:rsid w:val="007E35C5"/>
    <w:rsid w:val="007E36F3"/>
    <w:rsid w:val="007E372F"/>
    <w:rsid w:val="007E3794"/>
    <w:rsid w:val="007E3C44"/>
    <w:rsid w:val="007E3C9D"/>
    <w:rsid w:val="007E3D1C"/>
    <w:rsid w:val="007E3DD3"/>
    <w:rsid w:val="007E3DF9"/>
    <w:rsid w:val="007E3F56"/>
    <w:rsid w:val="007E412C"/>
    <w:rsid w:val="007E4294"/>
    <w:rsid w:val="007E430A"/>
    <w:rsid w:val="007E430F"/>
    <w:rsid w:val="007E47D0"/>
    <w:rsid w:val="007E4814"/>
    <w:rsid w:val="007E4AF9"/>
    <w:rsid w:val="007E4B8B"/>
    <w:rsid w:val="007E4BDF"/>
    <w:rsid w:val="007E4CE6"/>
    <w:rsid w:val="007E4DE9"/>
    <w:rsid w:val="007E4F47"/>
    <w:rsid w:val="007E514D"/>
    <w:rsid w:val="007E51AB"/>
    <w:rsid w:val="007E531D"/>
    <w:rsid w:val="007E5531"/>
    <w:rsid w:val="007E5577"/>
    <w:rsid w:val="007E55EF"/>
    <w:rsid w:val="007E56F2"/>
    <w:rsid w:val="007E570F"/>
    <w:rsid w:val="007E5769"/>
    <w:rsid w:val="007E587D"/>
    <w:rsid w:val="007E593C"/>
    <w:rsid w:val="007E5A17"/>
    <w:rsid w:val="007E5BC8"/>
    <w:rsid w:val="007E5BD9"/>
    <w:rsid w:val="007E5C1F"/>
    <w:rsid w:val="007E5C77"/>
    <w:rsid w:val="007E5CEE"/>
    <w:rsid w:val="007E5D2A"/>
    <w:rsid w:val="007E5E50"/>
    <w:rsid w:val="007E5E72"/>
    <w:rsid w:val="007E5FE8"/>
    <w:rsid w:val="007E61C9"/>
    <w:rsid w:val="007E65DA"/>
    <w:rsid w:val="007E663A"/>
    <w:rsid w:val="007E66D8"/>
    <w:rsid w:val="007E6753"/>
    <w:rsid w:val="007E68A9"/>
    <w:rsid w:val="007E6A0D"/>
    <w:rsid w:val="007E6B86"/>
    <w:rsid w:val="007E6C60"/>
    <w:rsid w:val="007E6F00"/>
    <w:rsid w:val="007E6F19"/>
    <w:rsid w:val="007E6FB2"/>
    <w:rsid w:val="007E7228"/>
    <w:rsid w:val="007E7277"/>
    <w:rsid w:val="007E73A5"/>
    <w:rsid w:val="007E7479"/>
    <w:rsid w:val="007E78B9"/>
    <w:rsid w:val="007E7A39"/>
    <w:rsid w:val="007E7A71"/>
    <w:rsid w:val="007E7C6E"/>
    <w:rsid w:val="007E7C8D"/>
    <w:rsid w:val="007E7D0F"/>
    <w:rsid w:val="007E7F01"/>
    <w:rsid w:val="007E7FAD"/>
    <w:rsid w:val="007E7FDE"/>
    <w:rsid w:val="007EA09B"/>
    <w:rsid w:val="007F005F"/>
    <w:rsid w:val="007F0065"/>
    <w:rsid w:val="007F0146"/>
    <w:rsid w:val="007F0267"/>
    <w:rsid w:val="007F03DD"/>
    <w:rsid w:val="007F06D8"/>
    <w:rsid w:val="007F0790"/>
    <w:rsid w:val="007F083F"/>
    <w:rsid w:val="007F08C2"/>
    <w:rsid w:val="007F0940"/>
    <w:rsid w:val="007F09A0"/>
    <w:rsid w:val="007F0AA8"/>
    <w:rsid w:val="007F0B2D"/>
    <w:rsid w:val="007F0CEB"/>
    <w:rsid w:val="007F0E30"/>
    <w:rsid w:val="007F1017"/>
    <w:rsid w:val="007F1261"/>
    <w:rsid w:val="007F132D"/>
    <w:rsid w:val="007F1605"/>
    <w:rsid w:val="007F1615"/>
    <w:rsid w:val="007F1ACA"/>
    <w:rsid w:val="007F1BBB"/>
    <w:rsid w:val="007F1D62"/>
    <w:rsid w:val="007F1F77"/>
    <w:rsid w:val="007F1FCD"/>
    <w:rsid w:val="007F2074"/>
    <w:rsid w:val="007F2075"/>
    <w:rsid w:val="007F20F3"/>
    <w:rsid w:val="007F24D0"/>
    <w:rsid w:val="007F25ED"/>
    <w:rsid w:val="007F266D"/>
    <w:rsid w:val="007F2874"/>
    <w:rsid w:val="007F289B"/>
    <w:rsid w:val="007F2921"/>
    <w:rsid w:val="007F2A33"/>
    <w:rsid w:val="007F2A3A"/>
    <w:rsid w:val="007F2A76"/>
    <w:rsid w:val="007F2C18"/>
    <w:rsid w:val="007F2CA4"/>
    <w:rsid w:val="007F2E84"/>
    <w:rsid w:val="007F2F80"/>
    <w:rsid w:val="007F3047"/>
    <w:rsid w:val="007F3090"/>
    <w:rsid w:val="007F35D9"/>
    <w:rsid w:val="007F37CA"/>
    <w:rsid w:val="007F39FB"/>
    <w:rsid w:val="007F3B41"/>
    <w:rsid w:val="007F3BBC"/>
    <w:rsid w:val="007F3C1F"/>
    <w:rsid w:val="007F3EE9"/>
    <w:rsid w:val="007F402B"/>
    <w:rsid w:val="007F4030"/>
    <w:rsid w:val="007F40AF"/>
    <w:rsid w:val="007F42C5"/>
    <w:rsid w:val="007F4344"/>
    <w:rsid w:val="007F4347"/>
    <w:rsid w:val="007F43D4"/>
    <w:rsid w:val="007F45E3"/>
    <w:rsid w:val="007F46EE"/>
    <w:rsid w:val="007F48FB"/>
    <w:rsid w:val="007F496C"/>
    <w:rsid w:val="007F4BDA"/>
    <w:rsid w:val="007F4C90"/>
    <w:rsid w:val="007F4CE9"/>
    <w:rsid w:val="007F50D7"/>
    <w:rsid w:val="007F51CB"/>
    <w:rsid w:val="007F51E9"/>
    <w:rsid w:val="007F5312"/>
    <w:rsid w:val="007F53BB"/>
    <w:rsid w:val="007F565A"/>
    <w:rsid w:val="007F57D4"/>
    <w:rsid w:val="007F595A"/>
    <w:rsid w:val="007F5B36"/>
    <w:rsid w:val="007F5C3D"/>
    <w:rsid w:val="007F5D58"/>
    <w:rsid w:val="007F5D82"/>
    <w:rsid w:val="007F5EEB"/>
    <w:rsid w:val="007F62E3"/>
    <w:rsid w:val="007F63C4"/>
    <w:rsid w:val="007F63C5"/>
    <w:rsid w:val="007F658E"/>
    <w:rsid w:val="007F66EE"/>
    <w:rsid w:val="007F67B5"/>
    <w:rsid w:val="007F68E5"/>
    <w:rsid w:val="007F6B0B"/>
    <w:rsid w:val="007F6C10"/>
    <w:rsid w:val="007F6CB7"/>
    <w:rsid w:val="007F70FA"/>
    <w:rsid w:val="007F71F6"/>
    <w:rsid w:val="007F758D"/>
    <w:rsid w:val="007F791C"/>
    <w:rsid w:val="007F7B13"/>
    <w:rsid w:val="007F7BBD"/>
    <w:rsid w:val="007F7CD6"/>
    <w:rsid w:val="007F7D64"/>
    <w:rsid w:val="008003BF"/>
    <w:rsid w:val="008004BF"/>
    <w:rsid w:val="00800534"/>
    <w:rsid w:val="008008F2"/>
    <w:rsid w:val="00800C1C"/>
    <w:rsid w:val="00800C5A"/>
    <w:rsid w:val="00800E2C"/>
    <w:rsid w:val="00800EC7"/>
    <w:rsid w:val="00800EC8"/>
    <w:rsid w:val="00800F24"/>
    <w:rsid w:val="008013E3"/>
    <w:rsid w:val="0080158E"/>
    <w:rsid w:val="00801613"/>
    <w:rsid w:val="008017D0"/>
    <w:rsid w:val="00801838"/>
    <w:rsid w:val="008018E9"/>
    <w:rsid w:val="008018FB"/>
    <w:rsid w:val="008019DC"/>
    <w:rsid w:val="00801A19"/>
    <w:rsid w:val="00801E0F"/>
    <w:rsid w:val="00801F71"/>
    <w:rsid w:val="00801FDA"/>
    <w:rsid w:val="00802415"/>
    <w:rsid w:val="00802643"/>
    <w:rsid w:val="00802733"/>
    <w:rsid w:val="0080280C"/>
    <w:rsid w:val="0080295A"/>
    <w:rsid w:val="00802A05"/>
    <w:rsid w:val="00802A76"/>
    <w:rsid w:val="00802E05"/>
    <w:rsid w:val="00802F6B"/>
    <w:rsid w:val="00803058"/>
    <w:rsid w:val="00803117"/>
    <w:rsid w:val="0080318F"/>
    <w:rsid w:val="0080336A"/>
    <w:rsid w:val="0080339D"/>
    <w:rsid w:val="008033C6"/>
    <w:rsid w:val="00803824"/>
    <w:rsid w:val="00803A65"/>
    <w:rsid w:val="00803B72"/>
    <w:rsid w:val="00803BE2"/>
    <w:rsid w:val="00803C01"/>
    <w:rsid w:val="00803C72"/>
    <w:rsid w:val="008043E7"/>
    <w:rsid w:val="00804465"/>
    <w:rsid w:val="008044C8"/>
    <w:rsid w:val="00804554"/>
    <w:rsid w:val="00804843"/>
    <w:rsid w:val="0080492C"/>
    <w:rsid w:val="00804930"/>
    <w:rsid w:val="0080494D"/>
    <w:rsid w:val="00804A39"/>
    <w:rsid w:val="00804A6D"/>
    <w:rsid w:val="00804ACE"/>
    <w:rsid w:val="00804BAF"/>
    <w:rsid w:val="00804CB3"/>
    <w:rsid w:val="00804CE2"/>
    <w:rsid w:val="00804FBA"/>
    <w:rsid w:val="00805087"/>
    <w:rsid w:val="0080508E"/>
    <w:rsid w:val="00805193"/>
    <w:rsid w:val="008053F3"/>
    <w:rsid w:val="0080541E"/>
    <w:rsid w:val="00805425"/>
    <w:rsid w:val="00805497"/>
    <w:rsid w:val="0080549E"/>
    <w:rsid w:val="0080559D"/>
    <w:rsid w:val="008056C8"/>
    <w:rsid w:val="00805A87"/>
    <w:rsid w:val="00805BC0"/>
    <w:rsid w:val="00805C45"/>
    <w:rsid w:val="00805EBD"/>
    <w:rsid w:val="00805FB1"/>
    <w:rsid w:val="0080605A"/>
    <w:rsid w:val="00806262"/>
    <w:rsid w:val="00806621"/>
    <w:rsid w:val="0080694D"/>
    <w:rsid w:val="00806B24"/>
    <w:rsid w:val="00806C89"/>
    <w:rsid w:val="00806CD7"/>
    <w:rsid w:val="00806F0B"/>
    <w:rsid w:val="00807009"/>
    <w:rsid w:val="0080700F"/>
    <w:rsid w:val="008071C7"/>
    <w:rsid w:val="00807210"/>
    <w:rsid w:val="0080722E"/>
    <w:rsid w:val="008072B7"/>
    <w:rsid w:val="008074B6"/>
    <w:rsid w:val="00807832"/>
    <w:rsid w:val="0080786C"/>
    <w:rsid w:val="00807999"/>
    <w:rsid w:val="00807A3C"/>
    <w:rsid w:val="008102F4"/>
    <w:rsid w:val="00810328"/>
    <w:rsid w:val="0081045E"/>
    <w:rsid w:val="00810478"/>
    <w:rsid w:val="0081087F"/>
    <w:rsid w:val="00810881"/>
    <w:rsid w:val="00810968"/>
    <w:rsid w:val="00810D6D"/>
    <w:rsid w:val="00810D86"/>
    <w:rsid w:val="00810E8D"/>
    <w:rsid w:val="00810F5C"/>
    <w:rsid w:val="00811094"/>
    <w:rsid w:val="008110C4"/>
    <w:rsid w:val="008110FB"/>
    <w:rsid w:val="00811200"/>
    <w:rsid w:val="008112EA"/>
    <w:rsid w:val="008112F1"/>
    <w:rsid w:val="0081138F"/>
    <w:rsid w:val="0081142A"/>
    <w:rsid w:val="00811944"/>
    <w:rsid w:val="00811B66"/>
    <w:rsid w:val="00811ED2"/>
    <w:rsid w:val="008120B0"/>
    <w:rsid w:val="00812100"/>
    <w:rsid w:val="008124B6"/>
    <w:rsid w:val="008125A2"/>
    <w:rsid w:val="00812627"/>
    <w:rsid w:val="008127B5"/>
    <w:rsid w:val="0081283F"/>
    <w:rsid w:val="00812A9C"/>
    <w:rsid w:val="00812B4E"/>
    <w:rsid w:val="00812C9C"/>
    <w:rsid w:val="00812DC8"/>
    <w:rsid w:val="00813086"/>
    <w:rsid w:val="008131AB"/>
    <w:rsid w:val="008131C9"/>
    <w:rsid w:val="00813286"/>
    <w:rsid w:val="00813463"/>
    <w:rsid w:val="008134CD"/>
    <w:rsid w:val="00813930"/>
    <w:rsid w:val="0081397A"/>
    <w:rsid w:val="00813CE4"/>
    <w:rsid w:val="00813D35"/>
    <w:rsid w:val="00813DAC"/>
    <w:rsid w:val="00813E8C"/>
    <w:rsid w:val="00814234"/>
    <w:rsid w:val="0081426E"/>
    <w:rsid w:val="00814368"/>
    <w:rsid w:val="00814391"/>
    <w:rsid w:val="0081442E"/>
    <w:rsid w:val="0081447B"/>
    <w:rsid w:val="00814B6A"/>
    <w:rsid w:val="00814CB2"/>
    <w:rsid w:val="008150BF"/>
    <w:rsid w:val="008153C5"/>
    <w:rsid w:val="008155F0"/>
    <w:rsid w:val="00815665"/>
    <w:rsid w:val="008156CD"/>
    <w:rsid w:val="008157B0"/>
    <w:rsid w:val="00815881"/>
    <w:rsid w:val="00815886"/>
    <w:rsid w:val="00815A1F"/>
    <w:rsid w:val="00815AAF"/>
    <w:rsid w:val="00815C10"/>
    <w:rsid w:val="00815C5D"/>
    <w:rsid w:val="00815C6E"/>
    <w:rsid w:val="00815DEA"/>
    <w:rsid w:val="00815E92"/>
    <w:rsid w:val="00816229"/>
    <w:rsid w:val="0081629E"/>
    <w:rsid w:val="008163FF"/>
    <w:rsid w:val="0081647A"/>
    <w:rsid w:val="0081660B"/>
    <w:rsid w:val="00816779"/>
    <w:rsid w:val="008168D2"/>
    <w:rsid w:val="00816A34"/>
    <w:rsid w:val="00816B5F"/>
    <w:rsid w:val="00817358"/>
    <w:rsid w:val="0081738E"/>
    <w:rsid w:val="00817390"/>
    <w:rsid w:val="00817450"/>
    <w:rsid w:val="00817470"/>
    <w:rsid w:val="0081753D"/>
    <w:rsid w:val="00817599"/>
    <w:rsid w:val="00817610"/>
    <w:rsid w:val="0081765E"/>
    <w:rsid w:val="008179B6"/>
    <w:rsid w:val="00817C0E"/>
    <w:rsid w:val="00817CD1"/>
    <w:rsid w:val="00817D42"/>
    <w:rsid w:val="00817D57"/>
    <w:rsid w:val="00817E94"/>
    <w:rsid w:val="00817EF8"/>
    <w:rsid w:val="00817FBA"/>
    <w:rsid w:val="0082000B"/>
    <w:rsid w:val="008204EC"/>
    <w:rsid w:val="00820770"/>
    <w:rsid w:val="008208C7"/>
    <w:rsid w:val="00820F36"/>
    <w:rsid w:val="00820FA6"/>
    <w:rsid w:val="00821191"/>
    <w:rsid w:val="008213C9"/>
    <w:rsid w:val="00821911"/>
    <w:rsid w:val="00821A7C"/>
    <w:rsid w:val="00821AA3"/>
    <w:rsid w:val="00821CD0"/>
    <w:rsid w:val="00821D55"/>
    <w:rsid w:val="00821EC5"/>
    <w:rsid w:val="00821F26"/>
    <w:rsid w:val="0082204F"/>
    <w:rsid w:val="00822126"/>
    <w:rsid w:val="00822220"/>
    <w:rsid w:val="00822366"/>
    <w:rsid w:val="008226FC"/>
    <w:rsid w:val="00822802"/>
    <w:rsid w:val="00822835"/>
    <w:rsid w:val="00822BB3"/>
    <w:rsid w:val="00822C15"/>
    <w:rsid w:val="00822C41"/>
    <w:rsid w:val="00822C9E"/>
    <w:rsid w:val="00822D43"/>
    <w:rsid w:val="00822D93"/>
    <w:rsid w:val="00823118"/>
    <w:rsid w:val="008232B5"/>
    <w:rsid w:val="0082339C"/>
    <w:rsid w:val="008233EA"/>
    <w:rsid w:val="00823589"/>
    <w:rsid w:val="008236D1"/>
    <w:rsid w:val="008237F2"/>
    <w:rsid w:val="00823A01"/>
    <w:rsid w:val="00823C0A"/>
    <w:rsid w:val="00823C4A"/>
    <w:rsid w:val="0082415C"/>
    <w:rsid w:val="00824254"/>
    <w:rsid w:val="00824453"/>
    <w:rsid w:val="008244ED"/>
    <w:rsid w:val="008245B3"/>
    <w:rsid w:val="008247B6"/>
    <w:rsid w:val="00824A2B"/>
    <w:rsid w:val="00824BBA"/>
    <w:rsid w:val="00824C00"/>
    <w:rsid w:val="00824CF6"/>
    <w:rsid w:val="00824DE6"/>
    <w:rsid w:val="00824F0F"/>
    <w:rsid w:val="00825144"/>
    <w:rsid w:val="0082521A"/>
    <w:rsid w:val="0082527B"/>
    <w:rsid w:val="0082553D"/>
    <w:rsid w:val="00825554"/>
    <w:rsid w:val="008256E4"/>
    <w:rsid w:val="008256E9"/>
    <w:rsid w:val="00825809"/>
    <w:rsid w:val="008258EC"/>
    <w:rsid w:val="00825A03"/>
    <w:rsid w:val="00825C9B"/>
    <w:rsid w:val="00825D57"/>
    <w:rsid w:val="008261C3"/>
    <w:rsid w:val="00826318"/>
    <w:rsid w:val="0082639F"/>
    <w:rsid w:val="0082654D"/>
    <w:rsid w:val="008266B6"/>
    <w:rsid w:val="008267E9"/>
    <w:rsid w:val="00826B31"/>
    <w:rsid w:val="00826D04"/>
    <w:rsid w:val="00827017"/>
    <w:rsid w:val="008271EC"/>
    <w:rsid w:val="0082759B"/>
    <w:rsid w:val="00827774"/>
    <w:rsid w:val="008277F0"/>
    <w:rsid w:val="00827921"/>
    <w:rsid w:val="0082792B"/>
    <w:rsid w:val="00827940"/>
    <w:rsid w:val="008279FB"/>
    <w:rsid w:val="00827D67"/>
    <w:rsid w:val="00827DA5"/>
    <w:rsid w:val="00827E3B"/>
    <w:rsid w:val="00827E44"/>
    <w:rsid w:val="00827F02"/>
    <w:rsid w:val="008301E0"/>
    <w:rsid w:val="0083025B"/>
    <w:rsid w:val="00830568"/>
    <w:rsid w:val="0083064A"/>
    <w:rsid w:val="00830665"/>
    <w:rsid w:val="00830910"/>
    <w:rsid w:val="00830928"/>
    <w:rsid w:val="00830A52"/>
    <w:rsid w:val="00830BC9"/>
    <w:rsid w:val="00830C11"/>
    <w:rsid w:val="00830CDD"/>
    <w:rsid w:val="00830EB7"/>
    <w:rsid w:val="00830F33"/>
    <w:rsid w:val="0083105B"/>
    <w:rsid w:val="008312D7"/>
    <w:rsid w:val="008313DA"/>
    <w:rsid w:val="0083149E"/>
    <w:rsid w:val="008315C8"/>
    <w:rsid w:val="00831A79"/>
    <w:rsid w:val="00831BEF"/>
    <w:rsid w:val="00831C57"/>
    <w:rsid w:val="00831EA8"/>
    <w:rsid w:val="008320E2"/>
    <w:rsid w:val="00832246"/>
    <w:rsid w:val="0083225D"/>
    <w:rsid w:val="00832295"/>
    <w:rsid w:val="00832436"/>
    <w:rsid w:val="008325E6"/>
    <w:rsid w:val="00832632"/>
    <w:rsid w:val="00832636"/>
    <w:rsid w:val="00832646"/>
    <w:rsid w:val="00832761"/>
    <w:rsid w:val="008328AB"/>
    <w:rsid w:val="008328E3"/>
    <w:rsid w:val="00832A41"/>
    <w:rsid w:val="00832ABA"/>
    <w:rsid w:val="00832B78"/>
    <w:rsid w:val="00832B94"/>
    <w:rsid w:val="00832CB9"/>
    <w:rsid w:val="00832CD7"/>
    <w:rsid w:val="00832D3C"/>
    <w:rsid w:val="00832E3B"/>
    <w:rsid w:val="0083320C"/>
    <w:rsid w:val="008334DD"/>
    <w:rsid w:val="0083356F"/>
    <w:rsid w:val="0083363E"/>
    <w:rsid w:val="008337A2"/>
    <w:rsid w:val="008337E0"/>
    <w:rsid w:val="0083386D"/>
    <w:rsid w:val="00833A6B"/>
    <w:rsid w:val="00833AE8"/>
    <w:rsid w:val="00833B9B"/>
    <w:rsid w:val="00833D04"/>
    <w:rsid w:val="0083446A"/>
    <w:rsid w:val="008344CE"/>
    <w:rsid w:val="008345E7"/>
    <w:rsid w:val="0083475B"/>
    <w:rsid w:val="008349B1"/>
    <w:rsid w:val="00834D1E"/>
    <w:rsid w:val="00834D38"/>
    <w:rsid w:val="00834EA1"/>
    <w:rsid w:val="00834F61"/>
    <w:rsid w:val="0083507F"/>
    <w:rsid w:val="008351C3"/>
    <w:rsid w:val="008351EA"/>
    <w:rsid w:val="00835636"/>
    <w:rsid w:val="00835C67"/>
    <w:rsid w:val="00835D6B"/>
    <w:rsid w:val="00835F78"/>
    <w:rsid w:val="008360D1"/>
    <w:rsid w:val="0083615F"/>
    <w:rsid w:val="0083617D"/>
    <w:rsid w:val="0083618B"/>
    <w:rsid w:val="008361FE"/>
    <w:rsid w:val="0083635D"/>
    <w:rsid w:val="008363D7"/>
    <w:rsid w:val="008364D7"/>
    <w:rsid w:val="0083651E"/>
    <w:rsid w:val="00836715"/>
    <w:rsid w:val="008368B2"/>
    <w:rsid w:val="00836984"/>
    <w:rsid w:val="00836B56"/>
    <w:rsid w:val="00836C4B"/>
    <w:rsid w:val="00836C89"/>
    <w:rsid w:val="00836D33"/>
    <w:rsid w:val="00836EB7"/>
    <w:rsid w:val="00836FAD"/>
    <w:rsid w:val="0083715C"/>
    <w:rsid w:val="008375DF"/>
    <w:rsid w:val="008376E0"/>
    <w:rsid w:val="00837807"/>
    <w:rsid w:val="008378F2"/>
    <w:rsid w:val="00837914"/>
    <w:rsid w:val="008379B6"/>
    <w:rsid w:val="00837BD0"/>
    <w:rsid w:val="00837BE8"/>
    <w:rsid w:val="00837CB3"/>
    <w:rsid w:val="00837E08"/>
    <w:rsid w:val="00837E89"/>
    <w:rsid w:val="00837FF7"/>
    <w:rsid w:val="00840273"/>
    <w:rsid w:val="00840432"/>
    <w:rsid w:val="00840537"/>
    <w:rsid w:val="0084059C"/>
    <w:rsid w:val="0084064C"/>
    <w:rsid w:val="00840A3B"/>
    <w:rsid w:val="00840BB8"/>
    <w:rsid w:val="00840CB5"/>
    <w:rsid w:val="00840D85"/>
    <w:rsid w:val="008412A1"/>
    <w:rsid w:val="008413A9"/>
    <w:rsid w:val="008414F4"/>
    <w:rsid w:val="00841521"/>
    <w:rsid w:val="00841588"/>
    <w:rsid w:val="008416D6"/>
    <w:rsid w:val="00841A5B"/>
    <w:rsid w:val="00841A74"/>
    <w:rsid w:val="00841F35"/>
    <w:rsid w:val="00841F66"/>
    <w:rsid w:val="00841F97"/>
    <w:rsid w:val="00841FC6"/>
    <w:rsid w:val="0084213D"/>
    <w:rsid w:val="0084218F"/>
    <w:rsid w:val="00842347"/>
    <w:rsid w:val="008423F3"/>
    <w:rsid w:val="0084248C"/>
    <w:rsid w:val="00842519"/>
    <w:rsid w:val="008425B4"/>
    <w:rsid w:val="008426F3"/>
    <w:rsid w:val="00842843"/>
    <w:rsid w:val="00842961"/>
    <w:rsid w:val="00842AF3"/>
    <w:rsid w:val="00842B7E"/>
    <w:rsid w:val="00842B92"/>
    <w:rsid w:val="00842BF7"/>
    <w:rsid w:val="00842CCB"/>
    <w:rsid w:val="00842D17"/>
    <w:rsid w:val="00842E48"/>
    <w:rsid w:val="00842F66"/>
    <w:rsid w:val="00842F88"/>
    <w:rsid w:val="00842FC7"/>
    <w:rsid w:val="00843005"/>
    <w:rsid w:val="00843149"/>
    <w:rsid w:val="008432E2"/>
    <w:rsid w:val="00843896"/>
    <w:rsid w:val="00843A3E"/>
    <w:rsid w:val="00843B11"/>
    <w:rsid w:val="00843E06"/>
    <w:rsid w:val="00843EA2"/>
    <w:rsid w:val="00843EA5"/>
    <w:rsid w:val="00843F8B"/>
    <w:rsid w:val="00844078"/>
    <w:rsid w:val="008440A3"/>
    <w:rsid w:val="008440B3"/>
    <w:rsid w:val="008440CC"/>
    <w:rsid w:val="008444EC"/>
    <w:rsid w:val="00844523"/>
    <w:rsid w:val="008446C9"/>
    <w:rsid w:val="0084483E"/>
    <w:rsid w:val="0084484E"/>
    <w:rsid w:val="00844B65"/>
    <w:rsid w:val="00844BFB"/>
    <w:rsid w:val="00844C47"/>
    <w:rsid w:val="00844E09"/>
    <w:rsid w:val="00844FF6"/>
    <w:rsid w:val="00845072"/>
    <w:rsid w:val="008450D1"/>
    <w:rsid w:val="00845274"/>
    <w:rsid w:val="008452D7"/>
    <w:rsid w:val="00845335"/>
    <w:rsid w:val="008454EE"/>
    <w:rsid w:val="00845553"/>
    <w:rsid w:val="00845554"/>
    <w:rsid w:val="0084556C"/>
    <w:rsid w:val="0084568E"/>
    <w:rsid w:val="00845788"/>
    <w:rsid w:val="008457CF"/>
    <w:rsid w:val="0084580E"/>
    <w:rsid w:val="008458BC"/>
    <w:rsid w:val="0084593F"/>
    <w:rsid w:val="00845946"/>
    <w:rsid w:val="00845C0F"/>
    <w:rsid w:val="00845C4D"/>
    <w:rsid w:val="00845F95"/>
    <w:rsid w:val="008460F1"/>
    <w:rsid w:val="008461FD"/>
    <w:rsid w:val="0084647E"/>
    <w:rsid w:val="008464E7"/>
    <w:rsid w:val="008464FD"/>
    <w:rsid w:val="008465CE"/>
    <w:rsid w:val="0084665A"/>
    <w:rsid w:val="0084676E"/>
    <w:rsid w:val="008468BA"/>
    <w:rsid w:val="00846968"/>
    <w:rsid w:val="00846A01"/>
    <w:rsid w:val="00846BAF"/>
    <w:rsid w:val="00846F5A"/>
    <w:rsid w:val="00847281"/>
    <w:rsid w:val="00847492"/>
    <w:rsid w:val="008474E6"/>
    <w:rsid w:val="00847748"/>
    <w:rsid w:val="0084777C"/>
    <w:rsid w:val="00847786"/>
    <w:rsid w:val="008477C2"/>
    <w:rsid w:val="0084781F"/>
    <w:rsid w:val="00847844"/>
    <w:rsid w:val="008478AE"/>
    <w:rsid w:val="00847AE5"/>
    <w:rsid w:val="00847B0B"/>
    <w:rsid w:val="00847B89"/>
    <w:rsid w:val="00847B9D"/>
    <w:rsid w:val="00847BF2"/>
    <w:rsid w:val="008500F8"/>
    <w:rsid w:val="00850193"/>
    <w:rsid w:val="008502D8"/>
    <w:rsid w:val="00850338"/>
    <w:rsid w:val="00850347"/>
    <w:rsid w:val="00850378"/>
    <w:rsid w:val="00850407"/>
    <w:rsid w:val="00850855"/>
    <w:rsid w:val="008508A0"/>
    <w:rsid w:val="00850928"/>
    <w:rsid w:val="00850980"/>
    <w:rsid w:val="00850ADC"/>
    <w:rsid w:val="00850D88"/>
    <w:rsid w:val="00850FAD"/>
    <w:rsid w:val="0085102E"/>
    <w:rsid w:val="00851052"/>
    <w:rsid w:val="00851166"/>
    <w:rsid w:val="00851229"/>
    <w:rsid w:val="00851271"/>
    <w:rsid w:val="008516DD"/>
    <w:rsid w:val="00851724"/>
    <w:rsid w:val="0085172B"/>
    <w:rsid w:val="008517F6"/>
    <w:rsid w:val="008517FC"/>
    <w:rsid w:val="00851B47"/>
    <w:rsid w:val="00851BFE"/>
    <w:rsid w:val="00851C5A"/>
    <w:rsid w:val="00851DD5"/>
    <w:rsid w:val="00851F7B"/>
    <w:rsid w:val="0085202C"/>
    <w:rsid w:val="008521EA"/>
    <w:rsid w:val="0085225F"/>
    <w:rsid w:val="00852260"/>
    <w:rsid w:val="0085238E"/>
    <w:rsid w:val="00852530"/>
    <w:rsid w:val="008527F4"/>
    <w:rsid w:val="00852830"/>
    <w:rsid w:val="008529AD"/>
    <w:rsid w:val="008529CC"/>
    <w:rsid w:val="008529FC"/>
    <w:rsid w:val="00852B06"/>
    <w:rsid w:val="00852C08"/>
    <w:rsid w:val="00852C8E"/>
    <w:rsid w:val="00852DBE"/>
    <w:rsid w:val="00852E6E"/>
    <w:rsid w:val="00852ED9"/>
    <w:rsid w:val="008530B9"/>
    <w:rsid w:val="00853179"/>
    <w:rsid w:val="0085320C"/>
    <w:rsid w:val="00853578"/>
    <w:rsid w:val="0085372F"/>
    <w:rsid w:val="0085381B"/>
    <w:rsid w:val="008538D2"/>
    <w:rsid w:val="00853C17"/>
    <w:rsid w:val="00853DBC"/>
    <w:rsid w:val="00854263"/>
    <w:rsid w:val="0085447C"/>
    <w:rsid w:val="008545C1"/>
    <w:rsid w:val="008546C6"/>
    <w:rsid w:val="0085472D"/>
    <w:rsid w:val="00854749"/>
    <w:rsid w:val="00854864"/>
    <w:rsid w:val="0085493D"/>
    <w:rsid w:val="00854BC6"/>
    <w:rsid w:val="00854C6F"/>
    <w:rsid w:val="00854E6F"/>
    <w:rsid w:val="00854F13"/>
    <w:rsid w:val="00854FDA"/>
    <w:rsid w:val="00855316"/>
    <w:rsid w:val="0085534B"/>
    <w:rsid w:val="008553A6"/>
    <w:rsid w:val="00855416"/>
    <w:rsid w:val="00855464"/>
    <w:rsid w:val="00855670"/>
    <w:rsid w:val="0085573A"/>
    <w:rsid w:val="00855954"/>
    <w:rsid w:val="00855A0E"/>
    <w:rsid w:val="00855B63"/>
    <w:rsid w:val="00855C1E"/>
    <w:rsid w:val="00855DC1"/>
    <w:rsid w:val="00855DFB"/>
    <w:rsid w:val="0085614F"/>
    <w:rsid w:val="00856212"/>
    <w:rsid w:val="008563F0"/>
    <w:rsid w:val="00856469"/>
    <w:rsid w:val="0085659F"/>
    <w:rsid w:val="00856632"/>
    <w:rsid w:val="0085671C"/>
    <w:rsid w:val="008568AB"/>
    <w:rsid w:val="00856A7E"/>
    <w:rsid w:val="00856A9C"/>
    <w:rsid w:val="00856AA8"/>
    <w:rsid w:val="00856ACE"/>
    <w:rsid w:val="00856ACF"/>
    <w:rsid w:val="00856BE2"/>
    <w:rsid w:val="00856CAB"/>
    <w:rsid w:val="00856D5B"/>
    <w:rsid w:val="00856EA0"/>
    <w:rsid w:val="0085702F"/>
    <w:rsid w:val="00857085"/>
    <w:rsid w:val="008571C0"/>
    <w:rsid w:val="0085722F"/>
    <w:rsid w:val="008572F7"/>
    <w:rsid w:val="008573EC"/>
    <w:rsid w:val="0085768B"/>
    <w:rsid w:val="008576FB"/>
    <w:rsid w:val="0085776B"/>
    <w:rsid w:val="0085777C"/>
    <w:rsid w:val="00857A58"/>
    <w:rsid w:val="00857D84"/>
    <w:rsid w:val="00857DF5"/>
    <w:rsid w:val="00857F85"/>
    <w:rsid w:val="00860088"/>
    <w:rsid w:val="0086019F"/>
    <w:rsid w:val="0086035D"/>
    <w:rsid w:val="00860367"/>
    <w:rsid w:val="00860379"/>
    <w:rsid w:val="0086044A"/>
    <w:rsid w:val="008605F1"/>
    <w:rsid w:val="00860614"/>
    <w:rsid w:val="00860850"/>
    <w:rsid w:val="008609B1"/>
    <w:rsid w:val="008609D3"/>
    <w:rsid w:val="00860B4C"/>
    <w:rsid w:val="00860D03"/>
    <w:rsid w:val="00860D19"/>
    <w:rsid w:val="00860E2D"/>
    <w:rsid w:val="00860E9F"/>
    <w:rsid w:val="00860EF1"/>
    <w:rsid w:val="00861004"/>
    <w:rsid w:val="00861253"/>
    <w:rsid w:val="00861259"/>
    <w:rsid w:val="008613B1"/>
    <w:rsid w:val="0086156C"/>
    <w:rsid w:val="008616DD"/>
    <w:rsid w:val="00861765"/>
    <w:rsid w:val="0086194C"/>
    <w:rsid w:val="00861B78"/>
    <w:rsid w:val="00861BA5"/>
    <w:rsid w:val="00861C35"/>
    <w:rsid w:val="00861E6F"/>
    <w:rsid w:val="00861EE4"/>
    <w:rsid w:val="008621B3"/>
    <w:rsid w:val="00862214"/>
    <w:rsid w:val="00862217"/>
    <w:rsid w:val="0086254A"/>
    <w:rsid w:val="008625C7"/>
    <w:rsid w:val="0086263A"/>
    <w:rsid w:val="0086264F"/>
    <w:rsid w:val="00862795"/>
    <w:rsid w:val="00862821"/>
    <w:rsid w:val="008628D9"/>
    <w:rsid w:val="00862AFF"/>
    <w:rsid w:val="00862B99"/>
    <w:rsid w:val="00862C28"/>
    <w:rsid w:val="00862E1F"/>
    <w:rsid w:val="00862EA5"/>
    <w:rsid w:val="00862EC1"/>
    <w:rsid w:val="00862ED4"/>
    <w:rsid w:val="008631BA"/>
    <w:rsid w:val="008632ED"/>
    <w:rsid w:val="0086358D"/>
    <w:rsid w:val="008635C6"/>
    <w:rsid w:val="008635E3"/>
    <w:rsid w:val="00863731"/>
    <w:rsid w:val="0086391F"/>
    <w:rsid w:val="00863BBB"/>
    <w:rsid w:val="00863BE1"/>
    <w:rsid w:val="00863FA6"/>
    <w:rsid w:val="008640E1"/>
    <w:rsid w:val="00864244"/>
    <w:rsid w:val="0086483F"/>
    <w:rsid w:val="008649E9"/>
    <w:rsid w:val="00864D2F"/>
    <w:rsid w:val="00864DFB"/>
    <w:rsid w:val="00864FE3"/>
    <w:rsid w:val="00865128"/>
    <w:rsid w:val="008653A4"/>
    <w:rsid w:val="0086541E"/>
    <w:rsid w:val="008654CE"/>
    <w:rsid w:val="00865515"/>
    <w:rsid w:val="00865816"/>
    <w:rsid w:val="00865A57"/>
    <w:rsid w:val="00865A9B"/>
    <w:rsid w:val="00865AB8"/>
    <w:rsid w:val="00865B7D"/>
    <w:rsid w:val="00865CA8"/>
    <w:rsid w:val="00865DF8"/>
    <w:rsid w:val="00866035"/>
    <w:rsid w:val="00866036"/>
    <w:rsid w:val="00866084"/>
    <w:rsid w:val="00866156"/>
    <w:rsid w:val="0086626D"/>
    <w:rsid w:val="00866371"/>
    <w:rsid w:val="0086644A"/>
    <w:rsid w:val="00866496"/>
    <w:rsid w:val="008665FB"/>
    <w:rsid w:val="0086669A"/>
    <w:rsid w:val="008666E3"/>
    <w:rsid w:val="00866862"/>
    <w:rsid w:val="00866AE1"/>
    <w:rsid w:val="00866BB4"/>
    <w:rsid w:val="00866C11"/>
    <w:rsid w:val="00866E12"/>
    <w:rsid w:val="00866EFC"/>
    <w:rsid w:val="00866F40"/>
    <w:rsid w:val="008670FE"/>
    <w:rsid w:val="008671AE"/>
    <w:rsid w:val="00867323"/>
    <w:rsid w:val="00867456"/>
    <w:rsid w:val="008674A1"/>
    <w:rsid w:val="00867599"/>
    <w:rsid w:val="00867925"/>
    <w:rsid w:val="008679FE"/>
    <w:rsid w:val="00867ADB"/>
    <w:rsid w:val="00867B78"/>
    <w:rsid w:val="00867BD7"/>
    <w:rsid w:val="00867C08"/>
    <w:rsid w:val="00867C15"/>
    <w:rsid w:val="00867E83"/>
    <w:rsid w:val="00867FC4"/>
    <w:rsid w:val="00870045"/>
    <w:rsid w:val="008700B5"/>
    <w:rsid w:val="00870152"/>
    <w:rsid w:val="008701FC"/>
    <w:rsid w:val="00870302"/>
    <w:rsid w:val="00870322"/>
    <w:rsid w:val="00870340"/>
    <w:rsid w:val="00870360"/>
    <w:rsid w:val="00870387"/>
    <w:rsid w:val="00870682"/>
    <w:rsid w:val="008709A1"/>
    <w:rsid w:val="008709E1"/>
    <w:rsid w:val="00870A44"/>
    <w:rsid w:val="00870A8B"/>
    <w:rsid w:val="00870AE5"/>
    <w:rsid w:val="00870B30"/>
    <w:rsid w:val="00870B7B"/>
    <w:rsid w:val="00870D15"/>
    <w:rsid w:val="00870D9E"/>
    <w:rsid w:val="00870DEC"/>
    <w:rsid w:val="00871221"/>
    <w:rsid w:val="008712CD"/>
    <w:rsid w:val="00871574"/>
    <w:rsid w:val="008719F1"/>
    <w:rsid w:val="00871A12"/>
    <w:rsid w:val="00871AA0"/>
    <w:rsid w:val="00871E6B"/>
    <w:rsid w:val="00871F9E"/>
    <w:rsid w:val="008722A1"/>
    <w:rsid w:val="00872341"/>
    <w:rsid w:val="008723BE"/>
    <w:rsid w:val="0087242D"/>
    <w:rsid w:val="008725E5"/>
    <w:rsid w:val="00872634"/>
    <w:rsid w:val="008728FB"/>
    <w:rsid w:val="00872AF9"/>
    <w:rsid w:val="00872B4D"/>
    <w:rsid w:val="00872BA8"/>
    <w:rsid w:val="00872CB1"/>
    <w:rsid w:val="00872EFE"/>
    <w:rsid w:val="00872F17"/>
    <w:rsid w:val="00872F42"/>
    <w:rsid w:val="00872F4B"/>
    <w:rsid w:val="00872FA9"/>
    <w:rsid w:val="00872FC5"/>
    <w:rsid w:val="00873005"/>
    <w:rsid w:val="008732F5"/>
    <w:rsid w:val="008732F7"/>
    <w:rsid w:val="008733FD"/>
    <w:rsid w:val="008734B7"/>
    <w:rsid w:val="008735B4"/>
    <w:rsid w:val="008735E2"/>
    <w:rsid w:val="0087360E"/>
    <w:rsid w:val="0087361B"/>
    <w:rsid w:val="00873632"/>
    <w:rsid w:val="008739E1"/>
    <w:rsid w:val="00873B94"/>
    <w:rsid w:val="00873C1B"/>
    <w:rsid w:val="00873D87"/>
    <w:rsid w:val="00873F2C"/>
    <w:rsid w:val="00873F61"/>
    <w:rsid w:val="008740A3"/>
    <w:rsid w:val="0087436B"/>
    <w:rsid w:val="0087438C"/>
    <w:rsid w:val="008743D3"/>
    <w:rsid w:val="0087440A"/>
    <w:rsid w:val="00874424"/>
    <w:rsid w:val="00874434"/>
    <w:rsid w:val="00874461"/>
    <w:rsid w:val="00874555"/>
    <w:rsid w:val="00874625"/>
    <w:rsid w:val="00874775"/>
    <w:rsid w:val="008748CF"/>
    <w:rsid w:val="00874907"/>
    <w:rsid w:val="00874933"/>
    <w:rsid w:val="008749ED"/>
    <w:rsid w:val="00874A2E"/>
    <w:rsid w:val="00874D50"/>
    <w:rsid w:val="00874E33"/>
    <w:rsid w:val="00874F47"/>
    <w:rsid w:val="00874F83"/>
    <w:rsid w:val="00874FBE"/>
    <w:rsid w:val="0087501C"/>
    <w:rsid w:val="00875070"/>
    <w:rsid w:val="00875376"/>
    <w:rsid w:val="00875452"/>
    <w:rsid w:val="008754AA"/>
    <w:rsid w:val="00875560"/>
    <w:rsid w:val="00875585"/>
    <w:rsid w:val="00875649"/>
    <w:rsid w:val="0087566C"/>
    <w:rsid w:val="00875774"/>
    <w:rsid w:val="00875B9E"/>
    <w:rsid w:val="00875C23"/>
    <w:rsid w:val="00875CCD"/>
    <w:rsid w:val="00875E75"/>
    <w:rsid w:val="00875F9D"/>
    <w:rsid w:val="00875FBC"/>
    <w:rsid w:val="008760C6"/>
    <w:rsid w:val="00876450"/>
    <w:rsid w:val="00876585"/>
    <w:rsid w:val="00876612"/>
    <w:rsid w:val="00876659"/>
    <w:rsid w:val="008767A6"/>
    <w:rsid w:val="008768A5"/>
    <w:rsid w:val="00876B28"/>
    <w:rsid w:val="00876BB1"/>
    <w:rsid w:val="00876BD3"/>
    <w:rsid w:val="00876BEB"/>
    <w:rsid w:val="00876CF2"/>
    <w:rsid w:val="00876D17"/>
    <w:rsid w:val="00877097"/>
    <w:rsid w:val="008772A4"/>
    <w:rsid w:val="00877722"/>
    <w:rsid w:val="008777B5"/>
    <w:rsid w:val="008779F1"/>
    <w:rsid w:val="00877EB2"/>
    <w:rsid w:val="00880047"/>
    <w:rsid w:val="00880058"/>
    <w:rsid w:val="00880163"/>
    <w:rsid w:val="00880329"/>
    <w:rsid w:val="00880720"/>
    <w:rsid w:val="00880886"/>
    <w:rsid w:val="008808C4"/>
    <w:rsid w:val="00880AAF"/>
    <w:rsid w:val="00880BE6"/>
    <w:rsid w:val="00880DA3"/>
    <w:rsid w:val="00880EAE"/>
    <w:rsid w:val="00880EBE"/>
    <w:rsid w:val="00880FC5"/>
    <w:rsid w:val="0088110E"/>
    <w:rsid w:val="00881138"/>
    <w:rsid w:val="008811D0"/>
    <w:rsid w:val="00881BF8"/>
    <w:rsid w:val="00881D96"/>
    <w:rsid w:val="00881FEC"/>
    <w:rsid w:val="008820B1"/>
    <w:rsid w:val="00882517"/>
    <w:rsid w:val="008827B8"/>
    <w:rsid w:val="0088285A"/>
    <w:rsid w:val="008828D2"/>
    <w:rsid w:val="00882927"/>
    <w:rsid w:val="00882C34"/>
    <w:rsid w:val="00882F9F"/>
    <w:rsid w:val="008830C1"/>
    <w:rsid w:val="00883349"/>
    <w:rsid w:val="0088343E"/>
    <w:rsid w:val="00883587"/>
    <w:rsid w:val="00883C12"/>
    <w:rsid w:val="00883CE7"/>
    <w:rsid w:val="00883D73"/>
    <w:rsid w:val="00883E1D"/>
    <w:rsid w:val="0088432B"/>
    <w:rsid w:val="00884358"/>
    <w:rsid w:val="008843AB"/>
    <w:rsid w:val="008843D6"/>
    <w:rsid w:val="008844E8"/>
    <w:rsid w:val="0088470F"/>
    <w:rsid w:val="008847ED"/>
    <w:rsid w:val="00884831"/>
    <w:rsid w:val="008848A2"/>
    <w:rsid w:val="00884973"/>
    <w:rsid w:val="00884B44"/>
    <w:rsid w:val="00884B82"/>
    <w:rsid w:val="00884C24"/>
    <w:rsid w:val="00884D03"/>
    <w:rsid w:val="00884D9B"/>
    <w:rsid w:val="00884EC9"/>
    <w:rsid w:val="00884F18"/>
    <w:rsid w:val="00885346"/>
    <w:rsid w:val="00885611"/>
    <w:rsid w:val="00885632"/>
    <w:rsid w:val="00885AFF"/>
    <w:rsid w:val="00885B28"/>
    <w:rsid w:val="00885B82"/>
    <w:rsid w:val="00885DF0"/>
    <w:rsid w:val="00885E75"/>
    <w:rsid w:val="00885FC4"/>
    <w:rsid w:val="00885FD9"/>
    <w:rsid w:val="008861CC"/>
    <w:rsid w:val="0088623D"/>
    <w:rsid w:val="00886494"/>
    <w:rsid w:val="008864CF"/>
    <w:rsid w:val="008865E4"/>
    <w:rsid w:val="008868CE"/>
    <w:rsid w:val="00886965"/>
    <w:rsid w:val="00886ACE"/>
    <w:rsid w:val="00886BF4"/>
    <w:rsid w:val="00886C2F"/>
    <w:rsid w:val="00886DF3"/>
    <w:rsid w:val="00886E63"/>
    <w:rsid w:val="00886F48"/>
    <w:rsid w:val="00886F8E"/>
    <w:rsid w:val="0088703C"/>
    <w:rsid w:val="00887250"/>
    <w:rsid w:val="00887257"/>
    <w:rsid w:val="008872DB"/>
    <w:rsid w:val="00887347"/>
    <w:rsid w:val="0088742C"/>
    <w:rsid w:val="008874AA"/>
    <w:rsid w:val="0088754D"/>
    <w:rsid w:val="0088765F"/>
    <w:rsid w:val="008877FF"/>
    <w:rsid w:val="0088780D"/>
    <w:rsid w:val="00887867"/>
    <w:rsid w:val="00887869"/>
    <w:rsid w:val="00887A84"/>
    <w:rsid w:val="00887BE4"/>
    <w:rsid w:val="00887C73"/>
    <w:rsid w:val="00887DE8"/>
    <w:rsid w:val="00887F16"/>
    <w:rsid w:val="00887F4D"/>
    <w:rsid w:val="0089007C"/>
    <w:rsid w:val="008900E8"/>
    <w:rsid w:val="0089087C"/>
    <w:rsid w:val="00890BF0"/>
    <w:rsid w:val="00890C65"/>
    <w:rsid w:val="00890CC7"/>
    <w:rsid w:val="00890E27"/>
    <w:rsid w:val="00890E43"/>
    <w:rsid w:val="00890FE4"/>
    <w:rsid w:val="00891073"/>
    <w:rsid w:val="008910E9"/>
    <w:rsid w:val="00891118"/>
    <w:rsid w:val="00891250"/>
    <w:rsid w:val="008912C1"/>
    <w:rsid w:val="0089132A"/>
    <w:rsid w:val="00891538"/>
    <w:rsid w:val="00891644"/>
    <w:rsid w:val="0089172F"/>
    <w:rsid w:val="0089179E"/>
    <w:rsid w:val="008917B3"/>
    <w:rsid w:val="00891825"/>
    <w:rsid w:val="008918D0"/>
    <w:rsid w:val="00891A19"/>
    <w:rsid w:val="00891D98"/>
    <w:rsid w:val="00891DD6"/>
    <w:rsid w:val="00891DF6"/>
    <w:rsid w:val="00891F62"/>
    <w:rsid w:val="0089225D"/>
    <w:rsid w:val="008922CA"/>
    <w:rsid w:val="00892340"/>
    <w:rsid w:val="0089247D"/>
    <w:rsid w:val="0089268A"/>
    <w:rsid w:val="008926C6"/>
    <w:rsid w:val="008926D1"/>
    <w:rsid w:val="008927FC"/>
    <w:rsid w:val="00892A7B"/>
    <w:rsid w:val="00892C32"/>
    <w:rsid w:val="00892F43"/>
    <w:rsid w:val="00892FCB"/>
    <w:rsid w:val="00892FEE"/>
    <w:rsid w:val="008930AF"/>
    <w:rsid w:val="008936FB"/>
    <w:rsid w:val="00893718"/>
    <w:rsid w:val="0089372B"/>
    <w:rsid w:val="008939D2"/>
    <w:rsid w:val="00893B2F"/>
    <w:rsid w:val="00893BBA"/>
    <w:rsid w:val="00893CEF"/>
    <w:rsid w:val="00893DB9"/>
    <w:rsid w:val="00894095"/>
    <w:rsid w:val="00894143"/>
    <w:rsid w:val="008941A6"/>
    <w:rsid w:val="0089424A"/>
    <w:rsid w:val="0089440B"/>
    <w:rsid w:val="0089450D"/>
    <w:rsid w:val="008945A3"/>
    <w:rsid w:val="00894689"/>
    <w:rsid w:val="008946B6"/>
    <w:rsid w:val="008949C8"/>
    <w:rsid w:val="00894AB4"/>
    <w:rsid w:val="00894D96"/>
    <w:rsid w:val="00894EFF"/>
    <w:rsid w:val="00895047"/>
    <w:rsid w:val="0089517D"/>
    <w:rsid w:val="008952CE"/>
    <w:rsid w:val="0089539B"/>
    <w:rsid w:val="008953EE"/>
    <w:rsid w:val="00895445"/>
    <w:rsid w:val="0089551D"/>
    <w:rsid w:val="008955AF"/>
    <w:rsid w:val="0089583D"/>
    <w:rsid w:val="0089586D"/>
    <w:rsid w:val="00895884"/>
    <w:rsid w:val="00895977"/>
    <w:rsid w:val="00895A3E"/>
    <w:rsid w:val="00895B7A"/>
    <w:rsid w:val="00895BC3"/>
    <w:rsid w:val="00895E39"/>
    <w:rsid w:val="00896226"/>
    <w:rsid w:val="008962E4"/>
    <w:rsid w:val="0089634C"/>
    <w:rsid w:val="0089639C"/>
    <w:rsid w:val="00896436"/>
    <w:rsid w:val="0089676D"/>
    <w:rsid w:val="0089681A"/>
    <w:rsid w:val="00896B03"/>
    <w:rsid w:val="00896BAE"/>
    <w:rsid w:val="00896BD2"/>
    <w:rsid w:val="00896D25"/>
    <w:rsid w:val="00896F8E"/>
    <w:rsid w:val="00896FCE"/>
    <w:rsid w:val="00897066"/>
    <w:rsid w:val="00897074"/>
    <w:rsid w:val="008970D9"/>
    <w:rsid w:val="0089712B"/>
    <w:rsid w:val="0089718A"/>
    <w:rsid w:val="00897218"/>
    <w:rsid w:val="00897562"/>
    <w:rsid w:val="008975E5"/>
    <w:rsid w:val="00897ECE"/>
    <w:rsid w:val="008A010A"/>
    <w:rsid w:val="008A027C"/>
    <w:rsid w:val="008A045D"/>
    <w:rsid w:val="008A05AD"/>
    <w:rsid w:val="008A07C7"/>
    <w:rsid w:val="008A0BB0"/>
    <w:rsid w:val="008A0BF0"/>
    <w:rsid w:val="008A0C89"/>
    <w:rsid w:val="008A0DAB"/>
    <w:rsid w:val="008A0DAE"/>
    <w:rsid w:val="008A0E45"/>
    <w:rsid w:val="008A0E4B"/>
    <w:rsid w:val="008A1016"/>
    <w:rsid w:val="008A1255"/>
    <w:rsid w:val="008A127C"/>
    <w:rsid w:val="008A1356"/>
    <w:rsid w:val="008A13DD"/>
    <w:rsid w:val="008A1959"/>
    <w:rsid w:val="008A1979"/>
    <w:rsid w:val="008A1AC8"/>
    <w:rsid w:val="008A1B14"/>
    <w:rsid w:val="008A1BDB"/>
    <w:rsid w:val="008A1C34"/>
    <w:rsid w:val="008A1CEA"/>
    <w:rsid w:val="008A1E9A"/>
    <w:rsid w:val="008A201C"/>
    <w:rsid w:val="008A2394"/>
    <w:rsid w:val="008A2527"/>
    <w:rsid w:val="008A2637"/>
    <w:rsid w:val="008A26C3"/>
    <w:rsid w:val="008A26EA"/>
    <w:rsid w:val="008A2853"/>
    <w:rsid w:val="008A286B"/>
    <w:rsid w:val="008A29AA"/>
    <w:rsid w:val="008A2A82"/>
    <w:rsid w:val="008A2B2E"/>
    <w:rsid w:val="008A2BD4"/>
    <w:rsid w:val="008A2EC1"/>
    <w:rsid w:val="008A311A"/>
    <w:rsid w:val="008A3265"/>
    <w:rsid w:val="008A3299"/>
    <w:rsid w:val="008A34A7"/>
    <w:rsid w:val="008A355F"/>
    <w:rsid w:val="008A3674"/>
    <w:rsid w:val="008A370C"/>
    <w:rsid w:val="008A3791"/>
    <w:rsid w:val="008A37CE"/>
    <w:rsid w:val="008A3B11"/>
    <w:rsid w:val="008A3B52"/>
    <w:rsid w:val="008A3C9D"/>
    <w:rsid w:val="008A3CE6"/>
    <w:rsid w:val="008A3E9F"/>
    <w:rsid w:val="008A4063"/>
    <w:rsid w:val="008A4111"/>
    <w:rsid w:val="008A4220"/>
    <w:rsid w:val="008A4494"/>
    <w:rsid w:val="008A44A3"/>
    <w:rsid w:val="008A4B99"/>
    <w:rsid w:val="008A4D6A"/>
    <w:rsid w:val="008A4DDB"/>
    <w:rsid w:val="008A4E96"/>
    <w:rsid w:val="008A4F6C"/>
    <w:rsid w:val="008A5096"/>
    <w:rsid w:val="008A511E"/>
    <w:rsid w:val="008A5214"/>
    <w:rsid w:val="008A5543"/>
    <w:rsid w:val="008A559B"/>
    <w:rsid w:val="008A580F"/>
    <w:rsid w:val="008A5BDA"/>
    <w:rsid w:val="008A5C67"/>
    <w:rsid w:val="008A5D93"/>
    <w:rsid w:val="008A5DAB"/>
    <w:rsid w:val="008A5E21"/>
    <w:rsid w:val="008A5F3A"/>
    <w:rsid w:val="008A61CE"/>
    <w:rsid w:val="008A6593"/>
    <w:rsid w:val="008A6726"/>
    <w:rsid w:val="008A696F"/>
    <w:rsid w:val="008A6A38"/>
    <w:rsid w:val="008A6A9C"/>
    <w:rsid w:val="008A6B43"/>
    <w:rsid w:val="008A702D"/>
    <w:rsid w:val="008A70FD"/>
    <w:rsid w:val="008A716C"/>
    <w:rsid w:val="008A7228"/>
    <w:rsid w:val="008A7566"/>
    <w:rsid w:val="008A75E7"/>
    <w:rsid w:val="008A793A"/>
    <w:rsid w:val="008A7A65"/>
    <w:rsid w:val="008A7B46"/>
    <w:rsid w:val="008A7D5D"/>
    <w:rsid w:val="008A7DB0"/>
    <w:rsid w:val="008A7DD4"/>
    <w:rsid w:val="008A7F68"/>
    <w:rsid w:val="008A7F70"/>
    <w:rsid w:val="008B0783"/>
    <w:rsid w:val="008B0842"/>
    <w:rsid w:val="008B09BA"/>
    <w:rsid w:val="008B0A9E"/>
    <w:rsid w:val="008B0B08"/>
    <w:rsid w:val="008B0F72"/>
    <w:rsid w:val="008B0FBB"/>
    <w:rsid w:val="008B12D4"/>
    <w:rsid w:val="008B12F8"/>
    <w:rsid w:val="008B1695"/>
    <w:rsid w:val="008B1735"/>
    <w:rsid w:val="008B19EC"/>
    <w:rsid w:val="008B1AB6"/>
    <w:rsid w:val="008B1B60"/>
    <w:rsid w:val="008B1BA1"/>
    <w:rsid w:val="008B1D33"/>
    <w:rsid w:val="008B1F43"/>
    <w:rsid w:val="008B1F97"/>
    <w:rsid w:val="008B2382"/>
    <w:rsid w:val="008B23A4"/>
    <w:rsid w:val="008B24BF"/>
    <w:rsid w:val="008B2529"/>
    <w:rsid w:val="008B270D"/>
    <w:rsid w:val="008B2814"/>
    <w:rsid w:val="008B29D1"/>
    <w:rsid w:val="008B2C2F"/>
    <w:rsid w:val="008B2C92"/>
    <w:rsid w:val="008B2CC1"/>
    <w:rsid w:val="008B2F50"/>
    <w:rsid w:val="008B3087"/>
    <w:rsid w:val="008B3119"/>
    <w:rsid w:val="008B3130"/>
    <w:rsid w:val="008B3171"/>
    <w:rsid w:val="008B31E4"/>
    <w:rsid w:val="008B372C"/>
    <w:rsid w:val="008B3754"/>
    <w:rsid w:val="008B3840"/>
    <w:rsid w:val="008B395A"/>
    <w:rsid w:val="008B399C"/>
    <w:rsid w:val="008B3A5F"/>
    <w:rsid w:val="008B3C97"/>
    <w:rsid w:val="008B3CAB"/>
    <w:rsid w:val="008B3CBE"/>
    <w:rsid w:val="008B41AF"/>
    <w:rsid w:val="008B41DA"/>
    <w:rsid w:val="008B4383"/>
    <w:rsid w:val="008B4682"/>
    <w:rsid w:val="008B4988"/>
    <w:rsid w:val="008B4A1E"/>
    <w:rsid w:val="008B4A3B"/>
    <w:rsid w:val="008B4AF3"/>
    <w:rsid w:val="008B4BA5"/>
    <w:rsid w:val="008B4EDA"/>
    <w:rsid w:val="008B4F8A"/>
    <w:rsid w:val="008B581B"/>
    <w:rsid w:val="008B592D"/>
    <w:rsid w:val="008B594C"/>
    <w:rsid w:val="008B5B9F"/>
    <w:rsid w:val="008B5BED"/>
    <w:rsid w:val="008B5C69"/>
    <w:rsid w:val="008B5D38"/>
    <w:rsid w:val="008B5DBA"/>
    <w:rsid w:val="008B5F08"/>
    <w:rsid w:val="008B6143"/>
    <w:rsid w:val="008B61C1"/>
    <w:rsid w:val="008B642F"/>
    <w:rsid w:val="008B6841"/>
    <w:rsid w:val="008B6B2F"/>
    <w:rsid w:val="008B6BFB"/>
    <w:rsid w:val="008B6D2D"/>
    <w:rsid w:val="008B6D94"/>
    <w:rsid w:val="008B6DF8"/>
    <w:rsid w:val="008B6E96"/>
    <w:rsid w:val="008B6F0B"/>
    <w:rsid w:val="008B6F8C"/>
    <w:rsid w:val="008B7161"/>
    <w:rsid w:val="008B7433"/>
    <w:rsid w:val="008B7649"/>
    <w:rsid w:val="008B7B6B"/>
    <w:rsid w:val="008B7D9B"/>
    <w:rsid w:val="008B7DAC"/>
    <w:rsid w:val="008B7E0D"/>
    <w:rsid w:val="008B7F1D"/>
    <w:rsid w:val="008C00E5"/>
    <w:rsid w:val="008C00F5"/>
    <w:rsid w:val="008C0109"/>
    <w:rsid w:val="008C0327"/>
    <w:rsid w:val="008C0341"/>
    <w:rsid w:val="008C0475"/>
    <w:rsid w:val="008C0641"/>
    <w:rsid w:val="008C06AA"/>
    <w:rsid w:val="008C06EE"/>
    <w:rsid w:val="008C0788"/>
    <w:rsid w:val="008C0896"/>
    <w:rsid w:val="008C08B4"/>
    <w:rsid w:val="008C08E0"/>
    <w:rsid w:val="008C0A2E"/>
    <w:rsid w:val="008C0A95"/>
    <w:rsid w:val="008C0C32"/>
    <w:rsid w:val="008C0D7C"/>
    <w:rsid w:val="008C0DCA"/>
    <w:rsid w:val="008C10C3"/>
    <w:rsid w:val="008C1261"/>
    <w:rsid w:val="008C1434"/>
    <w:rsid w:val="008C151A"/>
    <w:rsid w:val="008C1541"/>
    <w:rsid w:val="008C18E8"/>
    <w:rsid w:val="008C18E9"/>
    <w:rsid w:val="008C1953"/>
    <w:rsid w:val="008C19F7"/>
    <w:rsid w:val="008C1A1A"/>
    <w:rsid w:val="008C1F22"/>
    <w:rsid w:val="008C2186"/>
    <w:rsid w:val="008C2226"/>
    <w:rsid w:val="008C23B3"/>
    <w:rsid w:val="008C24AD"/>
    <w:rsid w:val="008C25DF"/>
    <w:rsid w:val="008C269C"/>
    <w:rsid w:val="008C27CB"/>
    <w:rsid w:val="008C289C"/>
    <w:rsid w:val="008C28A1"/>
    <w:rsid w:val="008C2CE1"/>
    <w:rsid w:val="008C2FA2"/>
    <w:rsid w:val="008C30D2"/>
    <w:rsid w:val="008C3101"/>
    <w:rsid w:val="008C31A1"/>
    <w:rsid w:val="008C3419"/>
    <w:rsid w:val="008C35AE"/>
    <w:rsid w:val="008C3ABC"/>
    <w:rsid w:val="008C3D86"/>
    <w:rsid w:val="008C40E0"/>
    <w:rsid w:val="008C4118"/>
    <w:rsid w:val="008C4132"/>
    <w:rsid w:val="008C4441"/>
    <w:rsid w:val="008C446D"/>
    <w:rsid w:val="008C45CF"/>
    <w:rsid w:val="008C4760"/>
    <w:rsid w:val="008C4886"/>
    <w:rsid w:val="008C4907"/>
    <w:rsid w:val="008C4956"/>
    <w:rsid w:val="008C496A"/>
    <w:rsid w:val="008C49C6"/>
    <w:rsid w:val="008C4C2C"/>
    <w:rsid w:val="008C502C"/>
    <w:rsid w:val="008C51FA"/>
    <w:rsid w:val="008C5226"/>
    <w:rsid w:val="008C528F"/>
    <w:rsid w:val="008C52DD"/>
    <w:rsid w:val="008C52F9"/>
    <w:rsid w:val="008C5803"/>
    <w:rsid w:val="008C582B"/>
    <w:rsid w:val="008C5FB1"/>
    <w:rsid w:val="008C5FBB"/>
    <w:rsid w:val="008C634C"/>
    <w:rsid w:val="008C664E"/>
    <w:rsid w:val="008C6717"/>
    <w:rsid w:val="008C677B"/>
    <w:rsid w:val="008C697C"/>
    <w:rsid w:val="008C69B3"/>
    <w:rsid w:val="008C69C5"/>
    <w:rsid w:val="008C6A21"/>
    <w:rsid w:val="008C6A96"/>
    <w:rsid w:val="008C6B46"/>
    <w:rsid w:val="008C6E49"/>
    <w:rsid w:val="008C6F19"/>
    <w:rsid w:val="008C70E5"/>
    <w:rsid w:val="008C7185"/>
    <w:rsid w:val="008C72F0"/>
    <w:rsid w:val="008C7529"/>
    <w:rsid w:val="008C7601"/>
    <w:rsid w:val="008C764B"/>
    <w:rsid w:val="008C798A"/>
    <w:rsid w:val="008C7AE7"/>
    <w:rsid w:val="008C7BD3"/>
    <w:rsid w:val="008C7CAE"/>
    <w:rsid w:val="008C7CC9"/>
    <w:rsid w:val="008D012E"/>
    <w:rsid w:val="008D02D7"/>
    <w:rsid w:val="008D0621"/>
    <w:rsid w:val="008D094C"/>
    <w:rsid w:val="008D0C56"/>
    <w:rsid w:val="008D0D1F"/>
    <w:rsid w:val="008D0E37"/>
    <w:rsid w:val="008D0FA6"/>
    <w:rsid w:val="008D11F7"/>
    <w:rsid w:val="008D1236"/>
    <w:rsid w:val="008D1295"/>
    <w:rsid w:val="008D1351"/>
    <w:rsid w:val="008D1622"/>
    <w:rsid w:val="008D175B"/>
    <w:rsid w:val="008D1913"/>
    <w:rsid w:val="008D1A30"/>
    <w:rsid w:val="008D1BFD"/>
    <w:rsid w:val="008D1DE2"/>
    <w:rsid w:val="008D1E6B"/>
    <w:rsid w:val="008D1EA2"/>
    <w:rsid w:val="008D1ED2"/>
    <w:rsid w:val="008D1ED5"/>
    <w:rsid w:val="008D2092"/>
    <w:rsid w:val="008D20BA"/>
    <w:rsid w:val="008D20DA"/>
    <w:rsid w:val="008D21F1"/>
    <w:rsid w:val="008D2227"/>
    <w:rsid w:val="008D23C7"/>
    <w:rsid w:val="008D244A"/>
    <w:rsid w:val="008D2490"/>
    <w:rsid w:val="008D253A"/>
    <w:rsid w:val="008D25E3"/>
    <w:rsid w:val="008D2692"/>
    <w:rsid w:val="008D281B"/>
    <w:rsid w:val="008D2AB8"/>
    <w:rsid w:val="008D2BEA"/>
    <w:rsid w:val="008D2D3D"/>
    <w:rsid w:val="008D2D52"/>
    <w:rsid w:val="008D300A"/>
    <w:rsid w:val="008D3068"/>
    <w:rsid w:val="008D30A6"/>
    <w:rsid w:val="008D30B3"/>
    <w:rsid w:val="008D31D9"/>
    <w:rsid w:val="008D32C5"/>
    <w:rsid w:val="008D32D5"/>
    <w:rsid w:val="008D33CF"/>
    <w:rsid w:val="008D3563"/>
    <w:rsid w:val="008D3646"/>
    <w:rsid w:val="008D3844"/>
    <w:rsid w:val="008D3965"/>
    <w:rsid w:val="008D39B6"/>
    <w:rsid w:val="008D3B83"/>
    <w:rsid w:val="008D3B91"/>
    <w:rsid w:val="008D3CEC"/>
    <w:rsid w:val="008D3D08"/>
    <w:rsid w:val="008D3D30"/>
    <w:rsid w:val="008D4010"/>
    <w:rsid w:val="008D4343"/>
    <w:rsid w:val="008D4389"/>
    <w:rsid w:val="008D43A4"/>
    <w:rsid w:val="008D43EA"/>
    <w:rsid w:val="008D45C5"/>
    <w:rsid w:val="008D45D9"/>
    <w:rsid w:val="008D4875"/>
    <w:rsid w:val="008D4AEC"/>
    <w:rsid w:val="008D4B76"/>
    <w:rsid w:val="008D4B87"/>
    <w:rsid w:val="008D4D37"/>
    <w:rsid w:val="008D4D43"/>
    <w:rsid w:val="008D4F42"/>
    <w:rsid w:val="008D4F86"/>
    <w:rsid w:val="008D5071"/>
    <w:rsid w:val="008D50E1"/>
    <w:rsid w:val="008D530E"/>
    <w:rsid w:val="008D5445"/>
    <w:rsid w:val="008D559B"/>
    <w:rsid w:val="008D55E3"/>
    <w:rsid w:val="008D5697"/>
    <w:rsid w:val="008D5784"/>
    <w:rsid w:val="008D585C"/>
    <w:rsid w:val="008D59A0"/>
    <w:rsid w:val="008D5A64"/>
    <w:rsid w:val="008D5E07"/>
    <w:rsid w:val="008D5EC3"/>
    <w:rsid w:val="008D5ECA"/>
    <w:rsid w:val="008D5EF2"/>
    <w:rsid w:val="008D5F7B"/>
    <w:rsid w:val="008D6026"/>
    <w:rsid w:val="008D61C8"/>
    <w:rsid w:val="008D63F3"/>
    <w:rsid w:val="008D6576"/>
    <w:rsid w:val="008D67C8"/>
    <w:rsid w:val="008D6816"/>
    <w:rsid w:val="008D6979"/>
    <w:rsid w:val="008D6EEB"/>
    <w:rsid w:val="008D6F39"/>
    <w:rsid w:val="008D704B"/>
    <w:rsid w:val="008D716A"/>
    <w:rsid w:val="008D725C"/>
    <w:rsid w:val="008D76B4"/>
    <w:rsid w:val="008D7879"/>
    <w:rsid w:val="008D78AE"/>
    <w:rsid w:val="008D7AC0"/>
    <w:rsid w:val="008D7AC5"/>
    <w:rsid w:val="008D7B7C"/>
    <w:rsid w:val="008D7D9E"/>
    <w:rsid w:val="008D7E2D"/>
    <w:rsid w:val="008D7EE9"/>
    <w:rsid w:val="008D7F80"/>
    <w:rsid w:val="008D7F96"/>
    <w:rsid w:val="008D7FF8"/>
    <w:rsid w:val="008E002B"/>
    <w:rsid w:val="008E00B1"/>
    <w:rsid w:val="008E00E7"/>
    <w:rsid w:val="008E011B"/>
    <w:rsid w:val="008E0297"/>
    <w:rsid w:val="008E02DB"/>
    <w:rsid w:val="008E033D"/>
    <w:rsid w:val="008E03B3"/>
    <w:rsid w:val="008E040B"/>
    <w:rsid w:val="008E05B4"/>
    <w:rsid w:val="008E0820"/>
    <w:rsid w:val="008E08DF"/>
    <w:rsid w:val="008E0963"/>
    <w:rsid w:val="008E096E"/>
    <w:rsid w:val="008E0CE2"/>
    <w:rsid w:val="008E0D74"/>
    <w:rsid w:val="008E0DB7"/>
    <w:rsid w:val="008E0E8D"/>
    <w:rsid w:val="008E0E94"/>
    <w:rsid w:val="008E0EEC"/>
    <w:rsid w:val="008E12E7"/>
    <w:rsid w:val="008E143F"/>
    <w:rsid w:val="008E1462"/>
    <w:rsid w:val="008E15EF"/>
    <w:rsid w:val="008E16B9"/>
    <w:rsid w:val="008E1716"/>
    <w:rsid w:val="008E1913"/>
    <w:rsid w:val="008E1927"/>
    <w:rsid w:val="008E1B65"/>
    <w:rsid w:val="008E1E51"/>
    <w:rsid w:val="008E1FA8"/>
    <w:rsid w:val="008E2056"/>
    <w:rsid w:val="008E208E"/>
    <w:rsid w:val="008E2104"/>
    <w:rsid w:val="008E234E"/>
    <w:rsid w:val="008E2373"/>
    <w:rsid w:val="008E2461"/>
    <w:rsid w:val="008E248A"/>
    <w:rsid w:val="008E2521"/>
    <w:rsid w:val="008E270F"/>
    <w:rsid w:val="008E28C4"/>
    <w:rsid w:val="008E2C32"/>
    <w:rsid w:val="008E2D7E"/>
    <w:rsid w:val="008E2E50"/>
    <w:rsid w:val="008E3000"/>
    <w:rsid w:val="008E355A"/>
    <w:rsid w:val="008E35EF"/>
    <w:rsid w:val="008E394C"/>
    <w:rsid w:val="008E39D3"/>
    <w:rsid w:val="008E3C70"/>
    <w:rsid w:val="008E3DAA"/>
    <w:rsid w:val="008E3EAD"/>
    <w:rsid w:val="008E3EE2"/>
    <w:rsid w:val="008E3F9A"/>
    <w:rsid w:val="008E4060"/>
    <w:rsid w:val="008E414F"/>
    <w:rsid w:val="008E4208"/>
    <w:rsid w:val="008E4290"/>
    <w:rsid w:val="008E45CB"/>
    <w:rsid w:val="008E486C"/>
    <w:rsid w:val="008E48C7"/>
    <w:rsid w:val="008E4DBE"/>
    <w:rsid w:val="008E4E3E"/>
    <w:rsid w:val="008E4F7C"/>
    <w:rsid w:val="008E514B"/>
    <w:rsid w:val="008E5361"/>
    <w:rsid w:val="008E537E"/>
    <w:rsid w:val="008E5488"/>
    <w:rsid w:val="008E54CF"/>
    <w:rsid w:val="008E5A69"/>
    <w:rsid w:val="008E5B2F"/>
    <w:rsid w:val="008E5B7F"/>
    <w:rsid w:val="008E5C19"/>
    <w:rsid w:val="008E5D25"/>
    <w:rsid w:val="008E5DF9"/>
    <w:rsid w:val="008E5E5B"/>
    <w:rsid w:val="008E5E78"/>
    <w:rsid w:val="008E5F55"/>
    <w:rsid w:val="008E5FA3"/>
    <w:rsid w:val="008E6191"/>
    <w:rsid w:val="008E628F"/>
    <w:rsid w:val="008E637B"/>
    <w:rsid w:val="008E6479"/>
    <w:rsid w:val="008E651C"/>
    <w:rsid w:val="008E65C6"/>
    <w:rsid w:val="008E670D"/>
    <w:rsid w:val="008E67F7"/>
    <w:rsid w:val="008E68C6"/>
    <w:rsid w:val="008E695B"/>
    <w:rsid w:val="008E6AC7"/>
    <w:rsid w:val="008E6BBB"/>
    <w:rsid w:val="008E6D59"/>
    <w:rsid w:val="008E6DE4"/>
    <w:rsid w:val="008E6E5D"/>
    <w:rsid w:val="008E6E88"/>
    <w:rsid w:val="008E6EFF"/>
    <w:rsid w:val="008E71E3"/>
    <w:rsid w:val="008E731A"/>
    <w:rsid w:val="008E731B"/>
    <w:rsid w:val="008E74F4"/>
    <w:rsid w:val="008E76A3"/>
    <w:rsid w:val="008E7803"/>
    <w:rsid w:val="008E7944"/>
    <w:rsid w:val="008E7CDB"/>
    <w:rsid w:val="008F0265"/>
    <w:rsid w:val="008F04AE"/>
    <w:rsid w:val="008F065B"/>
    <w:rsid w:val="008F065F"/>
    <w:rsid w:val="008F0808"/>
    <w:rsid w:val="008F08E0"/>
    <w:rsid w:val="008F0946"/>
    <w:rsid w:val="008F099C"/>
    <w:rsid w:val="008F09F5"/>
    <w:rsid w:val="008F0AAB"/>
    <w:rsid w:val="008F0ADC"/>
    <w:rsid w:val="008F0C8B"/>
    <w:rsid w:val="008F1009"/>
    <w:rsid w:val="008F107D"/>
    <w:rsid w:val="008F1212"/>
    <w:rsid w:val="008F12A2"/>
    <w:rsid w:val="008F13B2"/>
    <w:rsid w:val="008F1433"/>
    <w:rsid w:val="008F14CE"/>
    <w:rsid w:val="008F172F"/>
    <w:rsid w:val="008F18B2"/>
    <w:rsid w:val="008F1946"/>
    <w:rsid w:val="008F1B09"/>
    <w:rsid w:val="008F1B32"/>
    <w:rsid w:val="008F1C02"/>
    <w:rsid w:val="008F1C48"/>
    <w:rsid w:val="008F1CAA"/>
    <w:rsid w:val="008F1E0B"/>
    <w:rsid w:val="008F1E21"/>
    <w:rsid w:val="008F24DA"/>
    <w:rsid w:val="008F25E0"/>
    <w:rsid w:val="008F265B"/>
    <w:rsid w:val="008F27FB"/>
    <w:rsid w:val="008F281D"/>
    <w:rsid w:val="008F28AF"/>
    <w:rsid w:val="008F2A02"/>
    <w:rsid w:val="008F2A7D"/>
    <w:rsid w:val="008F2A7E"/>
    <w:rsid w:val="008F2BE9"/>
    <w:rsid w:val="008F2DA4"/>
    <w:rsid w:val="008F2DAC"/>
    <w:rsid w:val="008F2E29"/>
    <w:rsid w:val="008F2E52"/>
    <w:rsid w:val="008F2E8D"/>
    <w:rsid w:val="008F2EBF"/>
    <w:rsid w:val="008F3209"/>
    <w:rsid w:val="008F3340"/>
    <w:rsid w:val="008F33D8"/>
    <w:rsid w:val="008F347B"/>
    <w:rsid w:val="008F349B"/>
    <w:rsid w:val="008F359A"/>
    <w:rsid w:val="008F3654"/>
    <w:rsid w:val="008F373B"/>
    <w:rsid w:val="008F3758"/>
    <w:rsid w:val="008F3CEB"/>
    <w:rsid w:val="008F3E52"/>
    <w:rsid w:val="008F3E91"/>
    <w:rsid w:val="008F4039"/>
    <w:rsid w:val="008F40C0"/>
    <w:rsid w:val="008F41DE"/>
    <w:rsid w:val="008F4216"/>
    <w:rsid w:val="008F4313"/>
    <w:rsid w:val="008F43FE"/>
    <w:rsid w:val="008F44FD"/>
    <w:rsid w:val="008F45A4"/>
    <w:rsid w:val="008F4600"/>
    <w:rsid w:val="008F470C"/>
    <w:rsid w:val="008F475B"/>
    <w:rsid w:val="008F4766"/>
    <w:rsid w:val="008F4784"/>
    <w:rsid w:val="008F479A"/>
    <w:rsid w:val="008F4844"/>
    <w:rsid w:val="008F4A80"/>
    <w:rsid w:val="008F4C3B"/>
    <w:rsid w:val="008F4C8E"/>
    <w:rsid w:val="008F4E32"/>
    <w:rsid w:val="008F4E76"/>
    <w:rsid w:val="008F521F"/>
    <w:rsid w:val="008F522E"/>
    <w:rsid w:val="008F544D"/>
    <w:rsid w:val="008F54B8"/>
    <w:rsid w:val="008F54C3"/>
    <w:rsid w:val="008F5981"/>
    <w:rsid w:val="008F59AE"/>
    <w:rsid w:val="008F5A41"/>
    <w:rsid w:val="008F5C3F"/>
    <w:rsid w:val="008F5CE7"/>
    <w:rsid w:val="008F5F4D"/>
    <w:rsid w:val="008F5FB8"/>
    <w:rsid w:val="008F6028"/>
    <w:rsid w:val="008F6661"/>
    <w:rsid w:val="008F6796"/>
    <w:rsid w:val="008F6822"/>
    <w:rsid w:val="008F6852"/>
    <w:rsid w:val="008F68E9"/>
    <w:rsid w:val="008F69B1"/>
    <w:rsid w:val="008F69C8"/>
    <w:rsid w:val="008F6C3F"/>
    <w:rsid w:val="008F6CFD"/>
    <w:rsid w:val="008F6DF2"/>
    <w:rsid w:val="008F7203"/>
    <w:rsid w:val="008F7383"/>
    <w:rsid w:val="008F73D6"/>
    <w:rsid w:val="008F7418"/>
    <w:rsid w:val="008F7491"/>
    <w:rsid w:val="008F74B8"/>
    <w:rsid w:val="008F75CB"/>
    <w:rsid w:val="008F75D1"/>
    <w:rsid w:val="008F76C5"/>
    <w:rsid w:val="008F76E3"/>
    <w:rsid w:val="008F77BF"/>
    <w:rsid w:val="008F7815"/>
    <w:rsid w:val="008F7B33"/>
    <w:rsid w:val="008F7D04"/>
    <w:rsid w:val="009002BB"/>
    <w:rsid w:val="00900523"/>
    <w:rsid w:val="0090068F"/>
    <w:rsid w:val="00900812"/>
    <w:rsid w:val="0090081B"/>
    <w:rsid w:val="00900886"/>
    <w:rsid w:val="00900A5C"/>
    <w:rsid w:val="00900A7A"/>
    <w:rsid w:val="00900EC0"/>
    <w:rsid w:val="00900F6E"/>
    <w:rsid w:val="009011B8"/>
    <w:rsid w:val="009012F1"/>
    <w:rsid w:val="0090136A"/>
    <w:rsid w:val="009013DD"/>
    <w:rsid w:val="009014A1"/>
    <w:rsid w:val="00901549"/>
    <w:rsid w:val="00901606"/>
    <w:rsid w:val="009017F2"/>
    <w:rsid w:val="00901849"/>
    <w:rsid w:val="00901AFC"/>
    <w:rsid w:val="00901BD1"/>
    <w:rsid w:val="00901D46"/>
    <w:rsid w:val="00901D78"/>
    <w:rsid w:val="0090203A"/>
    <w:rsid w:val="00902371"/>
    <w:rsid w:val="009023ED"/>
    <w:rsid w:val="009026DA"/>
    <w:rsid w:val="009026EA"/>
    <w:rsid w:val="00902B00"/>
    <w:rsid w:val="00902BB9"/>
    <w:rsid w:val="00902C1F"/>
    <w:rsid w:val="00902C3D"/>
    <w:rsid w:val="00902C56"/>
    <w:rsid w:val="00902E38"/>
    <w:rsid w:val="00902FF0"/>
    <w:rsid w:val="00903102"/>
    <w:rsid w:val="0090315C"/>
    <w:rsid w:val="0090334C"/>
    <w:rsid w:val="00903403"/>
    <w:rsid w:val="009035B1"/>
    <w:rsid w:val="00903968"/>
    <w:rsid w:val="00903BD0"/>
    <w:rsid w:val="00903D0B"/>
    <w:rsid w:val="00903F72"/>
    <w:rsid w:val="0090400C"/>
    <w:rsid w:val="00904055"/>
    <w:rsid w:val="0090412D"/>
    <w:rsid w:val="009044BD"/>
    <w:rsid w:val="009047FB"/>
    <w:rsid w:val="00904A6F"/>
    <w:rsid w:val="00904C83"/>
    <w:rsid w:val="00904CC9"/>
    <w:rsid w:val="00904DDE"/>
    <w:rsid w:val="00904F6A"/>
    <w:rsid w:val="0090522C"/>
    <w:rsid w:val="00905406"/>
    <w:rsid w:val="00905783"/>
    <w:rsid w:val="00905960"/>
    <w:rsid w:val="00905A0B"/>
    <w:rsid w:val="00905B20"/>
    <w:rsid w:val="00905B22"/>
    <w:rsid w:val="00905CA0"/>
    <w:rsid w:val="00905D0D"/>
    <w:rsid w:val="00905F7A"/>
    <w:rsid w:val="009065F5"/>
    <w:rsid w:val="009067BB"/>
    <w:rsid w:val="00906880"/>
    <w:rsid w:val="00906969"/>
    <w:rsid w:val="009069BE"/>
    <w:rsid w:val="00906BFD"/>
    <w:rsid w:val="00906D16"/>
    <w:rsid w:val="00906E85"/>
    <w:rsid w:val="00906EFC"/>
    <w:rsid w:val="00906F3A"/>
    <w:rsid w:val="009070D1"/>
    <w:rsid w:val="009071DD"/>
    <w:rsid w:val="009075B7"/>
    <w:rsid w:val="009076E3"/>
    <w:rsid w:val="00907935"/>
    <w:rsid w:val="00907999"/>
    <w:rsid w:val="00907ACE"/>
    <w:rsid w:val="00907C83"/>
    <w:rsid w:val="00907CE2"/>
    <w:rsid w:val="00907D5C"/>
    <w:rsid w:val="00907D6F"/>
    <w:rsid w:val="00907E9C"/>
    <w:rsid w:val="00907F18"/>
    <w:rsid w:val="00907FDC"/>
    <w:rsid w:val="009101C0"/>
    <w:rsid w:val="009102C3"/>
    <w:rsid w:val="0091042E"/>
    <w:rsid w:val="00910653"/>
    <w:rsid w:val="0091069B"/>
    <w:rsid w:val="00910738"/>
    <w:rsid w:val="0091083F"/>
    <w:rsid w:val="009109D5"/>
    <w:rsid w:val="00910B15"/>
    <w:rsid w:val="00910C4C"/>
    <w:rsid w:val="00910C86"/>
    <w:rsid w:val="00910D0E"/>
    <w:rsid w:val="00910D45"/>
    <w:rsid w:val="00910FE7"/>
    <w:rsid w:val="009110C0"/>
    <w:rsid w:val="00911396"/>
    <w:rsid w:val="009113BF"/>
    <w:rsid w:val="009113D7"/>
    <w:rsid w:val="00911453"/>
    <w:rsid w:val="009114ED"/>
    <w:rsid w:val="00911556"/>
    <w:rsid w:val="00911571"/>
    <w:rsid w:val="0091163C"/>
    <w:rsid w:val="0091173A"/>
    <w:rsid w:val="00911982"/>
    <w:rsid w:val="009119D2"/>
    <w:rsid w:val="00911C77"/>
    <w:rsid w:val="00911CB0"/>
    <w:rsid w:val="00911CC2"/>
    <w:rsid w:val="00911E22"/>
    <w:rsid w:val="00911FCD"/>
    <w:rsid w:val="00912022"/>
    <w:rsid w:val="0091216D"/>
    <w:rsid w:val="0091222B"/>
    <w:rsid w:val="00912249"/>
    <w:rsid w:val="0091229A"/>
    <w:rsid w:val="009122B1"/>
    <w:rsid w:val="009122C3"/>
    <w:rsid w:val="009123CE"/>
    <w:rsid w:val="0091244B"/>
    <w:rsid w:val="009125F7"/>
    <w:rsid w:val="00912668"/>
    <w:rsid w:val="0091270B"/>
    <w:rsid w:val="009127F1"/>
    <w:rsid w:val="0091280E"/>
    <w:rsid w:val="009129E0"/>
    <w:rsid w:val="00912B83"/>
    <w:rsid w:val="00912BA4"/>
    <w:rsid w:val="00912F42"/>
    <w:rsid w:val="0091306D"/>
    <w:rsid w:val="009131BF"/>
    <w:rsid w:val="0091340B"/>
    <w:rsid w:val="00913416"/>
    <w:rsid w:val="0091347E"/>
    <w:rsid w:val="00913617"/>
    <w:rsid w:val="0091369F"/>
    <w:rsid w:val="009136AB"/>
    <w:rsid w:val="009139F3"/>
    <w:rsid w:val="00913A7E"/>
    <w:rsid w:val="00913C1B"/>
    <w:rsid w:val="00913CB2"/>
    <w:rsid w:val="00913E54"/>
    <w:rsid w:val="00913FCC"/>
    <w:rsid w:val="00914137"/>
    <w:rsid w:val="009141E5"/>
    <w:rsid w:val="0091424C"/>
    <w:rsid w:val="009144FE"/>
    <w:rsid w:val="0091463B"/>
    <w:rsid w:val="00914756"/>
    <w:rsid w:val="00914886"/>
    <w:rsid w:val="009148EC"/>
    <w:rsid w:val="009149A2"/>
    <w:rsid w:val="009149B2"/>
    <w:rsid w:val="009149F4"/>
    <w:rsid w:val="00914AE2"/>
    <w:rsid w:val="00914B18"/>
    <w:rsid w:val="00914B5F"/>
    <w:rsid w:val="00914E4E"/>
    <w:rsid w:val="00914EBC"/>
    <w:rsid w:val="0091512C"/>
    <w:rsid w:val="0091517D"/>
    <w:rsid w:val="00915255"/>
    <w:rsid w:val="00915477"/>
    <w:rsid w:val="00915790"/>
    <w:rsid w:val="009158E2"/>
    <w:rsid w:val="00915B6B"/>
    <w:rsid w:val="00915B89"/>
    <w:rsid w:val="00915DC6"/>
    <w:rsid w:val="00915E7B"/>
    <w:rsid w:val="00915EBF"/>
    <w:rsid w:val="00915F26"/>
    <w:rsid w:val="00915F45"/>
    <w:rsid w:val="00915F78"/>
    <w:rsid w:val="00915F85"/>
    <w:rsid w:val="00915FC1"/>
    <w:rsid w:val="00916379"/>
    <w:rsid w:val="00916380"/>
    <w:rsid w:val="009163E9"/>
    <w:rsid w:val="0091674A"/>
    <w:rsid w:val="0091677C"/>
    <w:rsid w:val="0091695C"/>
    <w:rsid w:val="009169CC"/>
    <w:rsid w:val="00916BB5"/>
    <w:rsid w:val="00916DBB"/>
    <w:rsid w:val="00916E43"/>
    <w:rsid w:val="00916F79"/>
    <w:rsid w:val="00917286"/>
    <w:rsid w:val="009172EE"/>
    <w:rsid w:val="00917326"/>
    <w:rsid w:val="00917419"/>
    <w:rsid w:val="00917498"/>
    <w:rsid w:val="009177DC"/>
    <w:rsid w:val="0091785D"/>
    <w:rsid w:val="009178B0"/>
    <w:rsid w:val="00917B53"/>
    <w:rsid w:val="00917BE0"/>
    <w:rsid w:val="00917D71"/>
    <w:rsid w:val="00917F8A"/>
    <w:rsid w:val="009189FA"/>
    <w:rsid w:val="00920084"/>
    <w:rsid w:val="00920154"/>
    <w:rsid w:val="00920170"/>
    <w:rsid w:val="00920180"/>
    <w:rsid w:val="0092040C"/>
    <w:rsid w:val="009205A3"/>
    <w:rsid w:val="0092061D"/>
    <w:rsid w:val="009209E3"/>
    <w:rsid w:val="00920D03"/>
    <w:rsid w:val="00920E7A"/>
    <w:rsid w:val="00921112"/>
    <w:rsid w:val="009215F1"/>
    <w:rsid w:val="009216DD"/>
    <w:rsid w:val="009216F7"/>
    <w:rsid w:val="0092196A"/>
    <w:rsid w:val="0092198A"/>
    <w:rsid w:val="009219BF"/>
    <w:rsid w:val="00921B5D"/>
    <w:rsid w:val="00921D4F"/>
    <w:rsid w:val="00921DB4"/>
    <w:rsid w:val="00921FCE"/>
    <w:rsid w:val="0092223D"/>
    <w:rsid w:val="0092226D"/>
    <w:rsid w:val="009223A2"/>
    <w:rsid w:val="00922493"/>
    <w:rsid w:val="009225F0"/>
    <w:rsid w:val="00922661"/>
    <w:rsid w:val="009227C0"/>
    <w:rsid w:val="009227D7"/>
    <w:rsid w:val="00922AA1"/>
    <w:rsid w:val="00922AE1"/>
    <w:rsid w:val="00922F6F"/>
    <w:rsid w:val="00922F84"/>
    <w:rsid w:val="009230F4"/>
    <w:rsid w:val="00923174"/>
    <w:rsid w:val="0092319C"/>
    <w:rsid w:val="0092322D"/>
    <w:rsid w:val="0092333E"/>
    <w:rsid w:val="0092335D"/>
    <w:rsid w:val="009233FB"/>
    <w:rsid w:val="0092341C"/>
    <w:rsid w:val="0092377A"/>
    <w:rsid w:val="009237E6"/>
    <w:rsid w:val="009238A3"/>
    <w:rsid w:val="00923A1C"/>
    <w:rsid w:val="00923D11"/>
    <w:rsid w:val="00923ED2"/>
    <w:rsid w:val="00923F12"/>
    <w:rsid w:val="009243AB"/>
    <w:rsid w:val="00924645"/>
    <w:rsid w:val="00924A9B"/>
    <w:rsid w:val="00924C18"/>
    <w:rsid w:val="00924DAD"/>
    <w:rsid w:val="00925174"/>
    <w:rsid w:val="009251A7"/>
    <w:rsid w:val="009251BC"/>
    <w:rsid w:val="0092528D"/>
    <w:rsid w:val="009254CB"/>
    <w:rsid w:val="00925707"/>
    <w:rsid w:val="00925836"/>
    <w:rsid w:val="00925AD0"/>
    <w:rsid w:val="00925B59"/>
    <w:rsid w:val="00925CC6"/>
    <w:rsid w:val="00925D1B"/>
    <w:rsid w:val="00925DA4"/>
    <w:rsid w:val="00925DED"/>
    <w:rsid w:val="00925F72"/>
    <w:rsid w:val="009261AB"/>
    <w:rsid w:val="009265EA"/>
    <w:rsid w:val="00926A06"/>
    <w:rsid w:val="00926A4A"/>
    <w:rsid w:val="00926AA1"/>
    <w:rsid w:val="00926AC6"/>
    <w:rsid w:val="00926ECD"/>
    <w:rsid w:val="00926F71"/>
    <w:rsid w:val="0092722A"/>
    <w:rsid w:val="009272BC"/>
    <w:rsid w:val="0092730A"/>
    <w:rsid w:val="009276C2"/>
    <w:rsid w:val="00927ADB"/>
    <w:rsid w:val="00927B02"/>
    <w:rsid w:val="00927B70"/>
    <w:rsid w:val="00927DBD"/>
    <w:rsid w:val="00927DFB"/>
    <w:rsid w:val="00927F92"/>
    <w:rsid w:val="0093008F"/>
    <w:rsid w:val="009300E1"/>
    <w:rsid w:val="009301D4"/>
    <w:rsid w:val="00930222"/>
    <w:rsid w:val="009303AA"/>
    <w:rsid w:val="009304A9"/>
    <w:rsid w:val="0093054C"/>
    <w:rsid w:val="009305A3"/>
    <w:rsid w:val="00930DC2"/>
    <w:rsid w:val="00931063"/>
    <w:rsid w:val="009312D6"/>
    <w:rsid w:val="00931326"/>
    <w:rsid w:val="0093137F"/>
    <w:rsid w:val="009318E5"/>
    <w:rsid w:val="009319EA"/>
    <w:rsid w:val="00931A64"/>
    <w:rsid w:val="00931AC3"/>
    <w:rsid w:val="00931D34"/>
    <w:rsid w:val="00931E2E"/>
    <w:rsid w:val="00931E7D"/>
    <w:rsid w:val="009321EC"/>
    <w:rsid w:val="00932629"/>
    <w:rsid w:val="00932A40"/>
    <w:rsid w:val="00932A75"/>
    <w:rsid w:val="00932AAC"/>
    <w:rsid w:val="00932E6E"/>
    <w:rsid w:val="0093319D"/>
    <w:rsid w:val="00933215"/>
    <w:rsid w:val="009333F8"/>
    <w:rsid w:val="0093345E"/>
    <w:rsid w:val="00933598"/>
    <w:rsid w:val="00933830"/>
    <w:rsid w:val="009338B9"/>
    <w:rsid w:val="00933DA9"/>
    <w:rsid w:val="00933F85"/>
    <w:rsid w:val="0093411B"/>
    <w:rsid w:val="0093424E"/>
    <w:rsid w:val="009344D6"/>
    <w:rsid w:val="0093452C"/>
    <w:rsid w:val="00934805"/>
    <w:rsid w:val="00934928"/>
    <w:rsid w:val="00934E12"/>
    <w:rsid w:val="009350AF"/>
    <w:rsid w:val="009350DD"/>
    <w:rsid w:val="009351B6"/>
    <w:rsid w:val="0093544B"/>
    <w:rsid w:val="00935559"/>
    <w:rsid w:val="00935593"/>
    <w:rsid w:val="0093568A"/>
    <w:rsid w:val="009357B0"/>
    <w:rsid w:val="00935A6C"/>
    <w:rsid w:val="00935BCC"/>
    <w:rsid w:val="00935CB0"/>
    <w:rsid w:val="00935D0E"/>
    <w:rsid w:val="00935FFC"/>
    <w:rsid w:val="00936001"/>
    <w:rsid w:val="0093601C"/>
    <w:rsid w:val="00936073"/>
    <w:rsid w:val="00936082"/>
    <w:rsid w:val="009360F3"/>
    <w:rsid w:val="0093617C"/>
    <w:rsid w:val="009365B4"/>
    <w:rsid w:val="00936810"/>
    <w:rsid w:val="00936914"/>
    <w:rsid w:val="0093692C"/>
    <w:rsid w:val="00936A32"/>
    <w:rsid w:val="00936A8E"/>
    <w:rsid w:val="00936B42"/>
    <w:rsid w:val="00936B5D"/>
    <w:rsid w:val="00936B78"/>
    <w:rsid w:val="00936BAB"/>
    <w:rsid w:val="00936E31"/>
    <w:rsid w:val="00936EEE"/>
    <w:rsid w:val="00937148"/>
    <w:rsid w:val="0093717E"/>
    <w:rsid w:val="009372F4"/>
    <w:rsid w:val="009373E3"/>
    <w:rsid w:val="009376C0"/>
    <w:rsid w:val="00937720"/>
    <w:rsid w:val="009378B1"/>
    <w:rsid w:val="0093791C"/>
    <w:rsid w:val="00937945"/>
    <w:rsid w:val="009379F5"/>
    <w:rsid w:val="00937DE0"/>
    <w:rsid w:val="00937DFC"/>
    <w:rsid w:val="00937E1E"/>
    <w:rsid w:val="00937EB0"/>
    <w:rsid w:val="0094038D"/>
    <w:rsid w:val="00940519"/>
    <w:rsid w:val="00940570"/>
    <w:rsid w:val="0094074F"/>
    <w:rsid w:val="0094088F"/>
    <w:rsid w:val="009409B1"/>
    <w:rsid w:val="00940A46"/>
    <w:rsid w:val="00940AE1"/>
    <w:rsid w:val="00940D20"/>
    <w:rsid w:val="00940D97"/>
    <w:rsid w:val="00940DCE"/>
    <w:rsid w:val="00940E1E"/>
    <w:rsid w:val="00940F28"/>
    <w:rsid w:val="00940FAC"/>
    <w:rsid w:val="0094108A"/>
    <w:rsid w:val="009412EB"/>
    <w:rsid w:val="00941319"/>
    <w:rsid w:val="009414CE"/>
    <w:rsid w:val="0094158F"/>
    <w:rsid w:val="009416BC"/>
    <w:rsid w:val="009416F3"/>
    <w:rsid w:val="009417EB"/>
    <w:rsid w:val="00941A80"/>
    <w:rsid w:val="00941BF0"/>
    <w:rsid w:val="00941C4C"/>
    <w:rsid w:val="00941C87"/>
    <w:rsid w:val="00942181"/>
    <w:rsid w:val="00942274"/>
    <w:rsid w:val="009423FE"/>
    <w:rsid w:val="00942AE6"/>
    <w:rsid w:val="00942C12"/>
    <w:rsid w:val="00942CC5"/>
    <w:rsid w:val="00942D62"/>
    <w:rsid w:val="00942E4B"/>
    <w:rsid w:val="00943050"/>
    <w:rsid w:val="0094320A"/>
    <w:rsid w:val="009432C7"/>
    <w:rsid w:val="009434DF"/>
    <w:rsid w:val="0094351B"/>
    <w:rsid w:val="009435D5"/>
    <w:rsid w:val="00943A59"/>
    <w:rsid w:val="00943B99"/>
    <w:rsid w:val="00943CC7"/>
    <w:rsid w:val="00943D2F"/>
    <w:rsid w:val="00943ED8"/>
    <w:rsid w:val="00943FB4"/>
    <w:rsid w:val="009440BC"/>
    <w:rsid w:val="0094412C"/>
    <w:rsid w:val="00944197"/>
    <w:rsid w:val="0094465B"/>
    <w:rsid w:val="0094486E"/>
    <w:rsid w:val="009448F0"/>
    <w:rsid w:val="009448F2"/>
    <w:rsid w:val="00944904"/>
    <w:rsid w:val="009449B0"/>
    <w:rsid w:val="00944A21"/>
    <w:rsid w:val="00944B69"/>
    <w:rsid w:val="00944B85"/>
    <w:rsid w:val="00944D47"/>
    <w:rsid w:val="00944E0F"/>
    <w:rsid w:val="00944E25"/>
    <w:rsid w:val="00944E8C"/>
    <w:rsid w:val="00944EA5"/>
    <w:rsid w:val="00944F47"/>
    <w:rsid w:val="00944FD9"/>
    <w:rsid w:val="0094502F"/>
    <w:rsid w:val="009450ED"/>
    <w:rsid w:val="0094557D"/>
    <w:rsid w:val="00945584"/>
    <w:rsid w:val="00945937"/>
    <w:rsid w:val="00945A7E"/>
    <w:rsid w:val="00945ACF"/>
    <w:rsid w:val="00945D6E"/>
    <w:rsid w:val="00945DB8"/>
    <w:rsid w:val="00945EB6"/>
    <w:rsid w:val="00946080"/>
    <w:rsid w:val="00946172"/>
    <w:rsid w:val="0094621F"/>
    <w:rsid w:val="009462F8"/>
    <w:rsid w:val="009463C7"/>
    <w:rsid w:val="009463FD"/>
    <w:rsid w:val="009464E4"/>
    <w:rsid w:val="009467C9"/>
    <w:rsid w:val="00946A16"/>
    <w:rsid w:val="00946FED"/>
    <w:rsid w:val="009470AE"/>
    <w:rsid w:val="00947116"/>
    <w:rsid w:val="00947152"/>
    <w:rsid w:val="009472F7"/>
    <w:rsid w:val="00947438"/>
    <w:rsid w:val="00947758"/>
    <w:rsid w:val="00947826"/>
    <w:rsid w:val="0094795B"/>
    <w:rsid w:val="009479F1"/>
    <w:rsid w:val="00947AD7"/>
    <w:rsid w:val="00947B73"/>
    <w:rsid w:val="00947C92"/>
    <w:rsid w:val="00947F7D"/>
    <w:rsid w:val="00947F8C"/>
    <w:rsid w:val="00950237"/>
    <w:rsid w:val="0095033D"/>
    <w:rsid w:val="0095059C"/>
    <w:rsid w:val="0095071B"/>
    <w:rsid w:val="0095095B"/>
    <w:rsid w:val="009509BC"/>
    <w:rsid w:val="009509F3"/>
    <w:rsid w:val="00950D71"/>
    <w:rsid w:val="00950F57"/>
    <w:rsid w:val="0095100A"/>
    <w:rsid w:val="00951688"/>
    <w:rsid w:val="0095172E"/>
    <w:rsid w:val="009517FB"/>
    <w:rsid w:val="00951CC4"/>
    <w:rsid w:val="00951DD9"/>
    <w:rsid w:val="00951FA2"/>
    <w:rsid w:val="00952032"/>
    <w:rsid w:val="009520A3"/>
    <w:rsid w:val="009520A9"/>
    <w:rsid w:val="0095219E"/>
    <w:rsid w:val="00952226"/>
    <w:rsid w:val="00952452"/>
    <w:rsid w:val="00952490"/>
    <w:rsid w:val="009524B5"/>
    <w:rsid w:val="009525A7"/>
    <w:rsid w:val="009525E0"/>
    <w:rsid w:val="00952642"/>
    <w:rsid w:val="00952651"/>
    <w:rsid w:val="009527E6"/>
    <w:rsid w:val="009528A6"/>
    <w:rsid w:val="009528BD"/>
    <w:rsid w:val="00952B9C"/>
    <w:rsid w:val="00952C97"/>
    <w:rsid w:val="00953000"/>
    <w:rsid w:val="00953077"/>
    <w:rsid w:val="0095323C"/>
    <w:rsid w:val="009532A8"/>
    <w:rsid w:val="009534FD"/>
    <w:rsid w:val="009536B0"/>
    <w:rsid w:val="009536CC"/>
    <w:rsid w:val="009537B3"/>
    <w:rsid w:val="0095381E"/>
    <w:rsid w:val="0095394C"/>
    <w:rsid w:val="0095394F"/>
    <w:rsid w:val="00953A57"/>
    <w:rsid w:val="00953F7D"/>
    <w:rsid w:val="00953FB9"/>
    <w:rsid w:val="009540EA"/>
    <w:rsid w:val="009546CD"/>
    <w:rsid w:val="00954CEA"/>
    <w:rsid w:val="00954D90"/>
    <w:rsid w:val="00954FB8"/>
    <w:rsid w:val="00955201"/>
    <w:rsid w:val="009552AA"/>
    <w:rsid w:val="009553FC"/>
    <w:rsid w:val="00955537"/>
    <w:rsid w:val="0095559E"/>
    <w:rsid w:val="0095574B"/>
    <w:rsid w:val="0095574D"/>
    <w:rsid w:val="0095576E"/>
    <w:rsid w:val="009559FD"/>
    <w:rsid w:val="00955A96"/>
    <w:rsid w:val="00955D5F"/>
    <w:rsid w:val="00955D9A"/>
    <w:rsid w:val="00955FBB"/>
    <w:rsid w:val="0095644F"/>
    <w:rsid w:val="009564F7"/>
    <w:rsid w:val="0095655F"/>
    <w:rsid w:val="00956591"/>
    <w:rsid w:val="00956623"/>
    <w:rsid w:val="00956672"/>
    <w:rsid w:val="00956849"/>
    <w:rsid w:val="00956865"/>
    <w:rsid w:val="009568C8"/>
    <w:rsid w:val="00956A19"/>
    <w:rsid w:val="00956B06"/>
    <w:rsid w:val="00956BD8"/>
    <w:rsid w:val="00957295"/>
    <w:rsid w:val="00957502"/>
    <w:rsid w:val="009575C8"/>
    <w:rsid w:val="0095764C"/>
    <w:rsid w:val="00957804"/>
    <w:rsid w:val="00957871"/>
    <w:rsid w:val="009579A0"/>
    <w:rsid w:val="00957B29"/>
    <w:rsid w:val="00957B93"/>
    <w:rsid w:val="00957C1D"/>
    <w:rsid w:val="00957E2B"/>
    <w:rsid w:val="00957E9E"/>
    <w:rsid w:val="00957FCE"/>
    <w:rsid w:val="00960057"/>
    <w:rsid w:val="009601B7"/>
    <w:rsid w:val="009604CC"/>
    <w:rsid w:val="009606E3"/>
    <w:rsid w:val="00960763"/>
    <w:rsid w:val="009607E9"/>
    <w:rsid w:val="00960A1B"/>
    <w:rsid w:val="00960CD1"/>
    <w:rsid w:val="00960D21"/>
    <w:rsid w:val="00960E66"/>
    <w:rsid w:val="00960F80"/>
    <w:rsid w:val="0096101D"/>
    <w:rsid w:val="00961040"/>
    <w:rsid w:val="00961124"/>
    <w:rsid w:val="009611D3"/>
    <w:rsid w:val="00961260"/>
    <w:rsid w:val="009612A0"/>
    <w:rsid w:val="009612D4"/>
    <w:rsid w:val="009612FF"/>
    <w:rsid w:val="00961418"/>
    <w:rsid w:val="009615CF"/>
    <w:rsid w:val="009616E1"/>
    <w:rsid w:val="0096174A"/>
    <w:rsid w:val="009617A5"/>
    <w:rsid w:val="00961852"/>
    <w:rsid w:val="00961863"/>
    <w:rsid w:val="0096194D"/>
    <w:rsid w:val="0096197C"/>
    <w:rsid w:val="009619AE"/>
    <w:rsid w:val="00961A19"/>
    <w:rsid w:val="00961BB9"/>
    <w:rsid w:val="00961C3A"/>
    <w:rsid w:val="00961C82"/>
    <w:rsid w:val="00961DE6"/>
    <w:rsid w:val="00962137"/>
    <w:rsid w:val="0096218C"/>
    <w:rsid w:val="0096223C"/>
    <w:rsid w:val="009623E0"/>
    <w:rsid w:val="009624B8"/>
    <w:rsid w:val="009624CA"/>
    <w:rsid w:val="009624FE"/>
    <w:rsid w:val="00962523"/>
    <w:rsid w:val="009626C9"/>
    <w:rsid w:val="00962765"/>
    <w:rsid w:val="00962832"/>
    <w:rsid w:val="00962856"/>
    <w:rsid w:val="00962898"/>
    <w:rsid w:val="00962994"/>
    <w:rsid w:val="00962A74"/>
    <w:rsid w:val="00962A76"/>
    <w:rsid w:val="00962AA3"/>
    <w:rsid w:val="00962AA7"/>
    <w:rsid w:val="00962AE9"/>
    <w:rsid w:val="00962D0B"/>
    <w:rsid w:val="009630AB"/>
    <w:rsid w:val="009630BD"/>
    <w:rsid w:val="00963273"/>
    <w:rsid w:val="0096331F"/>
    <w:rsid w:val="00963323"/>
    <w:rsid w:val="00963835"/>
    <w:rsid w:val="00963996"/>
    <w:rsid w:val="00963A1E"/>
    <w:rsid w:val="00963AB3"/>
    <w:rsid w:val="00964008"/>
    <w:rsid w:val="00964122"/>
    <w:rsid w:val="009646AD"/>
    <w:rsid w:val="0096489F"/>
    <w:rsid w:val="0096492D"/>
    <w:rsid w:val="009649C9"/>
    <w:rsid w:val="00964A32"/>
    <w:rsid w:val="00964E6C"/>
    <w:rsid w:val="00964E78"/>
    <w:rsid w:val="0096502A"/>
    <w:rsid w:val="00965074"/>
    <w:rsid w:val="0096545A"/>
    <w:rsid w:val="009654F8"/>
    <w:rsid w:val="00965612"/>
    <w:rsid w:val="00965624"/>
    <w:rsid w:val="00965659"/>
    <w:rsid w:val="0096576D"/>
    <w:rsid w:val="009657A1"/>
    <w:rsid w:val="0096591E"/>
    <w:rsid w:val="00965AAA"/>
    <w:rsid w:val="00965C91"/>
    <w:rsid w:val="00965D58"/>
    <w:rsid w:val="00965D8F"/>
    <w:rsid w:val="00965E33"/>
    <w:rsid w:val="00965EBE"/>
    <w:rsid w:val="009660DE"/>
    <w:rsid w:val="009662C5"/>
    <w:rsid w:val="009664FB"/>
    <w:rsid w:val="0096656B"/>
    <w:rsid w:val="0096665B"/>
    <w:rsid w:val="0096675D"/>
    <w:rsid w:val="00966DA4"/>
    <w:rsid w:val="00966EAB"/>
    <w:rsid w:val="00966FA2"/>
    <w:rsid w:val="00966FD6"/>
    <w:rsid w:val="009670A7"/>
    <w:rsid w:val="009670D2"/>
    <w:rsid w:val="0096714B"/>
    <w:rsid w:val="009671BC"/>
    <w:rsid w:val="00967394"/>
    <w:rsid w:val="0096747B"/>
    <w:rsid w:val="00967744"/>
    <w:rsid w:val="009678B2"/>
    <w:rsid w:val="00967B64"/>
    <w:rsid w:val="00967BD3"/>
    <w:rsid w:val="00967D30"/>
    <w:rsid w:val="00970039"/>
    <w:rsid w:val="00970328"/>
    <w:rsid w:val="00970399"/>
    <w:rsid w:val="00970424"/>
    <w:rsid w:val="009706F8"/>
    <w:rsid w:val="0097070F"/>
    <w:rsid w:val="00970AF5"/>
    <w:rsid w:val="00970B42"/>
    <w:rsid w:val="00970BAA"/>
    <w:rsid w:val="00970C35"/>
    <w:rsid w:val="00970C5D"/>
    <w:rsid w:val="00970DB6"/>
    <w:rsid w:val="00970F52"/>
    <w:rsid w:val="00971214"/>
    <w:rsid w:val="009715A4"/>
    <w:rsid w:val="009718BA"/>
    <w:rsid w:val="00971B9B"/>
    <w:rsid w:val="00971DBD"/>
    <w:rsid w:val="00971E3A"/>
    <w:rsid w:val="00971E48"/>
    <w:rsid w:val="009721E6"/>
    <w:rsid w:val="00972495"/>
    <w:rsid w:val="0097249B"/>
    <w:rsid w:val="009724B7"/>
    <w:rsid w:val="009725F2"/>
    <w:rsid w:val="00972628"/>
    <w:rsid w:val="009726E2"/>
    <w:rsid w:val="009727C3"/>
    <w:rsid w:val="00972960"/>
    <w:rsid w:val="00972DD3"/>
    <w:rsid w:val="00972F06"/>
    <w:rsid w:val="00972F2C"/>
    <w:rsid w:val="009733F5"/>
    <w:rsid w:val="00973686"/>
    <w:rsid w:val="00973688"/>
    <w:rsid w:val="009738EE"/>
    <w:rsid w:val="00973A89"/>
    <w:rsid w:val="00973B17"/>
    <w:rsid w:val="00973DB8"/>
    <w:rsid w:val="009742D2"/>
    <w:rsid w:val="0097433E"/>
    <w:rsid w:val="0097438F"/>
    <w:rsid w:val="009743B5"/>
    <w:rsid w:val="00974412"/>
    <w:rsid w:val="00974424"/>
    <w:rsid w:val="00974434"/>
    <w:rsid w:val="00974448"/>
    <w:rsid w:val="009745AD"/>
    <w:rsid w:val="00974675"/>
    <w:rsid w:val="009746B9"/>
    <w:rsid w:val="009748CD"/>
    <w:rsid w:val="00974999"/>
    <w:rsid w:val="00974AC6"/>
    <w:rsid w:val="00974B84"/>
    <w:rsid w:val="00974B97"/>
    <w:rsid w:val="00974C64"/>
    <w:rsid w:val="00974D7D"/>
    <w:rsid w:val="00974EFF"/>
    <w:rsid w:val="0097502E"/>
    <w:rsid w:val="0097519C"/>
    <w:rsid w:val="00975241"/>
    <w:rsid w:val="009754E7"/>
    <w:rsid w:val="0097550E"/>
    <w:rsid w:val="00975657"/>
    <w:rsid w:val="009757B0"/>
    <w:rsid w:val="009757B3"/>
    <w:rsid w:val="009757FC"/>
    <w:rsid w:val="00975A26"/>
    <w:rsid w:val="00975A9E"/>
    <w:rsid w:val="00975BD5"/>
    <w:rsid w:val="00975CDB"/>
    <w:rsid w:val="00975D5A"/>
    <w:rsid w:val="00976614"/>
    <w:rsid w:val="00976651"/>
    <w:rsid w:val="009769CC"/>
    <w:rsid w:val="00976A1A"/>
    <w:rsid w:val="00976B12"/>
    <w:rsid w:val="00976C1F"/>
    <w:rsid w:val="00976C3B"/>
    <w:rsid w:val="00976C94"/>
    <w:rsid w:val="00976D49"/>
    <w:rsid w:val="00976DAC"/>
    <w:rsid w:val="00976DF5"/>
    <w:rsid w:val="00976E59"/>
    <w:rsid w:val="00976EA8"/>
    <w:rsid w:val="00976F08"/>
    <w:rsid w:val="00976FB9"/>
    <w:rsid w:val="0097704E"/>
    <w:rsid w:val="009770A6"/>
    <w:rsid w:val="00977122"/>
    <w:rsid w:val="009771AC"/>
    <w:rsid w:val="00977237"/>
    <w:rsid w:val="009773E4"/>
    <w:rsid w:val="00977593"/>
    <w:rsid w:val="009775B1"/>
    <w:rsid w:val="009776F2"/>
    <w:rsid w:val="00977895"/>
    <w:rsid w:val="00977930"/>
    <w:rsid w:val="009779E1"/>
    <w:rsid w:val="00977B46"/>
    <w:rsid w:val="00977D07"/>
    <w:rsid w:val="00977E37"/>
    <w:rsid w:val="00977F66"/>
    <w:rsid w:val="00980001"/>
    <w:rsid w:val="00980032"/>
    <w:rsid w:val="009800A6"/>
    <w:rsid w:val="00980100"/>
    <w:rsid w:val="0098011E"/>
    <w:rsid w:val="0098013D"/>
    <w:rsid w:val="0098020C"/>
    <w:rsid w:val="009805A1"/>
    <w:rsid w:val="009806FE"/>
    <w:rsid w:val="009807EE"/>
    <w:rsid w:val="009808C7"/>
    <w:rsid w:val="00980A6A"/>
    <w:rsid w:val="00980B17"/>
    <w:rsid w:val="00980C6D"/>
    <w:rsid w:val="00980CA6"/>
    <w:rsid w:val="00980CFE"/>
    <w:rsid w:val="00980E53"/>
    <w:rsid w:val="00980EB4"/>
    <w:rsid w:val="00980F79"/>
    <w:rsid w:val="009810FE"/>
    <w:rsid w:val="009812E7"/>
    <w:rsid w:val="009812FE"/>
    <w:rsid w:val="009814B1"/>
    <w:rsid w:val="009814EA"/>
    <w:rsid w:val="00981516"/>
    <w:rsid w:val="00981821"/>
    <w:rsid w:val="00981C05"/>
    <w:rsid w:val="00981CC5"/>
    <w:rsid w:val="00981DE6"/>
    <w:rsid w:val="00981F02"/>
    <w:rsid w:val="009821FA"/>
    <w:rsid w:val="00982455"/>
    <w:rsid w:val="00982548"/>
    <w:rsid w:val="00982580"/>
    <w:rsid w:val="009825A7"/>
    <w:rsid w:val="0098293A"/>
    <w:rsid w:val="00982B47"/>
    <w:rsid w:val="00982BD1"/>
    <w:rsid w:val="00982C6A"/>
    <w:rsid w:val="00982C79"/>
    <w:rsid w:val="00982D20"/>
    <w:rsid w:val="00982DE2"/>
    <w:rsid w:val="00982E93"/>
    <w:rsid w:val="00982FD5"/>
    <w:rsid w:val="009830E0"/>
    <w:rsid w:val="0098323E"/>
    <w:rsid w:val="00983453"/>
    <w:rsid w:val="009836CF"/>
    <w:rsid w:val="00983999"/>
    <w:rsid w:val="009839FE"/>
    <w:rsid w:val="00983A21"/>
    <w:rsid w:val="00983B73"/>
    <w:rsid w:val="00984169"/>
    <w:rsid w:val="009842E7"/>
    <w:rsid w:val="00984566"/>
    <w:rsid w:val="00984627"/>
    <w:rsid w:val="00984652"/>
    <w:rsid w:val="00984718"/>
    <w:rsid w:val="00984831"/>
    <w:rsid w:val="00984860"/>
    <w:rsid w:val="00984885"/>
    <w:rsid w:val="009849D0"/>
    <w:rsid w:val="00984A4C"/>
    <w:rsid w:val="00984B37"/>
    <w:rsid w:val="00984B85"/>
    <w:rsid w:val="00984B9A"/>
    <w:rsid w:val="00984BD6"/>
    <w:rsid w:val="00984FE9"/>
    <w:rsid w:val="0098531C"/>
    <w:rsid w:val="0098552E"/>
    <w:rsid w:val="0098580C"/>
    <w:rsid w:val="00985863"/>
    <w:rsid w:val="00985990"/>
    <w:rsid w:val="00985A5B"/>
    <w:rsid w:val="00985AB5"/>
    <w:rsid w:val="00985E1A"/>
    <w:rsid w:val="00985F73"/>
    <w:rsid w:val="00985FB8"/>
    <w:rsid w:val="00985FF7"/>
    <w:rsid w:val="0098606C"/>
    <w:rsid w:val="00986386"/>
    <w:rsid w:val="0098642F"/>
    <w:rsid w:val="00986485"/>
    <w:rsid w:val="009864EC"/>
    <w:rsid w:val="0098676F"/>
    <w:rsid w:val="0098677F"/>
    <w:rsid w:val="009867E0"/>
    <w:rsid w:val="009868CD"/>
    <w:rsid w:val="00986B2D"/>
    <w:rsid w:val="00986BAC"/>
    <w:rsid w:val="00986DA2"/>
    <w:rsid w:val="0098704C"/>
    <w:rsid w:val="0098717B"/>
    <w:rsid w:val="0098717C"/>
    <w:rsid w:val="009872E2"/>
    <w:rsid w:val="009873CF"/>
    <w:rsid w:val="009873D3"/>
    <w:rsid w:val="00987414"/>
    <w:rsid w:val="0098785D"/>
    <w:rsid w:val="0098789C"/>
    <w:rsid w:val="00987AA9"/>
    <w:rsid w:val="00987B71"/>
    <w:rsid w:val="00987C07"/>
    <w:rsid w:val="00987FC3"/>
    <w:rsid w:val="00987FFB"/>
    <w:rsid w:val="00990073"/>
    <w:rsid w:val="009900AF"/>
    <w:rsid w:val="00990370"/>
    <w:rsid w:val="00990A32"/>
    <w:rsid w:val="00990A3D"/>
    <w:rsid w:val="00990C44"/>
    <w:rsid w:val="00990E6B"/>
    <w:rsid w:val="00990FD2"/>
    <w:rsid w:val="00991028"/>
    <w:rsid w:val="0099109A"/>
    <w:rsid w:val="0099109F"/>
    <w:rsid w:val="009910CA"/>
    <w:rsid w:val="0099112B"/>
    <w:rsid w:val="00991253"/>
    <w:rsid w:val="00991258"/>
    <w:rsid w:val="0099134A"/>
    <w:rsid w:val="009915F9"/>
    <w:rsid w:val="00991683"/>
    <w:rsid w:val="009916B8"/>
    <w:rsid w:val="0099198D"/>
    <w:rsid w:val="00991A81"/>
    <w:rsid w:val="00991A98"/>
    <w:rsid w:val="00991B61"/>
    <w:rsid w:val="00991CFA"/>
    <w:rsid w:val="00991EF0"/>
    <w:rsid w:val="00991FB9"/>
    <w:rsid w:val="009923A6"/>
    <w:rsid w:val="00992467"/>
    <w:rsid w:val="0099257F"/>
    <w:rsid w:val="009929E5"/>
    <w:rsid w:val="00992A4D"/>
    <w:rsid w:val="00992C2A"/>
    <w:rsid w:val="00992D37"/>
    <w:rsid w:val="00992ED8"/>
    <w:rsid w:val="00992FBF"/>
    <w:rsid w:val="009931A8"/>
    <w:rsid w:val="009932E9"/>
    <w:rsid w:val="0099361F"/>
    <w:rsid w:val="00993957"/>
    <w:rsid w:val="009939E0"/>
    <w:rsid w:val="00993CFE"/>
    <w:rsid w:val="00993DF3"/>
    <w:rsid w:val="00993F25"/>
    <w:rsid w:val="00993FA0"/>
    <w:rsid w:val="00994147"/>
    <w:rsid w:val="009943FC"/>
    <w:rsid w:val="009945D7"/>
    <w:rsid w:val="00994617"/>
    <w:rsid w:val="0099470E"/>
    <w:rsid w:val="0099471F"/>
    <w:rsid w:val="00994833"/>
    <w:rsid w:val="00994A5D"/>
    <w:rsid w:val="00994B01"/>
    <w:rsid w:val="00994BC7"/>
    <w:rsid w:val="00994ED3"/>
    <w:rsid w:val="00994F58"/>
    <w:rsid w:val="00994F65"/>
    <w:rsid w:val="00994FD6"/>
    <w:rsid w:val="00995011"/>
    <w:rsid w:val="0099516A"/>
    <w:rsid w:val="00995260"/>
    <w:rsid w:val="00995300"/>
    <w:rsid w:val="00995341"/>
    <w:rsid w:val="009953C9"/>
    <w:rsid w:val="0099554E"/>
    <w:rsid w:val="0099561E"/>
    <w:rsid w:val="00995701"/>
    <w:rsid w:val="0099574D"/>
    <w:rsid w:val="00995902"/>
    <w:rsid w:val="009959AF"/>
    <w:rsid w:val="009959B2"/>
    <w:rsid w:val="009959B6"/>
    <w:rsid w:val="00995AA6"/>
    <w:rsid w:val="00995B38"/>
    <w:rsid w:val="00995C82"/>
    <w:rsid w:val="00995F73"/>
    <w:rsid w:val="00995FE0"/>
    <w:rsid w:val="0099606D"/>
    <w:rsid w:val="00996118"/>
    <w:rsid w:val="009961C7"/>
    <w:rsid w:val="009961D0"/>
    <w:rsid w:val="00996211"/>
    <w:rsid w:val="009962CA"/>
    <w:rsid w:val="0099658A"/>
    <w:rsid w:val="00996652"/>
    <w:rsid w:val="00996907"/>
    <w:rsid w:val="00996BF4"/>
    <w:rsid w:val="00996D98"/>
    <w:rsid w:val="009972D2"/>
    <w:rsid w:val="00997371"/>
    <w:rsid w:val="009973FF"/>
    <w:rsid w:val="00997445"/>
    <w:rsid w:val="00997507"/>
    <w:rsid w:val="00997594"/>
    <w:rsid w:val="00997762"/>
    <w:rsid w:val="009977BF"/>
    <w:rsid w:val="00997828"/>
    <w:rsid w:val="009978BC"/>
    <w:rsid w:val="00997933"/>
    <w:rsid w:val="009979BE"/>
    <w:rsid w:val="009979DB"/>
    <w:rsid w:val="00997A27"/>
    <w:rsid w:val="00997B0B"/>
    <w:rsid w:val="00997B30"/>
    <w:rsid w:val="00997B98"/>
    <w:rsid w:val="00997B9A"/>
    <w:rsid w:val="00997BAD"/>
    <w:rsid w:val="00997D30"/>
    <w:rsid w:val="00997E92"/>
    <w:rsid w:val="00997F4A"/>
    <w:rsid w:val="009A01A0"/>
    <w:rsid w:val="009A0284"/>
    <w:rsid w:val="009A0393"/>
    <w:rsid w:val="009A03DE"/>
    <w:rsid w:val="009A047A"/>
    <w:rsid w:val="009A04B2"/>
    <w:rsid w:val="009A04EF"/>
    <w:rsid w:val="009A0585"/>
    <w:rsid w:val="009A05B5"/>
    <w:rsid w:val="009A077B"/>
    <w:rsid w:val="009A098D"/>
    <w:rsid w:val="009A0BA2"/>
    <w:rsid w:val="009A0BBC"/>
    <w:rsid w:val="009A0C31"/>
    <w:rsid w:val="009A0C76"/>
    <w:rsid w:val="009A0F0A"/>
    <w:rsid w:val="009A1294"/>
    <w:rsid w:val="009A141D"/>
    <w:rsid w:val="009A1607"/>
    <w:rsid w:val="009A166A"/>
    <w:rsid w:val="009A16C4"/>
    <w:rsid w:val="009A1851"/>
    <w:rsid w:val="009A1853"/>
    <w:rsid w:val="009A1992"/>
    <w:rsid w:val="009A19DE"/>
    <w:rsid w:val="009A1A80"/>
    <w:rsid w:val="009A1B0C"/>
    <w:rsid w:val="009A1BD1"/>
    <w:rsid w:val="009A1C14"/>
    <w:rsid w:val="009A1D29"/>
    <w:rsid w:val="009A205D"/>
    <w:rsid w:val="009A22C0"/>
    <w:rsid w:val="009A23DD"/>
    <w:rsid w:val="009A24C7"/>
    <w:rsid w:val="009A25DD"/>
    <w:rsid w:val="009A29D8"/>
    <w:rsid w:val="009A2AD7"/>
    <w:rsid w:val="009A2BE8"/>
    <w:rsid w:val="009A2D0D"/>
    <w:rsid w:val="009A303C"/>
    <w:rsid w:val="009A306C"/>
    <w:rsid w:val="009A334A"/>
    <w:rsid w:val="009A3489"/>
    <w:rsid w:val="009A35EF"/>
    <w:rsid w:val="009A366B"/>
    <w:rsid w:val="009A3973"/>
    <w:rsid w:val="009A3C6F"/>
    <w:rsid w:val="009A3D13"/>
    <w:rsid w:val="009A3DAF"/>
    <w:rsid w:val="009A3DC7"/>
    <w:rsid w:val="009A429B"/>
    <w:rsid w:val="009A4340"/>
    <w:rsid w:val="009A4479"/>
    <w:rsid w:val="009A4773"/>
    <w:rsid w:val="009A481C"/>
    <w:rsid w:val="009A4960"/>
    <w:rsid w:val="009A4996"/>
    <w:rsid w:val="009A4A26"/>
    <w:rsid w:val="009A4A4B"/>
    <w:rsid w:val="009A4DE6"/>
    <w:rsid w:val="009A50D2"/>
    <w:rsid w:val="009A51C8"/>
    <w:rsid w:val="009A51FF"/>
    <w:rsid w:val="009A5410"/>
    <w:rsid w:val="009A5528"/>
    <w:rsid w:val="009A5561"/>
    <w:rsid w:val="009A55EE"/>
    <w:rsid w:val="009A5665"/>
    <w:rsid w:val="009A5B5C"/>
    <w:rsid w:val="009A5BE8"/>
    <w:rsid w:val="009A5C50"/>
    <w:rsid w:val="009A5DD3"/>
    <w:rsid w:val="009A62BE"/>
    <w:rsid w:val="009A62DA"/>
    <w:rsid w:val="009A6392"/>
    <w:rsid w:val="009A6605"/>
    <w:rsid w:val="009A662E"/>
    <w:rsid w:val="009A668C"/>
    <w:rsid w:val="009A687A"/>
    <w:rsid w:val="009A6959"/>
    <w:rsid w:val="009A69C4"/>
    <w:rsid w:val="009A69EF"/>
    <w:rsid w:val="009A6A64"/>
    <w:rsid w:val="009A6AE5"/>
    <w:rsid w:val="009A6B1B"/>
    <w:rsid w:val="009A6B1E"/>
    <w:rsid w:val="009A6C74"/>
    <w:rsid w:val="009A6E91"/>
    <w:rsid w:val="009A6ECF"/>
    <w:rsid w:val="009A6ED7"/>
    <w:rsid w:val="009A71E7"/>
    <w:rsid w:val="009A7453"/>
    <w:rsid w:val="009A7790"/>
    <w:rsid w:val="009A7AB0"/>
    <w:rsid w:val="009A7CCF"/>
    <w:rsid w:val="009A7D6F"/>
    <w:rsid w:val="009A7E1A"/>
    <w:rsid w:val="009A7EC8"/>
    <w:rsid w:val="009B00CB"/>
    <w:rsid w:val="009B02C2"/>
    <w:rsid w:val="009B0343"/>
    <w:rsid w:val="009B0515"/>
    <w:rsid w:val="009B06DF"/>
    <w:rsid w:val="009B0754"/>
    <w:rsid w:val="009B08C0"/>
    <w:rsid w:val="009B0914"/>
    <w:rsid w:val="009B0AA1"/>
    <w:rsid w:val="009B0ACC"/>
    <w:rsid w:val="009B0D8F"/>
    <w:rsid w:val="009B0DC8"/>
    <w:rsid w:val="009B124A"/>
    <w:rsid w:val="009B1337"/>
    <w:rsid w:val="009B1420"/>
    <w:rsid w:val="009B1752"/>
    <w:rsid w:val="009B175A"/>
    <w:rsid w:val="009B18D4"/>
    <w:rsid w:val="009B1904"/>
    <w:rsid w:val="009B1B04"/>
    <w:rsid w:val="009B1CD6"/>
    <w:rsid w:val="009B1D93"/>
    <w:rsid w:val="009B2113"/>
    <w:rsid w:val="009B2116"/>
    <w:rsid w:val="009B22FA"/>
    <w:rsid w:val="009B23A2"/>
    <w:rsid w:val="009B24D5"/>
    <w:rsid w:val="009B24EB"/>
    <w:rsid w:val="009B2542"/>
    <w:rsid w:val="009B2776"/>
    <w:rsid w:val="009B2788"/>
    <w:rsid w:val="009B2914"/>
    <w:rsid w:val="009B2BB1"/>
    <w:rsid w:val="009B2E0C"/>
    <w:rsid w:val="009B2E23"/>
    <w:rsid w:val="009B2ECA"/>
    <w:rsid w:val="009B3205"/>
    <w:rsid w:val="009B3261"/>
    <w:rsid w:val="009B34C4"/>
    <w:rsid w:val="009B3507"/>
    <w:rsid w:val="009B355A"/>
    <w:rsid w:val="009B3673"/>
    <w:rsid w:val="009B36A3"/>
    <w:rsid w:val="009B3723"/>
    <w:rsid w:val="009B37E7"/>
    <w:rsid w:val="009B3809"/>
    <w:rsid w:val="009B3840"/>
    <w:rsid w:val="009B39A5"/>
    <w:rsid w:val="009B3A41"/>
    <w:rsid w:val="009B3AF1"/>
    <w:rsid w:val="009B3C31"/>
    <w:rsid w:val="009B3C79"/>
    <w:rsid w:val="009B3D00"/>
    <w:rsid w:val="009B41A2"/>
    <w:rsid w:val="009B42DD"/>
    <w:rsid w:val="009B4889"/>
    <w:rsid w:val="009B48E0"/>
    <w:rsid w:val="009B4AE5"/>
    <w:rsid w:val="009B4C67"/>
    <w:rsid w:val="009B4FA2"/>
    <w:rsid w:val="009B4FB9"/>
    <w:rsid w:val="009B4FEA"/>
    <w:rsid w:val="009B5053"/>
    <w:rsid w:val="009B50B9"/>
    <w:rsid w:val="009B5243"/>
    <w:rsid w:val="009B52DA"/>
    <w:rsid w:val="009B557C"/>
    <w:rsid w:val="009B55B1"/>
    <w:rsid w:val="009B55DD"/>
    <w:rsid w:val="009B566A"/>
    <w:rsid w:val="009B5768"/>
    <w:rsid w:val="009B577F"/>
    <w:rsid w:val="009B5825"/>
    <w:rsid w:val="009B5AA5"/>
    <w:rsid w:val="009B5CCE"/>
    <w:rsid w:val="009B5E5A"/>
    <w:rsid w:val="009B5EE8"/>
    <w:rsid w:val="009B5F9C"/>
    <w:rsid w:val="009B5FA3"/>
    <w:rsid w:val="009B6024"/>
    <w:rsid w:val="009B6077"/>
    <w:rsid w:val="009B6598"/>
    <w:rsid w:val="009B65D6"/>
    <w:rsid w:val="009B666B"/>
    <w:rsid w:val="009B667F"/>
    <w:rsid w:val="009B67A7"/>
    <w:rsid w:val="009B6938"/>
    <w:rsid w:val="009B6B8F"/>
    <w:rsid w:val="009B6C0F"/>
    <w:rsid w:val="009B6DB8"/>
    <w:rsid w:val="009B6E46"/>
    <w:rsid w:val="009B7271"/>
    <w:rsid w:val="009B7299"/>
    <w:rsid w:val="009B7314"/>
    <w:rsid w:val="009B73A0"/>
    <w:rsid w:val="009B747A"/>
    <w:rsid w:val="009B74A0"/>
    <w:rsid w:val="009B74B8"/>
    <w:rsid w:val="009B74BB"/>
    <w:rsid w:val="009B7609"/>
    <w:rsid w:val="009B7776"/>
    <w:rsid w:val="009B7795"/>
    <w:rsid w:val="009B77C0"/>
    <w:rsid w:val="009B784D"/>
    <w:rsid w:val="009B7864"/>
    <w:rsid w:val="009B797F"/>
    <w:rsid w:val="009B79CD"/>
    <w:rsid w:val="009B7AC2"/>
    <w:rsid w:val="009B7C35"/>
    <w:rsid w:val="009B7E94"/>
    <w:rsid w:val="009B7EAB"/>
    <w:rsid w:val="009C00EA"/>
    <w:rsid w:val="009C01CA"/>
    <w:rsid w:val="009C024C"/>
    <w:rsid w:val="009C0309"/>
    <w:rsid w:val="009C04D2"/>
    <w:rsid w:val="009C0555"/>
    <w:rsid w:val="009C0924"/>
    <w:rsid w:val="009C09D5"/>
    <w:rsid w:val="009C0AB0"/>
    <w:rsid w:val="009C0AF6"/>
    <w:rsid w:val="009C0B88"/>
    <w:rsid w:val="009C0CFA"/>
    <w:rsid w:val="009C0E0D"/>
    <w:rsid w:val="009C1050"/>
    <w:rsid w:val="009C124C"/>
    <w:rsid w:val="009C13CA"/>
    <w:rsid w:val="009C14B7"/>
    <w:rsid w:val="009C14DE"/>
    <w:rsid w:val="009C15FD"/>
    <w:rsid w:val="009C1771"/>
    <w:rsid w:val="009C178D"/>
    <w:rsid w:val="009C179F"/>
    <w:rsid w:val="009C17D9"/>
    <w:rsid w:val="009C17FA"/>
    <w:rsid w:val="009C18CD"/>
    <w:rsid w:val="009C1AB6"/>
    <w:rsid w:val="009C1E0D"/>
    <w:rsid w:val="009C1F74"/>
    <w:rsid w:val="009C214C"/>
    <w:rsid w:val="009C2179"/>
    <w:rsid w:val="009C2228"/>
    <w:rsid w:val="009C22C7"/>
    <w:rsid w:val="009C256A"/>
    <w:rsid w:val="009C25A0"/>
    <w:rsid w:val="009C2613"/>
    <w:rsid w:val="009C266D"/>
    <w:rsid w:val="009C2731"/>
    <w:rsid w:val="009C274B"/>
    <w:rsid w:val="009C2A40"/>
    <w:rsid w:val="009C2B68"/>
    <w:rsid w:val="009C2B6A"/>
    <w:rsid w:val="009C2D0A"/>
    <w:rsid w:val="009C2D73"/>
    <w:rsid w:val="009C2F1E"/>
    <w:rsid w:val="009C342E"/>
    <w:rsid w:val="009C34E7"/>
    <w:rsid w:val="009C3586"/>
    <w:rsid w:val="009C377D"/>
    <w:rsid w:val="009C38DE"/>
    <w:rsid w:val="009C3A3F"/>
    <w:rsid w:val="009C4149"/>
    <w:rsid w:val="009C436F"/>
    <w:rsid w:val="009C4409"/>
    <w:rsid w:val="009C459B"/>
    <w:rsid w:val="009C4697"/>
    <w:rsid w:val="009C478B"/>
    <w:rsid w:val="009C48AB"/>
    <w:rsid w:val="009C4BF6"/>
    <w:rsid w:val="009C4EB3"/>
    <w:rsid w:val="009C4EDC"/>
    <w:rsid w:val="009C4F62"/>
    <w:rsid w:val="009C4FB0"/>
    <w:rsid w:val="009C5047"/>
    <w:rsid w:val="009C5190"/>
    <w:rsid w:val="009C529B"/>
    <w:rsid w:val="009C543C"/>
    <w:rsid w:val="009C5471"/>
    <w:rsid w:val="009C5755"/>
    <w:rsid w:val="009C58E8"/>
    <w:rsid w:val="009C5950"/>
    <w:rsid w:val="009C5B0C"/>
    <w:rsid w:val="009C5BC8"/>
    <w:rsid w:val="009C5C8D"/>
    <w:rsid w:val="009C5E71"/>
    <w:rsid w:val="009C6149"/>
    <w:rsid w:val="009C6151"/>
    <w:rsid w:val="009C61BD"/>
    <w:rsid w:val="009C62A0"/>
    <w:rsid w:val="009C64FA"/>
    <w:rsid w:val="009C6635"/>
    <w:rsid w:val="009C6680"/>
    <w:rsid w:val="009C6796"/>
    <w:rsid w:val="009C69B7"/>
    <w:rsid w:val="009C6A60"/>
    <w:rsid w:val="009C6B50"/>
    <w:rsid w:val="009C6C77"/>
    <w:rsid w:val="009C6D02"/>
    <w:rsid w:val="009C6D2D"/>
    <w:rsid w:val="009C6E9D"/>
    <w:rsid w:val="009C706F"/>
    <w:rsid w:val="009C7096"/>
    <w:rsid w:val="009C70D0"/>
    <w:rsid w:val="009C70E7"/>
    <w:rsid w:val="009C71F3"/>
    <w:rsid w:val="009C7267"/>
    <w:rsid w:val="009C7513"/>
    <w:rsid w:val="009C7665"/>
    <w:rsid w:val="009C7771"/>
    <w:rsid w:val="009C77FB"/>
    <w:rsid w:val="009C7A7C"/>
    <w:rsid w:val="009C7CFD"/>
    <w:rsid w:val="009C7D02"/>
    <w:rsid w:val="009C7DB9"/>
    <w:rsid w:val="009C7E36"/>
    <w:rsid w:val="009C7EB8"/>
    <w:rsid w:val="009C7F20"/>
    <w:rsid w:val="009D0008"/>
    <w:rsid w:val="009D0062"/>
    <w:rsid w:val="009D03FB"/>
    <w:rsid w:val="009D0495"/>
    <w:rsid w:val="009D04FC"/>
    <w:rsid w:val="009D051B"/>
    <w:rsid w:val="009D0805"/>
    <w:rsid w:val="009D0AED"/>
    <w:rsid w:val="009D0B77"/>
    <w:rsid w:val="009D0B84"/>
    <w:rsid w:val="009D0C26"/>
    <w:rsid w:val="009D0C6B"/>
    <w:rsid w:val="009D0D63"/>
    <w:rsid w:val="009D0E91"/>
    <w:rsid w:val="009D0EAB"/>
    <w:rsid w:val="009D0ECF"/>
    <w:rsid w:val="009D10AE"/>
    <w:rsid w:val="009D1397"/>
    <w:rsid w:val="009D13F5"/>
    <w:rsid w:val="009D156D"/>
    <w:rsid w:val="009D1719"/>
    <w:rsid w:val="009D1937"/>
    <w:rsid w:val="009D1B6E"/>
    <w:rsid w:val="009D1C8E"/>
    <w:rsid w:val="009D1E11"/>
    <w:rsid w:val="009D1E4C"/>
    <w:rsid w:val="009D2084"/>
    <w:rsid w:val="009D22A6"/>
    <w:rsid w:val="009D2650"/>
    <w:rsid w:val="009D26D3"/>
    <w:rsid w:val="009D2A60"/>
    <w:rsid w:val="009D2B4C"/>
    <w:rsid w:val="009D2BEA"/>
    <w:rsid w:val="009D2D75"/>
    <w:rsid w:val="009D2DF4"/>
    <w:rsid w:val="009D2FA5"/>
    <w:rsid w:val="009D3323"/>
    <w:rsid w:val="009D390D"/>
    <w:rsid w:val="009D3AFE"/>
    <w:rsid w:val="009D3C33"/>
    <w:rsid w:val="009D3D7D"/>
    <w:rsid w:val="009D3D83"/>
    <w:rsid w:val="009D3E39"/>
    <w:rsid w:val="009D403C"/>
    <w:rsid w:val="009D4041"/>
    <w:rsid w:val="009D40CE"/>
    <w:rsid w:val="009D4218"/>
    <w:rsid w:val="009D4264"/>
    <w:rsid w:val="009D43BC"/>
    <w:rsid w:val="009D44FD"/>
    <w:rsid w:val="009D456C"/>
    <w:rsid w:val="009D487B"/>
    <w:rsid w:val="009D4D47"/>
    <w:rsid w:val="009D4F92"/>
    <w:rsid w:val="009D5161"/>
    <w:rsid w:val="009D51CD"/>
    <w:rsid w:val="009D565F"/>
    <w:rsid w:val="009D588B"/>
    <w:rsid w:val="009D591F"/>
    <w:rsid w:val="009D59F7"/>
    <w:rsid w:val="009D5B31"/>
    <w:rsid w:val="009D5B93"/>
    <w:rsid w:val="009D5C14"/>
    <w:rsid w:val="009D5C36"/>
    <w:rsid w:val="009D5CA9"/>
    <w:rsid w:val="009D5D59"/>
    <w:rsid w:val="009D5D5F"/>
    <w:rsid w:val="009D6047"/>
    <w:rsid w:val="009D6272"/>
    <w:rsid w:val="009D63F2"/>
    <w:rsid w:val="009D64D3"/>
    <w:rsid w:val="009D64F6"/>
    <w:rsid w:val="009D6759"/>
    <w:rsid w:val="009D677A"/>
    <w:rsid w:val="009D6994"/>
    <w:rsid w:val="009D6A18"/>
    <w:rsid w:val="009D6A6F"/>
    <w:rsid w:val="009D6B4E"/>
    <w:rsid w:val="009D6D62"/>
    <w:rsid w:val="009D6D64"/>
    <w:rsid w:val="009D6DAF"/>
    <w:rsid w:val="009D6FCA"/>
    <w:rsid w:val="009D70B9"/>
    <w:rsid w:val="009D74F5"/>
    <w:rsid w:val="009D760C"/>
    <w:rsid w:val="009D7700"/>
    <w:rsid w:val="009D77FF"/>
    <w:rsid w:val="009D78EE"/>
    <w:rsid w:val="009D7C13"/>
    <w:rsid w:val="009D7CD0"/>
    <w:rsid w:val="009D7D29"/>
    <w:rsid w:val="009D7DAB"/>
    <w:rsid w:val="009D7DB3"/>
    <w:rsid w:val="009D7EC5"/>
    <w:rsid w:val="009E00AF"/>
    <w:rsid w:val="009E0189"/>
    <w:rsid w:val="009E060C"/>
    <w:rsid w:val="009E0760"/>
    <w:rsid w:val="009E078A"/>
    <w:rsid w:val="009E0864"/>
    <w:rsid w:val="009E0B5E"/>
    <w:rsid w:val="009E0C34"/>
    <w:rsid w:val="009E0DB9"/>
    <w:rsid w:val="009E0F13"/>
    <w:rsid w:val="009E1088"/>
    <w:rsid w:val="009E1376"/>
    <w:rsid w:val="009E13ED"/>
    <w:rsid w:val="009E15F9"/>
    <w:rsid w:val="009E161C"/>
    <w:rsid w:val="009E18D0"/>
    <w:rsid w:val="009E1902"/>
    <w:rsid w:val="009E19BE"/>
    <w:rsid w:val="009E1C59"/>
    <w:rsid w:val="009E1D0C"/>
    <w:rsid w:val="009E1E15"/>
    <w:rsid w:val="009E1E6A"/>
    <w:rsid w:val="009E1ECD"/>
    <w:rsid w:val="009E2449"/>
    <w:rsid w:val="009E2581"/>
    <w:rsid w:val="009E2642"/>
    <w:rsid w:val="009E2741"/>
    <w:rsid w:val="009E296E"/>
    <w:rsid w:val="009E2DB7"/>
    <w:rsid w:val="009E2EB3"/>
    <w:rsid w:val="009E2F90"/>
    <w:rsid w:val="009E30C4"/>
    <w:rsid w:val="009E32CC"/>
    <w:rsid w:val="009E3339"/>
    <w:rsid w:val="009E337D"/>
    <w:rsid w:val="009E34C2"/>
    <w:rsid w:val="009E35C5"/>
    <w:rsid w:val="009E38A6"/>
    <w:rsid w:val="009E3AD5"/>
    <w:rsid w:val="009E3B81"/>
    <w:rsid w:val="009E3BF3"/>
    <w:rsid w:val="009E3C11"/>
    <w:rsid w:val="009E3C51"/>
    <w:rsid w:val="009E3D61"/>
    <w:rsid w:val="009E3FAE"/>
    <w:rsid w:val="009E3FD8"/>
    <w:rsid w:val="009E402A"/>
    <w:rsid w:val="009E40B5"/>
    <w:rsid w:val="009E4162"/>
    <w:rsid w:val="009E4205"/>
    <w:rsid w:val="009E4272"/>
    <w:rsid w:val="009E4362"/>
    <w:rsid w:val="009E43D4"/>
    <w:rsid w:val="009E4458"/>
    <w:rsid w:val="009E44B0"/>
    <w:rsid w:val="009E4561"/>
    <w:rsid w:val="009E4620"/>
    <w:rsid w:val="009E4743"/>
    <w:rsid w:val="009E475B"/>
    <w:rsid w:val="009E4894"/>
    <w:rsid w:val="009E48B9"/>
    <w:rsid w:val="009E4911"/>
    <w:rsid w:val="009E4949"/>
    <w:rsid w:val="009E4A23"/>
    <w:rsid w:val="009E4C00"/>
    <w:rsid w:val="009E4D07"/>
    <w:rsid w:val="009E4E09"/>
    <w:rsid w:val="009E4E59"/>
    <w:rsid w:val="009E4EFF"/>
    <w:rsid w:val="009E4F77"/>
    <w:rsid w:val="009E503E"/>
    <w:rsid w:val="009E5240"/>
    <w:rsid w:val="009E54A8"/>
    <w:rsid w:val="009E54B0"/>
    <w:rsid w:val="009E5525"/>
    <w:rsid w:val="009E5541"/>
    <w:rsid w:val="009E5800"/>
    <w:rsid w:val="009E5807"/>
    <w:rsid w:val="009E593F"/>
    <w:rsid w:val="009E5A1C"/>
    <w:rsid w:val="009E5BEC"/>
    <w:rsid w:val="009E6077"/>
    <w:rsid w:val="009E61DC"/>
    <w:rsid w:val="009E620C"/>
    <w:rsid w:val="009E64D6"/>
    <w:rsid w:val="009E686C"/>
    <w:rsid w:val="009E6877"/>
    <w:rsid w:val="009E68F8"/>
    <w:rsid w:val="009E69E3"/>
    <w:rsid w:val="009E6A31"/>
    <w:rsid w:val="009E6A3B"/>
    <w:rsid w:val="009E6A6B"/>
    <w:rsid w:val="009E6AEA"/>
    <w:rsid w:val="009E6BC2"/>
    <w:rsid w:val="009E6CD6"/>
    <w:rsid w:val="009E6E2D"/>
    <w:rsid w:val="009E6E5F"/>
    <w:rsid w:val="009E6EEF"/>
    <w:rsid w:val="009E6FFF"/>
    <w:rsid w:val="009E715F"/>
    <w:rsid w:val="009E7161"/>
    <w:rsid w:val="009E71C7"/>
    <w:rsid w:val="009E7266"/>
    <w:rsid w:val="009E7294"/>
    <w:rsid w:val="009E7373"/>
    <w:rsid w:val="009E739A"/>
    <w:rsid w:val="009E7427"/>
    <w:rsid w:val="009E74AC"/>
    <w:rsid w:val="009E74BB"/>
    <w:rsid w:val="009E755A"/>
    <w:rsid w:val="009E7609"/>
    <w:rsid w:val="009E7755"/>
    <w:rsid w:val="009E777C"/>
    <w:rsid w:val="009E7A3E"/>
    <w:rsid w:val="009E7C7C"/>
    <w:rsid w:val="009E7D0D"/>
    <w:rsid w:val="009E7D6E"/>
    <w:rsid w:val="009E7E12"/>
    <w:rsid w:val="009E7F0F"/>
    <w:rsid w:val="009E7FC7"/>
    <w:rsid w:val="009F002B"/>
    <w:rsid w:val="009F00FC"/>
    <w:rsid w:val="009F02A4"/>
    <w:rsid w:val="009F035B"/>
    <w:rsid w:val="009F03EF"/>
    <w:rsid w:val="009F0503"/>
    <w:rsid w:val="009F05F8"/>
    <w:rsid w:val="009F065F"/>
    <w:rsid w:val="009F06A7"/>
    <w:rsid w:val="009F0813"/>
    <w:rsid w:val="009F082F"/>
    <w:rsid w:val="009F08D4"/>
    <w:rsid w:val="009F0913"/>
    <w:rsid w:val="009F0A3A"/>
    <w:rsid w:val="009F0B1D"/>
    <w:rsid w:val="009F0DC6"/>
    <w:rsid w:val="009F0E5B"/>
    <w:rsid w:val="009F0E99"/>
    <w:rsid w:val="009F1097"/>
    <w:rsid w:val="009F115C"/>
    <w:rsid w:val="009F12B3"/>
    <w:rsid w:val="009F1360"/>
    <w:rsid w:val="009F1361"/>
    <w:rsid w:val="009F13F6"/>
    <w:rsid w:val="009F154C"/>
    <w:rsid w:val="009F1682"/>
    <w:rsid w:val="009F186A"/>
    <w:rsid w:val="009F18FF"/>
    <w:rsid w:val="009F1AB0"/>
    <w:rsid w:val="009F1E33"/>
    <w:rsid w:val="009F1F22"/>
    <w:rsid w:val="009F23C2"/>
    <w:rsid w:val="009F24D2"/>
    <w:rsid w:val="009F25A9"/>
    <w:rsid w:val="009F2764"/>
    <w:rsid w:val="009F2973"/>
    <w:rsid w:val="009F2987"/>
    <w:rsid w:val="009F2BD2"/>
    <w:rsid w:val="009F2C4F"/>
    <w:rsid w:val="009F2CAA"/>
    <w:rsid w:val="009F2D11"/>
    <w:rsid w:val="009F2E1F"/>
    <w:rsid w:val="009F32FA"/>
    <w:rsid w:val="009F33DF"/>
    <w:rsid w:val="009F3802"/>
    <w:rsid w:val="009F391D"/>
    <w:rsid w:val="009F3958"/>
    <w:rsid w:val="009F39A5"/>
    <w:rsid w:val="009F3A37"/>
    <w:rsid w:val="009F3A8F"/>
    <w:rsid w:val="009F3CBC"/>
    <w:rsid w:val="009F3E58"/>
    <w:rsid w:val="009F3E7D"/>
    <w:rsid w:val="009F3FBF"/>
    <w:rsid w:val="009F4160"/>
    <w:rsid w:val="009F41CF"/>
    <w:rsid w:val="009F42DF"/>
    <w:rsid w:val="009F4526"/>
    <w:rsid w:val="009F4697"/>
    <w:rsid w:val="009F48B8"/>
    <w:rsid w:val="009F494D"/>
    <w:rsid w:val="009F4AFF"/>
    <w:rsid w:val="009F4B28"/>
    <w:rsid w:val="009F4C0D"/>
    <w:rsid w:val="009F4CBF"/>
    <w:rsid w:val="009F4E39"/>
    <w:rsid w:val="009F4ED9"/>
    <w:rsid w:val="009F4FE1"/>
    <w:rsid w:val="009F50BD"/>
    <w:rsid w:val="009F550B"/>
    <w:rsid w:val="009F5758"/>
    <w:rsid w:val="009F58F6"/>
    <w:rsid w:val="009F5905"/>
    <w:rsid w:val="009F5980"/>
    <w:rsid w:val="009F5A5D"/>
    <w:rsid w:val="009F5AA4"/>
    <w:rsid w:val="009F5B2D"/>
    <w:rsid w:val="009F5DB0"/>
    <w:rsid w:val="009F5F53"/>
    <w:rsid w:val="009F5F76"/>
    <w:rsid w:val="009F600D"/>
    <w:rsid w:val="009F610D"/>
    <w:rsid w:val="009F6688"/>
    <w:rsid w:val="009F66A3"/>
    <w:rsid w:val="009F6868"/>
    <w:rsid w:val="009F6A0B"/>
    <w:rsid w:val="009F6A0E"/>
    <w:rsid w:val="009F6A1F"/>
    <w:rsid w:val="009F6AF6"/>
    <w:rsid w:val="009F6CD5"/>
    <w:rsid w:val="009F6EDA"/>
    <w:rsid w:val="009F6F00"/>
    <w:rsid w:val="009F6F9F"/>
    <w:rsid w:val="009F72A6"/>
    <w:rsid w:val="009F72C1"/>
    <w:rsid w:val="009F7490"/>
    <w:rsid w:val="009F7B66"/>
    <w:rsid w:val="009F7D8F"/>
    <w:rsid w:val="009F7DA8"/>
    <w:rsid w:val="009F7E8E"/>
    <w:rsid w:val="009F7ECC"/>
    <w:rsid w:val="00A00110"/>
    <w:rsid w:val="00A00157"/>
    <w:rsid w:val="00A0024A"/>
    <w:rsid w:val="00A002E5"/>
    <w:rsid w:val="00A004A0"/>
    <w:rsid w:val="00A004EA"/>
    <w:rsid w:val="00A005AB"/>
    <w:rsid w:val="00A00604"/>
    <w:rsid w:val="00A00769"/>
    <w:rsid w:val="00A008BA"/>
    <w:rsid w:val="00A008BF"/>
    <w:rsid w:val="00A00990"/>
    <w:rsid w:val="00A00CBE"/>
    <w:rsid w:val="00A00CD5"/>
    <w:rsid w:val="00A00D0E"/>
    <w:rsid w:val="00A00D31"/>
    <w:rsid w:val="00A00D67"/>
    <w:rsid w:val="00A00DC1"/>
    <w:rsid w:val="00A00E1C"/>
    <w:rsid w:val="00A00E69"/>
    <w:rsid w:val="00A00E91"/>
    <w:rsid w:val="00A010EB"/>
    <w:rsid w:val="00A012D3"/>
    <w:rsid w:val="00A0141C"/>
    <w:rsid w:val="00A01545"/>
    <w:rsid w:val="00A01587"/>
    <w:rsid w:val="00A015CE"/>
    <w:rsid w:val="00A016A1"/>
    <w:rsid w:val="00A016CC"/>
    <w:rsid w:val="00A016E1"/>
    <w:rsid w:val="00A017F3"/>
    <w:rsid w:val="00A019B3"/>
    <w:rsid w:val="00A01A16"/>
    <w:rsid w:val="00A01A54"/>
    <w:rsid w:val="00A01AD9"/>
    <w:rsid w:val="00A01B47"/>
    <w:rsid w:val="00A01D18"/>
    <w:rsid w:val="00A01E44"/>
    <w:rsid w:val="00A02114"/>
    <w:rsid w:val="00A021EF"/>
    <w:rsid w:val="00A022C3"/>
    <w:rsid w:val="00A022CE"/>
    <w:rsid w:val="00A02419"/>
    <w:rsid w:val="00A02452"/>
    <w:rsid w:val="00A02479"/>
    <w:rsid w:val="00A025A7"/>
    <w:rsid w:val="00A02776"/>
    <w:rsid w:val="00A02A11"/>
    <w:rsid w:val="00A02A22"/>
    <w:rsid w:val="00A02E75"/>
    <w:rsid w:val="00A03127"/>
    <w:rsid w:val="00A03357"/>
    <w:rsid w:val="00A034B4"/>
    <w:rsid w:val="00A0366C"/>
    <w:rsid w:val="00A03AA0"/>
    <w:rsid w:val="00A03AC6"/>
    <w:rsid w:val="00A03B17"/>
    <w:rsid w:val="00A03BA6"/>
    <w:rsid w:val="00A03BF0"/>
    <w:rsid w:val="00A03FF9"/>
    <w:rsid w:val="00A0403B"/>
    <w:rsid w:val="00A04091"/>
    <w:rsid w:val="00A040CB"/>
    <w:rsid w:val="00A04198"/>
    <w:rsid w:val="00A041C7"/>
    <w:rsid w:val="00A04295"/>
    <w:rsid w:val="00A0453F"/>
    <w:rsid w:val="00A0469B"/>
    <w:rsid w:val="00A047DE"/>
    <w:rsid w:val="00A04941"/>
    <w:rsid w:val="00A04E55"/>
    <w:rsid w:val="00A04ECF"/>
    <w:rsid w:val="00A05233"/>
    <w:rsid w:val="00A0524C"/>
    <w:rsid w:val="00A0546B"/>
    <w:rsid w:val="00A05507"/>
    <w:rsid w:val="00A055E0"/>
    <w:rsid w:val="00A05973"/>
    <w:rsid w:val="00A05991"/>
    <w:rsid w:val="00A05AAF"/>
    <w:rsid w:val="00A05B46"/>
    <w:rsid w:val="00A05B94"/>
    <w:rsid w:val="00A05E0C"/>
    <w:rsid w:val="00A05E42"/>
    <w:rsid w:val="00A06101"/>
    <w:rsid w:val="00A06152"/>
    <w:rsid w:val="00A0627D"/>
    <w:rsid w:val="00A065D5"/>
    <w:rsid w:val="00A066D1"/>
    <w:rsid w:val="00A069CB"/>
    <w:rsid w:val="00A06BD5"/>
    <w:rsid w:val="00A06D65"/>
    <w:rsid w:val="00A06EED"/>
    <w:rsid w:val="00A07185"/>
    <w:rsid w:val="00A0737B"/>
    <w:rsid w:val="00A0745C"/>
    <w:rsid w:val="00A0747C"/>
    <w:rsid w:val="00A075E6"/>
    <w:rsid w:val="00A0764E"/>
    <w:rsid w:val="00A079E4"/>
    <w:rsid w:val="00A07A76"/>
    <w:rsid w:val="00A07A8C"/>
    <w:rsid w:val="00A07AF7"/>
    <w:rsid w:val="00A07E8D"/>
    <w:rsid w:val="00A100E6"/>
    <w:rsid w:val="00A100FA"/>
    <w:rsid w:val="00A10374"/>
    <w:rsid w:val="00A103BC"/>
    <w:rsid w:val="00A10554"/>
    <w:rsid w:val="00A10731"/>
    <w:rsid w:val="00A1078B"/>
    <w:rsid w:val="00A10B2B"/>
    <w:rsid w:val="00A10C5E"/>
    <w:rsid w:val="00A10D04"/>
    <w:rsid w:val="00A10EC8"/>
    <w:rsid w:val="00A10ED6"/>
    <w:rsid w:val="00A10EF2"/>
    <w:rsid w:val="00A11090"/>
    <w:rsid w:val="00A1112F"/>
    <w:rsid w:val="00A111A7"/>
    <w:rsid w:val="00A11252"/>
    <w:rsid w:val="00A112C4"/>
    <w:rsid w:val="00A1155A"/>
    <w:rsid w:val="00A11685"/>
    <w:rsid w:val="00A1169B"/>
    <w:rsid w:val="00A1169E"/>
    <w:rsid w:val="00A11795"/>
    <w:rsid w:val="00A118C2"/>
    <w:rsid w:val="00A11DAE"/>
    <w:rsid w:val="00A11DDA"/>
    <w:rsid w:val="00A11EF2"/>
    <w:rsid w:val="00A11F73"/>
    <w:rsid w:val="00A12184"/>
    <w:rsid w:val="00A12306"/>
    <w:rsid w:val="00A1243E"/>
    <w:rsid w:val="00A125F9"/>
    <w:rsid w:val="00A12674"/>
    <w:rsid w:val="00A126BB"/>
    <w:rsid w:val="00A12C12"/>
    <w:rsid w:val="00A12F5F"/>
    <w:rsid w:val="00A12FB5"/>
    <w:rsid w:val="00A1321A"/>
    <w:rsid w:val="00A133DE"/>
    <w:rsid w:val="00A13567"/>
    <w:rsid w:val="00A13748"/>
    <w:rsid w:val="00A1377C"/>
    <w:rsid w:val="00A137CB"/>
    <w:rsid w:val="00A137CD"/>
    <w:rsid w:val="00A14040"/>
    <w:rsid w:val="00A140A3"/>
    <w:rsid w:val="00A141BD"/>
    <w:rsid w:val="00A1426B"/>
    <w:rsid w:val="00A143B2"/>
    <w:rsid w:val="00A143D1"/>
    <w:rsid w:val="00A143F4"/>
    <w:rsid w:val="00A14453"/>
    <w:rsid w:val="00A14720"/>
    <w:rsid w:val="00A14792"/>
    <w:rsid w:val="00A14A51"/>
    <w:rsid w:val="00A14A52"/>
    <w:rsid w:val="00A14A61"/>
    <w:rsid w:val="00A14B61"/>
    <w:rsid w:val="00A14B71"/>
    <w:rsid w:val="00A14CE6"/>
    <w:rsid w:val="00A14CFE"/>
    <w:rsid w:val="00A14D92"/>
    <w:rsid w:val="00A14E56"/>
    <w:rsid w:val="00A1512E"/>
    <w:rsid w:val="00A1525E"/>
    <w:rsid w:val="00A15263"/>
    <w:rsid w:val="00A15362"/>
    <w:rsid w:val="00A15420"/>
    <w:rsid w:val="00A154F7"/>
    <w:rsid w:val="00A15643"/>
    <w:rsid w:val="00A15B22"/>
    <w:rsid w:val="00A15C22"/>
    <w:rsid w:val="00A15C3E"/>
    <w:rsid w:val="00A15E94"/>
    <w:rsid w:val="00A16096"/>
    <w:rsid w:val="00A160A5"/>
    <w:rsid w:val="00A16360"/>
    <w:rsid w:val="00A16665"/>
    <w:rsid w:val="00A166DA"/>
    <w:rsid w:val="00A167AD"/>
    <w:rsid w:val="00A167DB"/>
    <w:rsid w:val="00A16971"/>
    <w:rsid w:val="00A16B13"/>
    <w:rsid w:val="00A16BAE"/>
    <w:rsid w:val="00A16CF9"/>
    <w:rsid w:val="00A1714C"/>
    <w:rsid w:val="00A172AF"/>
    <w:rsid w:val="00A172DD"/>
    <w:rsid w:val="00A177B3"/>
    <w:rsid w:val="00A17863"/>
    <w:rsid w:val="00A17A73"/>
    <w:rsid w:val="00A17CD5"/>
    <w:rsid w:val="00A17D19"/>
    <w:rsid w:val="00A17D82"/>
    <w:rsid w:val="00A17E4A"/>
    <w:rsid w:val="00A17F63"/>
    <w:rsid w:val="00A202D2"/>
    <w:rsid w:val="00A202D6"/>
    <w:rsid w:val="00A20314"/>
    <w:rsid w:val="00A203CF"/>
    <w:rsid w:val="00A205E7"/>
    <w:rsid w:val="00A20740"/>
    <w:rsid w:val="00A207DC"/>
    <w:rsid w:val="00A20C2D"/>
    <w:rsid w:val="00A20DD5"/>
    <w:rsid w:val="00A20FD5"/>
    <w:rsid w:val="00A21351"/>
    <w:rsid w:val="00A21402"/>
    <w:rsid w:val="00A21513"/>
    <w:rsid w:val="00A21656"/>
    <w:rsid w:val="00A216FC"/>
    <w:rsid w:val="00A217D7"/>
    <w:rsid w:val="00A2181A"/>
    <w:rsid w:val="00A21BF1"/>
    <w:rsid w:val="00A21C85"/>
    <w:rsid w:val="00A21F8F"/>
    <w:rsid w:val="00A222A3"/>
    <w:rsid w:val="00A222DF"/>
    <w:rsid w:val="00A2238A"/>
    <w:rsid w:val="00A22453"/>
    <w:rsid w:val="00A224BA"/>
    <w:rsid w:val="00A2258B"/>
    <w:rsid w:val="00A22870"/>
    <w:rsid w:val="00A22A25"/>
    <w:rsid w:val="00A22BD4"/>
    <w:rsid w:val="00A22E3A"/>
    <w:rsid w:val="00A22EF4"/>
    <w:rsid w:val="00A23115"/>
    <w:rsid w:val="00A23487"/>
    <w:rsid w:val="00A234EE"/>
    <w:rsid w:val="00A23590"/>
    <w:rsid w:val="00A235EE"/>
    <w:rsid w:val="00A235F8"/>
    <w:rsid w:val="00A23754"/>
    <w:rsid w:val="00A237C2"/>
    <w:rsid w:val="00A237C7"/>
    <w:rsid w:val="00A23B92"/>
    <w:rsid w:val="00A23BB5"/>
    <w:rsid w:val="00A23C6C"/>
    <w:rsid w:val="00A23D37"/>
    <w:rsid w:val="00A23DE3"/>
    <w:rsid w:val="00A240AC"/>
    <w:rsid w:val="00A24107"/>
    <w:rsid w:val="00A24118"/>
    <w:rsid w:val="00A24174"/>
    <w:rsid w:val="00A24241"/>
    <w:rsid w:val="00A24357"/>
    <w:rsid w:val="00A24358"/>
    <w:rsid w:val="00A245E4"/>
    <w:rsid w:val="00A246BF"/>
    <w:rsid w:val="00A24822"/>
    <w:rsid w:val="00A249A6"/>
    <w:rsid w:val="00A24D30"/>
    <w:rsid w:val="00A24D5D"/>
    <w:rsid w:val="00A24E74"/>
    <w:rsid w:val="00A24EB9"/>
    <w:rsid w:val="00A24F57"/>
    <w:rsid w:val="00A24FAF"/>
    <w:rsid w:val="00A24FB7"/>
    <w:rsid w:val="00A251E0"/>
    <w:rsid w:val="00A25289"/>
    <w:rsid w:val="00A2529B"/>
    <w:rsid w:val="00A252AF"/>
    <w:rsid w:val="00A254C0"/>
    <w:rsid w:val="00A25782"/>
    <w:rsid w:val="00A25923"/>
    <w:rsid w:val="00A2593B"/>
    <w:rsid w:val="00A259B6"/>
    <w:rsid w:val="00A25C17"/>
    <w:rsid w:val="00A25C19"/>
    <w:rsid w:val="00A25DF1"/>
    <w:rsid w:val="00A260CE"/>
    <w:rsid w:val="00A26241"/>
    <w:rsid w:val="00A26280"/>
    <w:rsid w:val="00A263E5"/>
    <w:rsid w:val="00A26464"/>
    <w:rsid w:val="00A265FA"/>
    <w:rsid w:val="00A26657"/>
    <w:rsid w:val="00A2670D"/>
    <w:rsid w:val="00A268D7"/>
    <w:rsid w:val="00A2691C"/>
    <w:rsid w:val="00A26B47"/>
    <w:rsid w:val="00A26B7D"/>
    <w:rsid w:val="00A26B83"/>
    <w:rsid w:val="00A26E7B"/>
    <w:rsid w:val="00A26ED6"/>
    <w:rsid w:val="00A27141"/>
    <w:rsid w:val="00A27238"/>
    <w:rsid w:val="00A272F0"/>
    <w:rsid w:val="00A27359"/>
    <w:rsid w:val="00A27817"/>
    <w:rsid w:val="00A27AD9"/>
    <w:rsid w:val="00A27DF6"/>
    <w:rsid w:val="00A27E27"/>
    <w:rsid w:val="00A30010"/>
    <w:rsid w:val="00A3032A"/>
    <w:rsid w:val="00A30563"/>
    <w:rsid w:val="00A30821"/>
    <w:rsid w:val="00A308C7"/>
    <w:rsid w:val="00A309C1"/>
    <w:rsid w:val="00A309F8"/>
    <w:rsid w:val="00A30A1B"/>
    <w:rsid w:val="00A30D2D"/>
    <w:rsid w:val="00A31218"/>
    <w:rsid w:val="00A31349"/>
    <w:rsid w:val="00A3136D"/>
    <w:rsid w:val="00A31786"/>
    <w:rsid w:val="00A317B2"/>
    <w:rsid w:val="00A31A41"/>
    <w:rsid w:val="00A31CF9"/>
    <w:rsid w:val="00A31DBD"/>
    <w:rsid w:val="00A31F7F"/>
    <w:rsid w:val="00A3234E"/>
    <w:rsid w:val="00A32405"/>
    <w:rsid w:val="00A32615"/>
    <w:rsid w:val="00A3274A"/>
    <w:rsid w:val="00A32804"/>
    <w:rsid w:val="00A32958"/>
    <w:rsid w:val="00A32AC3"/>
    <w:rsid w:val="00A32B00"/>
    <w:rsid w:val="00A32B37"/>
    <w:rsid w:val="00A32E1E"/>
    <w:rsid w:val="00A331C6"/>
    <w:rsid w:val="00A3329B"/>
    <w:rsid w:val="00A33381"/>
    <w:rsid w:val="00A33652"/>
    <w:rsid w:val="00A33907"/>
    <w:rsid w:val="00A33B86"/>
    <w:rsid w:val="00A33D0A"/>
    <w:rsid w:val="00A33D5C"/>
    <w:rsid w:val="00A33EC7"/>
    <w:rsid w:val="00A33EDE"/>
    <w:rsid w:val="00A33F55"/>
    <w:rsid w:val="00A33F5B"/>
    <w:rsid w:val="00A33FE9"/>
    <w:rsid w:val="00A3409D"/>
    <w:rsid w:val="00A342BB"/>
    <w:rsid w:val="00A3433D"/>
    <w:rsid w:val="00A34421"/>
    <w:rsid w:val="00A34471"/>
    <w:rsid w:val="00A345E1"/>
    <w:rsid w:val="00A345F3"/>
    <w:rsid w:val="00A3472D"/>
    <w:rsid w:val="00A34956"/>
    <w:rsid w:val="00A349FA"/>
    <w:rsid w:val="00A34A25"/>
    <w:rsid w:val="00A34EA5"/>
    <w:rsid w:val="00A3502C"/>
    <w:rsid w:val="00A3543A"/>
    <w:rsid w:val="00A35834"/>
    <w:rsid w:val="00A35905"/>
    <w:rsid w:val="00A359D5"/>
    <w:rsid w:val="00A35A7C"/>
    <w:rsid w:val="00A35AB5"/>
    <w:rsid w:val="00A35C30"/>
    <w:rsid w:val="00A35EF0"/>
    <w:rsid w:val="00A35F14"/>
    <w:rsid w:val="00A36031"/>
    <w:rsid w:val="00A36147"/>
    <w:rsid w:val="00A367DF"/>
    <w:rsid w:val="00A36B73"/>
    <w:rsid w:val="00A36B75"/>
    <w:rsid w:val="00A36E36"/>
    <w:rsid w:val="00A36FCC"/>
    <w:rsid w:val="00A37293"/>
    <w:rsid w:val="00A372C5"/>
    <w:rsid w:val="00A375E6"/>
    <w:rsid w:val="00A37688"/>
    <w:rsid w:val="00A377A2"/>
    <w:rsid w:val="00A377DF"/>
    <w:rsid w:val="00A37954"/>
    <w:rsid w:val="00A37D44"/>
    <w:rsid w:val="00A37E3A"/>
    <w:rsid w:val="00A37FBE"/>
    <w:rsid w:val="00A40025"/>
    <w:rsid w:val="00A4002E"/>
    <w:rsid w:val="00A4013B"/>
    <w:rsid w:val="00A401A0"/>
    <w:rsid w:val="00A40214"/>
    <w:rsid w:val="00A40231"/>
    <w:rsid w:val="00A40342"/>
    <w:rsid w:val="00A403AE"/>
    <w:rsid w:val="00A404C5"/>
    <w:rsid w:val="00A405AA"/>
    <w:rsid w:val="00A40753"/>
    <w:rsid w:val="00A4076C"/>
    <w:rsid w:val="00A408E8"/>
    <w:rsid w:val="00A40DC1"/>
    <w:rsid w:val="00A40E54"/>
    <w:rsid w:val="00A40F0B"/>
    <w:rsid w:val="00A41189"/>
    <w:rsid w:val="00A411E9"/>
    <w:rsid w:val="00A413B9"/>
    <w:rsid w:val="00A413D3"/>
    <w:rsid w:val="00A41567"/>
    <w:rsid w:val="00A41636"/>
    <w:rsid w:val="00A4195F"/>
    <w:rsid w:val="00A41A05"/>
    <w:rsid w:val="00A41A0D"/>
    <w:rsid w:val="00A41A35"/>
    <w:rsid w:val="00A41DA8"/>
    <w:rsid w:val="00A4208C"/>
    <w:rsid w:val="00A421E7"/>
    <w:rsid w:val="00A421ED"/>
    <w:rsid w:val="00A42217"/>
    <w:rsid w:val="00A42261"/>
    <w:rsid w:val="00A42325"/>
    <w:rsid w:val="00A423EE"/>
    <w:rsid w:val="00A424B5"/>
    <w:rsid w:val="00A42508"/>
    <w:rsid w:val="00A425B5"/>
    <w:rsid w:val="00A42658"/>
    <w:rsid w:val="00A42C0B"/>
    <w:rsid w:val="00A42C37"/>
    <w:rsid w:val="00A42D4A"/>
    <w:rsid w:val="00A42D97"/>
    <w:rsid w:val="00A42F04"/>
    <w:rsid w:val="00A42F3E"/>
    <w:rsid w:val="00A431C4"/>
    <w:rsid w:val="00A43258"/>
    <w:rsid w:val="00A432BB"/>
    <w:rsid w:val="00A4348D"/>
    <w:rsid w:val="00A4361C"/>
    <w:rsid w:val="00A43636"/>
    <w:rsid w:val="00A43759"/>
    <w:rsid w:val="00A4376D"/>
    <w:rsid w:val="00A438D4"/>
    <w:rsid w:val="00A43AAC"/>
    <w:rsid w:val="00A43CDA"/>
    <w:rsid w:val="00A43EF1"/>
    <w:rsid w:val="00A43F72"/>
    <w:rsid w:val="00A441ED"/>
    <w:rsid w:val="00A4426D"/>
    <w:rsid w:val="00A44409"/>
    <w:rsid w:val="00A44498"/>
    <w:rsid w:val="00A444BE"/>
    <w:rsid w:val="00A44538"/>
    <w:rsid w:val="00A4460A"/>
    <w:rsid w:val="00A4461B"/>
    <w:rsid w:val="00A447F0"/>
    <w:rsid w:val="00A44B57"/>
    <w:rsid w:val="00A44C29"/>
    <w:rsid w:val="00A44D03"/>
    <w:rsid w:val="00A44D9A"/>
    <w:rsid w:val="00A45013"/>
    <w:rsid w:val="00A451E5"/>
    <w:rsid w:val="00A45230"/>
    <w:rsid w:val="00A453DD"/>
    <w:rsid w:val="00A4557B"/>
    <w:rsid w:val="00A45638"/>
    <w:rsid w:val="00A459AE"/>
    <w:rsid w:val="00A45A4B"/>
    <w:rsid w:val="00A45AD6"/>
    <w:rsid w:val="00A45B2D"/>
    <w:rsid w:val="00A45C6E"/>
    <w:rsid w:val="00A45C89"/>
    <w:rsid w:val="00A45CB4"/>
    <w:rsid w:val="00A45E4F"/>
    <w:rsid w:val="00A460BF"/>
    <w:rsid w:val="00A460EE"/>
    <w:rsid w:val="00A46118"/>
    <w:rsid w:val="00A4619A"/>
    <w:rsid w:val="00A46479"/>
    <w:rsid w:val="00A464A1"/>
    <w:rsid w:val="00A46ABD"/>
    <w:rsid w:val="00A46DA4"/>
    <w:rsid w:val="00A47075"/>
    <w:rsid w:val="00A47163"/>
    <w:rsid w:val="00A47174"/>
    <w:rsid w:val="00A471C1"/>
    <w:rsid w:val="00A47279"/>
    <w:rsid w:val="00A472E3"/>
    <w:rsid w:val="00A47410"/>
    <w:rsid w:val="00A4748F"/>
    <w:rsid w:val="00A475F5"/>
    <w:rsid w:val="00A476F0"/>
    <w:rsid w:val="00A476F1"/>
    <w:rsid w:val="00A47708"/>
    <w:rsid w:val="00A47738"/>
    <w:rsid w:val="00A47884"/>
    <w:rsid w:val="00A4794F"/>
    <w:rsid w:val="00A479CE"/>
    <w:rsid w:val="00A47CB0"/>
    <w:rsid w:val="00A47D33"/>
    <w:rsid w:val="00A47DB4"/>
    <w:rsid w:val="00A47F8D"/>
    <w:rsid w:val="00A50096"/>
    <w:rsid w:val="00A500FA"/>
    <w:rsid w:val="00A5014A"/>
    <w:rsid w:val="00A5018D"/>
    <w:rsid w:val="00A506C9"/>
    <w:rsid w:val="00A50A9D"/>
    <w:rsid w:val="00A50B04"/>
    <w:rsid w:val="00A50D55"/>
    <w:rsid w:val="00A50E9C"/>
    <w:rsid w:val="00A50F0A"/>
    <w:rsid w:val="00A5119B"/>
    <w:rsid w:val="00A5127D"/>
    <w:rsid w:val="00A512CA"/>
    <w:rsid w:val="00A512F6"/>
    <w:rsid w:val="00A514C9"/>
    <w:rsid w:val="00A514CA"/>
    <w:rsid w:val="00A516AD"/>
    <w:rsid w:val="00A516BF"/>
    <w:rsid w:val="00A5174A"/>
    <w:rsid w:val="00A51784"/>
    <w:rsid w:val="00A519D8"/>
    <w:rsid w:val="00A51ACA"/>
    <w:rsid w:val="00A51B09"/>
    <w:rsid w:val="00A51B58"/>
    <w:rsid w:val="00A51C96"/>
    <w:rsid w:val="00A520CA"/>
    <w:rsid w:val="00A522B5"/>
    <w:rsid w:val="00A52348"/>
    <w:rsid w:val="00A52467"/>
    <w:rsid w:val="00A52476"/>
    <w:rsid w:val="00A52484"/>
    <w:rsid w:val="00A52576"/>
    <w:rsid w:val="00A5257B"/>
    <w:rsid w:val="00A52A02"/>
    <w:rsid w:val="00A52A17"/>
    <w:rsid w:val="00A52A76"/>
    <w:rsid w:val="00A52B74"/>
    <w:rsid w:val="00A52CE9"/>
    <w:rsid w:val="00A52D6C"/>
    <w:rsid w:val="00A52E40"/>
    <w:rsid w:val="00A5315A"/>
    <w:rsid w:val="00A532B6"/>
    <w:rsid w:val="00A53414"/>
    <w:rsid w:val="00A53552"/>
    <w:rsid w:val="00A536A0"/>
    <w:rsid w:val="00A5389E"/>
    <w:rsid w:val="00A53BE0"/>
    <w:rsid w:val="00A53BE6"/>
    <w:rsid w:val="00A53C9F"/>
    <w:rsid w:val="00A53DDF"/>
    <w:rsid w:val="00A53EEB"/>
    <w:rsid w:val="00A54034"/>
    <w:rsid w:val="00A540B2"/>
    <w:rsid w:val="00A54269"/>
    <w:rsid w:val="00A54730"/>
    <w:rsid w:val="00A548A3"/>
    <w:rsid w:val="00A5499C"/>
    <w:rsid w:val="00A549FA"/>
    <w:rsid w:val="00A54A41"/>
    <w:rsid w:val="00A54A98"/>
    <w:rsid w:val="00A54BD2"/>
    <w:rsid w:val="00A54E4E"/>
    <w:rsid w:val="00A54ECC"/>
    <w:rsid w:val="00A55201"/>
    <w:rsid w:val="00A55362"/>
    <w:rsid w:val="00A555AD"/>
    <w:rsid w:val="00A555FD"/>
    <w:rsid w:val="00A556AA"/>
    <w:rsid w:val="00A558B9"/>
    <w:rsid w:val="00A558E2"/>
    <w:rsid w:val="00A55BF9"/>
    <w:rsid w:val="00A55D21"/>
    <w:rsid w:val="00A55E22"/>
    <w:rsid w:val="00A5604A"/>
    <w:rsid w:val="00A561AD"/>
    <w:rsid w:val="00A562DC"/>
    <w:rsid w:val="00A564A0"/>
    <w:rsid w:val="00A565DF"/>
    <w:rsid w:val="00A56632"/>
    <w:rsid w:val="00A56676"/>
    <w:rsid w:val="00A566A3"/>
    <w:rsid w:val="00A56E71"/>
    <w:rsid w:val="00A56EC0"/>
    <w:rsid w:val="00A56EC5"/>
    <w:rsid w:val="00A571D1"/>
    <w:rsid w:val="00A5724E"/>
    <w:rsid w:val="00A572A3"/>
    <w:rsid w:val="00A57344"/>
    <w:rsid w:val="00A57732"/>
    <w:rsid w:val="00A57B6B"/>
    <w:rsid w:val="00A57C6E"/>
    <w:rsid w:val="00A600DE"/>
    <w:rsid w:val="00A6020B"/>
    <w:rsid w:val="00A605A5"/>
    <w:rsid w:val="00A605F9"/>
    <w:rsid w:val="00A60625"/>
    <w:rsid w:val="00A6069E"/>
    <w:rsid w:val="00A606B5"/>
    <w:rsid w:val="00A60C6E"/>
    <w:rsid w:val="00A60CE7"/>
    <w:rsid w:val="00A60FEC"/>
    <w:rsid w:val="00A610ED"/>
    <w:rsid w:val="00A61263"/>
    <w:rsid w:val="00A61293"/>
    <w:rsid w:val="00A61396"/>
    <w:rsid w:val="00A613DB"/>
    <w:rsid w:val="00A614A9"/>
    <w:rsid w:val="00A61529"/>
    <w:rsid w:val="00A61664"/>
    <w:rsid w:val="00A61739"/>
    <w:rsid w:val="00A618FF"/>
    <w:rsid w:val="00A61908"/>
    <w:rsid w:val="00A61B14"/>
    <w:rsid w:val="00A61BD5"/>
    <w:rsid w:val="00A61DF7"/>
    <w:rsid w:val="00A61E73"/>
    <w:rsid w:val="00A61F42"/>
    <w:rsid w:val="00A61F6E"/>
    <w:rsid w:val="00A620C3"/>
    <w:rsid w:val="00A62153"/>
    <w:rsid w:val="00A621BE"/>
    <w:rsid w:val="00A622C4"/>
    <w:rsid w:val="00A62431"/>
    <w:rsid w:val="00A62516"/>
    <w:rsid w:val="00A62580"/>
    <w:rsid w:val="00A6259B"/>
    <w:rsid w:val="00A62646"/>
    <w:rsid w:val="00A626F0"/>
    <w:rsid w:val="00A629EB"/>
    <w:rsid w:val="00A62B23"/>
    <w:rsid w:val="00A62C1C"/>
    <w:rsid w:val="00A62C38"/>
    <w:rsid w:val="00A62D4C"/>
    <w:rsid w:val="00A62EA5"/>
    <w:rsid w:val="00A63089"/>
    <w:rsid w:val="00A63117"/>
    <w:rsid w:val="00A631E3"/>
    <w:rsid w:val="00A631E9"/>
    <w:rsid w:val="00A63291"/>
    <w:rsid w:val="00A6337C"/>
    <w:rsid w:val="00A63543"/>
    <w:rsid w:val="00A6373E"/>
    <w:rsid w:val="00A63763"/>
    <w:rsid w:val="00A63769"/>
    <w:rsid w:val="00A6378E"/>
    <w:rsid w:val="00A63A3A"/>
    <w:rsid w:val="00A63A97"/>
    <w:rsid w:val="00A63DE2"/>
    <w:rsid w:val="00A63ED1"/>
    <w:rsid w:val="00A63F0D"/>
    <w:rsid w:val="00A64009"/>
    <w:rsid w:val="00A64261"/>
    <w:rsid w:val="00A645DC"/>
    <w:rsid w:val="00A64F78"/>
    <w:rsid w:val="00A65215"/>
    <w:rsid w:val="00A654A0"/>
    <w:rsid w:val="00A656FE"/>
    <w:rsid w:val="00A65891"/>
    <w:rsid w:val="00A6592D"/>
    <w:rsid w:val="00A65934"/>
    <w:rsid w:val="00A65A5C"/>
    <w:rsid w:val="00A65A73"/>
    <w:rsid w:val="00A65B20"/>
    <w:rsid w:val="00A65DC4"/>
    <w:rsid w:val="00A65EF4"/>
    <w:rsid w:val="00A660FA"/>
    <w:rsid w:val="00A66132"/>
    <w:rsid w:val="00A661C6"/>
    <w:rsid w:val="00A661D5"/>
    <w:rsid w:val="00A6625E"/>
    <w:rsid w:val="00A6628F"/>
    <w:rsid w:val="00A66306"/>
    <w:rsid w:val="00A66427"/>
    <w:rsid w:val="00A66622"/>
    <w:rsid w:val="00A666FA"/>
    <w:rsid w:val="00A66756"/>
    <w:rsid w:val="00A668EC"/>
    <w:rsid w:val="00A66B95"/>
    <w:rsid w:val="00A66C68"/>
    <w:rsid w:val="00A66DDE"/>
    <w:rsid w:val="00A66E15"/>
    <w:rsid w:val="00A66E4E"/>
    <w:rsid w:val="00A66F41"/>
    <w:rsid w:val="00A66F6C"/>
    <w:rsid w:val="00A673D4"/>
    <w:rsid w:val="00A673F8"/>
    <w:rsid w:val="00A67410"/>
    <w:rsid w:val="00A675C5"/>
    <w:rsid w:val="00A678B8"/>
    <w:rsid w:val="00A67B86"/>
    <w:rsid w:val="00A67BB2"/>
    <w:rsid w:val="00A67C75"/>
    <w:rsid w:val="00A67EF7"/>
    <w:rsid w:val="00A67FB2"/>
    <w:rsid w:val="00A7000A"/>
    <w:rsid w:val="00A705CB"/>
    <w:rsid w:val="00A706F7"/>
    <w:rsid w:val="00A7093D"/>
    <w:rsid w:val="00A70A63"/>
    <w:rsid w:val="00A70AF0"/>
    <w:rsid w:val="00A70C04"/>
    <w:rsid w:val="00A70FA5"/>
    <w:rsid w:val="00A70FE4"/>
    <w:rsid w:val="00A7107B"/>
    <w:rsid w:val="00A7142C"/>
    <w:rsid w:val="00A71680"/>
    <w:rsid w:val="00A71682"/>
    <w:rsid w:val="00A718AE"/>
    <w:rsid w:val="00A71E6D"/>
    <w:rsid w:val="00A71E8A"/>
    <w:rsid w:val="00A72088"/>
    <w:rsid w:val="00A72130"/>
    <w:rsid w:val="00A72224"/>
    <w:rsid w:val="00A72666"/>
    <w:rsid w:val="00A7278E"/>
    <w:rsid w:val="00A7298C"/>
    <w:rsid w:val="00A72A1B"/>
    <w:rsid w:val="00A72C26"/>
    <w:rsid w:val="00A73090"/>
    <w:rsid w:val="00A73139"/>
    <w:rsid w:val="00A7314A"/>
    <w:rsid w:val="00A7317A"/>
    <w:rsid w:val="00A73659"/>
    <w:rsid w:val="00A7373F"/>
    <w:rsid w:val="00A737C4"/>
    <w:rsid w:val="00A73898"/>
    <w:rsid w:val="00A739E1"/>
    <w:rsid w:val="00A73A99"/>
    <w:rsid w:val="00A73BBF"/>
    <w:rsid w:val="00A73BE3"/>
    <w:rsid w:val="00A73C34"/>
    <w:rsid w:val="00A73C44"/>
    <w:rsid w:val="00A73CD7"/>
    <w:rsid w:val="00A73D23"/>
    <w:rsid w:val="00A73D9E"/>
    <w:rsid w:val="00A74166"/>
    <w:rsid w:val="00A7440F"/>
    <w:rsid w:val="00A744B5"/>
    <w:rsid w:val="00A744EA"/>
    <w:rsid w:val="00A74582"/>
    <w:rsid w:val="00A745C2"/>
    <w:rsid w:val="00A74604"/>
    <w:rsid w:val="00A7463C"/>
    <w:rsid w:val="00A7472A"/>
    <w:rsid w:val="00A747BD"/>
    <w:rsid w:val="00A747CC"/>
    <w:rsid w:val="00A74875"/>
    <w:rsid w:val="00A74917"/>
    <w:rsid w:val="00A74C8F"/>
    <w:rsid w:val="00A75007"/>
    <w:rsid w:val="00A7502E"/>
    <w:rsid w:val="00A75268"/>
    <w:rsid w:val="00A75450"/>
    <w:rsid w:val="00A755F9"/>
    <w:rsid w:val="00A75679"/>
    <w:rsid w:val="00A75850"/>
    <w:rsid w:val="00A75A63"/>
    <w:rsid w:val="00A75B36"/>
    <w:rsid w:val="00A75B64"/>
    <w:rsid w:val="00A75BBA"/>
    <w:rsid w:val="00A75C36"/>
    <w:rsid w:val="00A75CE0"/>
    <w:rsid w:val="00A75D3D"/>
    <w:rsid w:val="00A75E19"/>
    <w:rsid w:val="00A75E34"/>
    <w:rsid w:val="00A75F93"/>
    <w:rsid w:val="00A75F99"/>
    <w:rsid w:val="00A76053"/>
    <w:rsid w:val="00A760A2"/>
    <w:rsid w:val="00A7632E"/>
    <w:rsid w:val="00A76449"/>
    <w:rsid w:val="00A76531"/>
    <w:rsid w:val="00A76572"/>
    <w:rsid w:val="00A76643"/>
    <w:rsid w:val="00A76663"/>
    <w:rsid w:val="00A76690"/>
    <w:rsid w:val="00A76716"/>
    <w:rsid w:val="00A767AB"/>
    <w:rsid w:val="00A767C0"/>
    <w:rsid w:val="00A76844"/>
    <w:rsid w:val="00A76B58"/>
    <w:rsid w:val="00A76B95"/>
    <w:rsid w:val="00A77182"/>
    <w:rsid w:val="00A77307"/>
    <w:rsid w:val="00A77388"/>
    <w:rsid w:val="00A773A2"/>
    <w:rsid w:val="00A774B9"/>
    <w:rsid w:val="00A774D9"/>
    <w:rsid w:val="00A7771A"/>
    <w:rsid w:val="00A7778E"/>
    <w:rsid w:val="00A7779F"/>
    <w:rsid w:val="00A7787E"/>
    <w:rsid w:val="00A77969"/>
    <w:rsid w:val="00A77985"/>
    <w:rsid w:val="00A77988"/>
    <w:rsid w:val="00A77ABC"/>
    <w:rsid w:val="00A77AC7"/>
    <w:rsid w:val="00A77E25"/>
    <w:rsid w:val="00A77E56"/>
    <w:rsid w:val="00A77F4A"/>
    <w:rsid w:val="00A77F5D"/>
    <w:rsid w:val="00A80038"/>
    <w:rsid w:val="00A80187"/>
    <w:rsid w:val="00A80207"/>
    <w:rsid w:val="00A8020E"/>
    <w:rsid w:val="00A803EE"/>
    <w:rsid w:val="00A80494"/>
    <w:rsid w:val="00A805A7"/>
    <w:rsid w:val="00A805F3"/>
    <w:rsid w:val="00A806D0"/>
    <w:rsid w:val="00A80711"/>
    <w:rsid w:val="00A80855"/>
    <w:rsid w:val="00A80857"/>
    <w:rsid w:val="00A80999"/>
    <w:rsid w:val="00A80CED"/>
    <w:rsid w:val="00A80D59"/>
    <w:rsid w:val="00A80DCD"/>
    <w:rsid w:val="00A810BD"/>
    <w:rsid w:val="00A81333"/>
    <w:rsid w:val="00A8157B"/>
    <w:rsid w:val="00A81ABF"/>
    <w:rsid w:val="00A81ACE"/>
    <w:rsid w:val="00A81BDB"/>
    <w:rsid w:val="00A81C90"/>
    <w:rsid w:val="00A81DA7"/>
    <w:rsid w:val="00A81F3C"/>
    <w:rsid w:val="00A81FFF"/>
    <w:rsid w:val="00A820C8"/>
    <w:rsid w:val="00A821EC"/>
    <w:rsid w:val="00A821F3"/>
    <w:rsid w:val="00A8221D"/>
    <w:rsid w:val="00A8223F"/>
    <w:rsid w:val="00A8225C"/>
    <w:rsid w:val="00A82571"/>
    <w:rsid w:val="00A8257C"/>
    <w:rsid w:val="00A8258A"/>
    <w:rsid w:val="00A826C7"/>
    <w:rsid w:val="00A827A5"/>
    <w:rsid w:val="00A827E6"/>
    <w:rsid w:val="00A82FE5"/>
    <w:rsid w:val="00A83033"/>
    <w:rsid w:val="00A83300"/>
    <w:rsid w:val="00A8334D"/>
    <w:rsid w:val="00A834A9"/>
    <w:rsid w:val="00A83535"/>
    <w:rsid w:val="00A83700"/>
    <w:rsid w:val="00A83DF4"/>
    <w:rsid w:val="00A83E7A"/>
    <w:rsid w:val="00A83F5E"/>
    <w:rsid w:val="00A83F7A"/>
    <w:rsid w:val="00A83F97"/>
    <w:rsid w:val="00A842C9"/>
    <w:rsid w:val="00A8435C"/>
    <w:rsid w:val="00A848FA"/>
    <w:rsid w:val="00A84A76"/>
    <w:rsid w:val="00A84B3D"/>
    <w:rsid w:val="00A84B5E"/>
    <w:rsid w:val="00A84BAA"/>
    <w:rsid w:val="00A84C91"/>
    <w:rsid w:val="00A84CAE"/>
    <w:rsid w:val="00A85007"/>
    <w:rsid w:val="00A85108"/>
    <w:rsid w:val="00A85141"/>
    <w:rsid w:val="00A8522B"/>
    <w:rsid w:val="00A854AE"/>
    <w:rsid w:val="00A85530"/>
    <w:rsid w:val="00A85683"/>
    <w:rsid w:val="00A8569D"/>
    <w:rsid w:val="00A85769"/>
    <w:rsid w:val="00A85BEE"/>
    <w:rsid w:val="00A85F4E"/>
    <w:rsid w:val="00A86033"/>
    <w:rsid w:val="00A86134"/>
    <w:rsid w:val="00A861D6"/>
    <w:rsid w:val="00A863A0"/>
    <w:rsid w:val="00A863E8"/>
    <w:rsid w:val="00A864FC"/>
    <w:rsid w:val="00A8651D"/>
    <w:rsid w:val="00A8659E"/>
    <w:rsid w:val="00A86648"/>
    <w:rsid w:val="00A868F0"/>
    <w:rsid w:val="00A8696E"/>
    <w:rsid w:val="00A86A36"/>
    <w:rsid w:val="00A86AF1"/>
    <w:rsid w:val="00A86B20"/>
    <w:rsid w:val="00A86B64"/>
    <w:rsid w:val="00A86D50"/>
    <w:rsid w:val="00A86D84"/>
    <w:rsid w:val="00A86E2C"/>
    <w:rsid w:val="00A86EF1"/>
    <w:rsid w:val="00A870AF"/>
    <w:rsid w:val="00A8711D"/>
    <w:rsid w:val="00A87287"/>
    <w:rsid w:val="00A87302"/>
    <w:rsid w:val="00A87390"/>
    <w:rsid w:val="00A873B9"/>
    <w:rsid w:val="00A87418"/>
    <w:rsid w:val="00A87465"/>
    <w:rsid w:val="00A87573"/>
    <w:rsid w:val="00A877DA"/>
    <w:rsid w:val="00A87823"/>
    <w:rsid w:val="00A8788D"/>
    <w:rsid w:val="00A87890"/>
    <w:rsid w:val="00A878B6"/>
    <w:rsid w:val="00A87A35"/>
    <w:rsid w:val="00A87A44"/>
    <w:rsid w:val="00A87B1C"/>
    <w:rsid w:val="00A87C01"/>
    <w:rsid w:val="00A87CCE"/>
    <w:rsid w:val="00A87CF0"/>
    <w:rsid w:val="00A87DDF"/>
    <w:rsid w:val="00A87F10"/>
    <w:rsid w:val="00A87FA6"/>
    <w:rsid w:val="00A901C5"/>
    <w:rsid w:val="00A902AB"/>
    <w:rsid w:val="00A903AE"/>
    <w:rsid w:val="00A90728"/>
    <w:rsid w:val="00A90866"/>
    <w:rsid w:val="00A90879"/>
    <w:rsid w:val="00A90A09"/>
    <w:rsid w:val="00A90A2F"/>
    <w:rsid w:val="00A90A33"/>
    <w:rsid w:val="00A90B4B"/>
    <w:rsid w:val="00A90B50"/>
    <w:rsid w:val="00A90CE2"/>
    <w:rsid w:val="00A90CEC"/>
    <w:rsid w:val="00A90EAF"/>
    <w:rsid w:val="00A90F00"/>
    <w:rsid w:val="00A90F5E"/>
    <w:rsid w:val="00A91005"/>
    <w:rsid w:val="00A910F6"/>
    <w:rsid w:val="00A91144"/>
    <w:rsid w:val="00A91259"/>
    <w:rsid w:val="00A91341"/>
    <w:rsid w:val="00A913B2"/>
    <w:rsid w:val="00A91520"/>
    <w:rsid w:val="00A91574"/>
    <w:rsid w:val="00A91AD3"/>
    <w:rsid w:val="00A9207B"/>
    <w:rsid w:val="00A9208F"/>
    <w:rsid w:val="00A9214C"/>
    <w:rsid w:val="00A921BF"/>
    <w:rsid w:val="00A92297"/>
    <w:rsid w:val="00A922D9"/>
    <w:rsid w:val="00A923A4"/>
    <w:rsid w:val="00A92491"/>
    <w:rsid w:val="00A924C4"/>
    <w:rsid w:val="00A92560"/>
    <w:rsid w:val="00A92618"/>
    <w:rsid w:val="00A926D0"/>
    <w:rsid w:val="00A92744"/>
    <w:rsid w:val="00A9288C"/>
    <w:rsid w:val="00A929FD"/>
    <w:rsid w:val="00A92B3E"/>
    <w:rsid w:val="00A92B65"/>
    <w:rsid w:val="00A92BAD"/>
    <w:rsid w:val="00A92D3D"/>
    <w:rsid w:val="00A93092"/>
    <w:rsid w:val="00A93129"/>
    <w:rsid w:val="00A931DB"/>
    <w:rsid w:val="00A93233"/>
    <w:rsid w:val="00A9324F"/>
    <w:rsid w:val="00A932A2"/>
    <w:rsid w:val="00A932B8"/>
    <w:rsid w:val="00A933B9"/>
    <w:rsid w:val="00A9348E"/>
    <w:rsid w:val="00A935EA"/>
    <w:rsid w:val="00A9368F"/>
    <w:rsid w:val="00A9369F"/>
    <w:rsid w:val="00A936E0"/>
    <w:rsid w:val="00A9377A"/>
    <w:rsid w:val="00A937CE"/>
    <w:rsid w:val="00A9387E"/>
    <w:rsid w:val="00A938A4"/>
    <w:rsid w:val="00A9393C"/>
    <w:rsid w:val="00A93A2A"/>
    <w:rsid w:val="00A93A6A"/>
    <w:rsid w:val="00A93A6E"/>
    <w:rsid w:val="00A93B0E"/>
    <w:rsid w:val="00A93BCC"/>
    <w:rsid w:val="00A94012"/>
    <w:rsid w:val="00A94122"/>
    <w:rsid w:val="00A9413B"/>
    <w:rsid w:val="00A941D8"/>
    <w:rsid w:val="00A94263"/>
    <w:rsid w:val="00A944A8"/>
    <w:rsid w:val="00A94650"/>
    <w:rsid w:val="00A94719"/>
    <w:rsid w:val="00A94754"/>
    <w:rsid w:val="00A9478C"/>
    <w:rsid w:val="00A947E1"/>
    <w:rsid w:val="00A94A18"/>
    <w:rsid w:val="00A94ABD"/>
    <w:rsid w:val="00A94CCE"/>
    <w:rsid w:val="00A94E95"/>
    <w:rsid w:val="00A95053"/>
    <w:rsid w:val="00A95342"/>
    <w:rsid w:val="00A9539D"/>
    <w:rsid w:val="00A953D3"/>
    <w:rsid w:val="00A953D8"/>
    <w:rsid w:val="00A95671"/>
    <w:rsid w:val="00A9593C"/>
    <w:rsid w:val="00A959EA"/>
    <w:rsid w:val="00A95B25"/>
    <w:rsid w:val="00A95C61"/>
    <w:rsid w:val="00A95D5D"/>
    <w:rsid w:val="00A95F2D"/>
    <w:rsid w:val="00A95F9C"/>
    <w:rsid w:val="00A95FAE"/>
    <w:rsid w:val="00A960BB"/>
    <w:rsid w:val="00A960DA"/>
    <w:rsid w:val="00A96268"/>
    <w:rsid w:val="00A9645D"/>
    <w:rsid w:val="00A96593"/>
    <w:rsid w:val="00A96707"/>
    <w:rsid w:val="00A96826"/>
    <w:rsid w:val="00A9686D"/>
    <w:rsid w:val="00A968D1"/>
    <w:rsid w:val="00A96AEA"/>
    <w:rsid w:val="00A96EB7"/>
    <w:rsid w:val="00A96EC8"/>
    <w:rsid w:val="00A96EF8"/>
    <w:rsid w:val="00A96F51"/>
    <w:rsid w:val="00A9705C"/>
    <w:rsid w:val="00A97298"/>
    <w:rsid w:val="00A974F0"/>
    <w:rsid w:val="00A9773F"/>
    <w:rsid w:val="00A9775A"/>
    <w:rsid w:val="00A97812"/>
    <w:rsid w:val="00A97992"/>
    <w:rsid w:val="00A97D36"/>
    <w:rsid w:val="00A97D8A"/>
    <w:rsid w:val="00A97EAD"/>
    <w:rsid w:val="00A97F57"/>
    <w:rsid w:val="00AA02BA"/>
    <w:rsid w:val="00AA0408"/>
    <w:rsid w:val="00AA0685"/>
    <w:rsid w:val="00AA06ED"/>
    <w:rsid w:val="00AA08AD"/>
    <w:rsid w:val="00AA08C1"/>
    <w:rsid w:val="00AA0ABC"/>
    <w:rsid w:val="00AA0B4A"/>
    <w:rsid w:val="00AA0DF8"/>
    <w:rsid w:val="00AA113D"/>
    <w:rsid w:val="00AA11AC"/>
    <w:rsid w:val="00AA12B5"/>
    <w:rsid w:val="00AA142C"/>
    <w:rsid w:val="00AA14A7"/>
    <w:rsid w:val="00AA15CA"/>
    <w:rsid w:val="00AA1851"/>
    <w:rsid w:val="00AA1B7F"/>
    <w:rsid w:val="00AA1B9A"/>
    <w:rsid w:val="00AA1CA6"/>
    <w:rsid w:val="00AA2066"/>
    <w:rsid w:val="00AA20F4"/>
    <w:rsid w:val="00AA22AE"/>
    <w:rsid w:val="00AA29CA"/>
    <w:rsid w:val="00AA2B89"/>
    <w:rsid w:val="00AA2C02"/>
    <w:rsid w:val="00AA2C4F"/>
    <w:rsid w:val="00AA2ED5"/>
    <w:rsid w:val="00AA2EE9"/>
    <w:rsid w:val="00AA2FBF"/>
    <w:rsid w:val="00AA3002"/>
    <w:rsid w:val="00AA324E"/>
    <w:rsid w:val="00AA3426"/>
    <w:rsid w:val="00AA405F"/>
    <w:rsid w:val="00AA42EA"/>
    <w:rsid w:val="00AA4370"/>
    <w:rsid w:val="00AA447A"/>
    <w:rsid w:val="00AA45D7"/>
    <w:rsid w:val="00AA46CC"/>
    <w:rsid w:val="00AA471B"/>
    <w:rsid w:val="00AA47A3"/>
    <w:rsid w:val="00AA498B"/>
    <w:rsid w:val="00AA4FC3"/>
    <w:rsid w:val="00AA53E3"/>
    <w:rsid w:val="00AA541A"/>
    <w:rsid w:val="00AA54C1"/>
    <w:rsid w:val="00AA5506"/>
    <w:rsid w:val="00AA5870"/>
    <w:rsid w:val="00AA59AB"/>
    <w:rsid w:val="00AA5B93"/>
    <w:rsid w:val="00AA5D88"/>
    <w:rsid w:val="00AA5E80"/>
    <w:rsid w:val="00AA5ED1"/>
    <w:rsid w:val="00AA5F48"/>
    <w:rsid w:val="00AA6021"/>
    <w:rsid w:val="00AA616D"/>
    <w:rsid w:val="00AA6317"/>
    <w:rsid w:val="00AA647E"/>
    <w:rsid w:val="00AA64FF"/>
    <w:rsid w:val="00AA6629"/>
    <w:rsid w:val="00AA6726"/>
    <w:rsid w:val="00AA672D"/>
    <w:rsid w:val="00AA6762"/>
    <w:rsid w:val="00AA6F0B"/>
    <w:rsid w:val="00AA6F19"/>
    <w:rsid w:val="00AA7034"/>
    <w:rsid w:val="00AA713A"/>
    <w:rsid w:val="00AA7167"/>
    <w:rsid w:val="00AA72B3"/>
    <w:rsid w:val="00AA731E"/>
    <w:rsid w:val="00AA73BD"/>
    <w:rsid w:val="00AA765F"/>
    <w:rsid w:val="00AA7668"/>
    <w:rsid w:val="00AA7689"/>
    <w:rsid w:val="00AA7824"/>
    <w:rsid w:val="00AA7877"/>
    <w:rsid w:val="00AA7BD8"/>
    <w:rsid w:val="00AA7CC8"/>
    <w:rsid w:val="00AA7CCD"/>
    <w:rsid w:val="00AA7D06"/>
    <w:rsid w:val="00AA7F7C"/>
    <w:rsid w:val="00AAF8AA"/>
    <w:rsid w:val="00AB04BA"/>
    <w:rsid w:val="00AB053F"/>
    <w:rsid w:val="00AB0585"/>
    <w:rsid w:val="00AB05AB"/>
    <w:rsid w:val="00AB0741"/>
    <w:rsid w:val="00AB079C"/>
    <w:rsid w:val="00AB07A7"/>
    <w:rsid w:val="00AB0876"/>
    <w:rsid w:val="00AB0B8E"/>
    <w:rsid w:val="00AB0CA0"/>
    <w:rsid w:val="00AB0D44"/>
    <w:rsid w:val="00AB0E0E"/>
    <w:rsid w:val="00AB0EE0"/>
    <w:rsid w:val="00AB0F9A"/>
    <w:rsid w:val="00AB0FB0"/>
    <w:rsid w:val="00AB10E5"/>
    <w:rsid w:val="00AB11B2"/>
    <w:rsid w:val="00AB12E5"/>
    <w:rsid w:val="00AB1325"/>
    <w:rsid w:val="00AB13A4"/>
    <w:rsid w:val="00AB1491"/>
    <w:rsid w:val="00AB1598"/>
    <w:rsid w:val="00AB16E2"/>
    <w:rsid w:val="00AB1802"/>
    <w:rsid w:val="00AB1C64"/>
    <w:rsid w:val="00AB1CD1"/>
    <w:rsid w:val="00AB1D51"/>
    <w:rsid w:val="00AB1DBE"/>
    <w:rsid w:val="00AB1ED6"/>
    <w:rsid w:val="00AB1F29"/>
    <w:rsid w:val="00AB224B"/>
    <w:rsid w:val="00AB23C1"/>
    <w:rsid w:val="00AB2478"/>
    <w:rsid w:val="00AB2845"/>
    <w:rsid w:val="00AB2C95"/>
    <w:rsid w:val="00AB2EAD"/>
    <w:rsid w:val="00AB2FB2"/>
    <w:rsid w:val="00AB2FFE"/>
    <w:rsid w:val="00AB3127"/>
    <w:rsid w:val="00AB31C6"/>
    <w:rsid w:val="00AB3391"/>
    <w:rsid w:val="00AB3726"/>
    <w:rsid w:val="00AB37CA"/>
    <w:rsid w:val="00AB3ACF"/>
    <w:rsid w:val="00AB3BEC"/>
    <w:rsid w:val="00AB3D33"/>
    <w:rsid w:val="00AB3D3B"/>
    <w:rsid w:val="00AB3D4E"/>
    <w:rsid w:val="00AB3D83"/>
    <w:rsid w:val="00AB3E49"/>
    <w:rsid w:val="00AB3F2E"/>
    <w:rsid w:val="00AB3FDC"/>
    <w:rsid w:val="00AB408F"/>
    <w:rsid w:val="00AB4103"/>
    <w:rsid w:val="00AB4134"/>
    <w:rsid w:val="00AB42BF"/>
    <w:rsid w:val="00AB42D8"/>
    <w:rsid w:val="00AB430F"/>
    <w:rsid w:val="00AB4380"/>
    <w:rsid w:val="00AB4389"/>
    <w:rsid w:val="00AB4461"/>
    <w:rsid w:val="00AB45A2"/>
    <w:rsid w:val="00AB4615"/>
    <w:rsid w:val="00AB4811"/>
    <w:rsid w:val="00AB48C1"/>
    <w:rsid w:val="00AB48C3"/>
    <w:rsid w:val="00AB48D5"/>
    <w:rsid w:val="00AB4938"/>
    <w:rsid w:val="00AB4A2D"/>
    <w:rsid w:val="00AB4A6F"/>
    <w:rsid w:val="00AB4B35"/>
    <w:rsid w:val="00AB4CE2"/>
    <w:rsid w:val="00AB4DFC"/>
    <w:rsid w:val="00AB4E36"/>
    <w:rsid w:val="00AB4F3C"/>
    <w:rsid w:val="00AB5392"/>
    <w:rsid w:val="00AB5934"/>
    <w:rsid w:val="00AB5A8F"/>
    <w:rsid w:val="00AB5B7E"/>
    <w:rsid w:val="00AB5C4B"/>
    <w:rsid w:val="00AB5C80"/>
    <w:rsid w:val="00AB5DE7"/>
    <w:rsid w:val="00AB603C"/>
    <w:rsid w:val="00AB624B"/>
    <w:rsid w:val="00AB63DE"/>
    <w:rsid w:val="00AB64F3"/>
    <w:rsid w:val="00AB656C"/>
    <w:rsid w:val="00AB6599"/>
    <w:rsid w:val="00AB65EA"/>
    <w:rsid w:val="00AB66B6"/>
    <w:rsid w:val="00AB69CA"/>
    <w:rsid w:val="00AB6BD2"/>
    <w:rsid w:val="00AB6D65"/>
    <w:rsid w:val="00AB6E69"/>
    <w:rsid w:val="00AB6F59"/>
    <w:rsid w:val="00AB6FAE"/>
    <w:rsid w:val="00AB6FE6"/>
    <w:rsid w:val="00AB70F8"/>
    <w:rsid w:val="00AB7105"/>
    <w:rsid w:val="00AB7166"/>
    <w:rsid w:val="00AB7186"/>
    <w:rsid w:val="00AB71D0"/>
    <w:rsid w:val="00AB7294"/>
    <w:rsid w:val="00AB74F2"/>
    <w:rsid w:val="00AB7536"/>
    <w:rsid w:val="00AB7710"/>
    <w:rsid w:val="00AB7976"/>
    <w:rsid w:val="00AB79E6"/>
    <w:rsid w:val="00AB7AA2"/>
    <w:rsid w:val="00AB7AD5"/>
    <w:rsid w:val="00AB7B67"/>
    <w:rsid w:val="00AB7F78"/>
    <w:rsid w:val="00AC013F"/>
    <w:rsid w:val="00AC02E6"/>
    <w:rsid w:val="00AC02FB"/>
    <w:rsid w:val="00AC040D"/>
    <w:rsid w:val="00AC04D7"/>
    <w:rsid w:val="00AC05A6"/>
    <w:rsid w:val="00AC0725"/>
    <w:rsid w:val="00AC0929"/>
    <w:rsid w:val="00AC09AE"/>
    <w:rsid w:val="00AC09B4"/>
    <w:rsid w:val="00AC0D51"/>
    <w:rsid w:val="00AC0D62"/>
    <w:rsid w:val="00AC0D91"/>
    <w:rsid w:val="00AC0E84"/>
    <w:rsid w:val="00AC0EC0"/>
    <w:rsid w:val="00AC0FF6"/>
    <w:rsid w:val="00AC1039"/>
    <w:rsid w:val="00AC1163"/>
    <w:rsid w:val="00AC13E7"/>
    <w:rsid w:val="00AC1726"/>
    <w:rsid w:val="00AC1746"/>
    <w:rsid w:val="00AC187F"/>
    <w:rsid w:val="00AC18B2"/>
    <w:rsid w:val="00AC1949"/>
    <w:rsid w:val="00AC19ED"/>
    <w:rsid w:val="00AC1B88"/>
    <w:rsid w:val="00AC1E47"/>
    <w:rsid w:val="00AC2556"/>
    <w:rsid w:val="00AC2694"/>
    <w:rsid w:val="00AC2833"/>
    <w:rsid w:val="00AC287D"/>
    <w:rsid w:val="00AC298B"/>
    <w:rsid w:val="00AC2A60"/>
    <w:rsid w:val="00AC2D13"/>
    <w:rsid w:val="00AC2DDE"/>
    <w:rsid w:val="00AC3244"/>
    <w:rsid w:val="00AC33B0"/>
    <w:rsid w:val="00AC3543"/>
    <w:rsid w:val="00AC3B3E"/>
    <w:rsid w:val="00AC3E92"/>
    <w:rsid w:val="00AC3EC2"/>
    <w:rsid w:val="00AC405B"/>
    <w:rsid w:val="00AC4120"/>
    <w:rsid w:val="00AC433C"/>
    <w:rsid w:val="00AC43F3"/>
    <w:rsid w:val="00AC4431"/>
    <w:rsid w:val="00AC4A4E"/>
    <w:rsid w:val="00AC4A58"/>
    <w:rsid w:val="00AC4C7E"/>
    <w:rsid w:val="00AC4CCF"/>
    <w:rsid w:val="00AC4DA4"/>
    <w:rsid w:val="00AC4F7B"/>
    <w:rsid w:val="00AC52C7"/>
    <w:rsid w:val="00AC5349"/>
    <w:rsid w:val="00AC53A7"/>
    <w:rsid w:val="00AC55A4"/>
    <w:rsid w:val="00AC5AB2"/>
    <w:rsid w:val="00AC5ABF"/>
    <w:rsid w:val="00AC5BCE"/>
    <w:rsid w:val="00AC5FA1"/>
    <w:rsid w:val="00AC6124"/>
    <w:rsid w:val="00AC61CB"/>
    <w:rsid w:val="00AC63C9"/>
    <w:rsid w:val="00AC6571"/>
    <w:rsid w:val="00AC65BF"/>
    <w:rsid w:val="00AC67B9"/>
    <w:rsid w:val="00AC69F1"/>
    <w:rsid w:val="00AC6C1D"/>
    <w:rsid w:val="00AC6D3A"/>
    <w:rsid w:val="00AC7187"/>
    <w:rsid w:val="00AC719A"/>
    <w:rsid w:val="00AC734A"/>
    <w:rsid w:val="00AC7448"/>
    <w:rsid w:val="00AC7539"/>
    <w:rsid w:val="00AC7692"/>
    <w:rsid w:val="00AC7974"/>
    <w:rsid w:val="00AC7A20"/>
    <w:rsid w:val="00AC7A85"/>
    <w:rsid w:val="00AC7D5A"/>
    <w:rsid w:val="00AC7EB0"/>
    <w:rsid w:val="00AC7EF4"/>
    <w:rsid w:val="00AD0021"/>
    <w:rsid w:val="00AD00D8"/>
    <w:rsid w:val="00AD0149"/>
    <w:rsid w:val="00AD037F"/>
    <w:rsid w:val="00AD0450"/>
    <w:rsid w:val="00AD04B7"/>
    <w:rsid w:val="00AD0592"/>
    <w:rsid w:val="00AD081A"/>
    <w:rsid w:val="00AD08F1"/>
    <w:rsid w:val="00AD0A25"/>
    <w:rsid w:val="00AD0A44"/>
    <w:rsid w:val="00AD0D4E"/>
    <w:rsid w:val="00AD0DF7"/>
    <w:rsid w:val="00AD0F00"/>
    <w:rsid w:val="00AD0F45"/>
    <w:rsid w:val="00AD1058"/>
    <w:rsid w:val="00AD110C"/>
    <w:rsid w:val="00AD117E"/>
    <w:rsid w:val="00AD127D"/>
    <w:rsid w:val="00AD129F"/>
    <w:rsid w:val="00AD137C"/>
    <w:rsid w:val="00AD158E"/>
    <w:rsid w:val="00AD1677"/>
    <w:rsid w:val="00AD1723"/>
    <w:rsid w:val="00AD1814"/>
    <w:rsid w:val="00AD186E"/>
    <w:rsid w:val="00AD1890"/>
    <w:rsid w:val="00AD18B6"/>
    <w:rsid w:val="00AD18BD"/>
    <w:rsid w:val="00AD1A94"/>
    <w:rsid w:val="00AD1C0D"/>
    <w:rsid w:val="00AD1C3A"/>
    <w:rsid w:val="00AD1CAE"/>
    <w:rsid w:val="00AD1DB4"/>
    <w:rsid w:val="00AD1EBD"/>
    <w:rsid w:val="00AD1FA8"/>
    <w:rsid w:val="00AD2146"/>
    <w:rsid w:val="00AD2487"/>
    <w:rsid w:val="00AD2489"/>
    <w:rsid w:val="00AD24D4"/>
    <w:rsid w:val="00AD25C2"/>
    <w:rsid w:val="00AD27FE"/>
    <w:rsid w:val="00AD287D"/>
    <w:rsid w:val="00AD28EF"/>
    <w:rsid w:val="00AD2990"/>
    <w:rsid w:val="00AD29F5"/>
    <w:rsid w:val="00AD2C1D"/>
    <w:rsid w:val="00AD2F2A"/>
    <w:rsid w:val="00AD3052"/>
    <w:rsid w:val="00AD313B"/>
    <w:rsid w:val="00AD31A6"/>
    <w:rsid w:val="00AD3465"/>
    <w:rsid w:val="00AD355C"/>
    <w:rsid w:val="00AD3886"/>
    <w:rsid w:val="00AD39E6"/>
    <w:rsid w:val="00AD3B0B"/>
    <w:rsid w:val="00AD3C46"/>
    <w:rsid w:val="00AD3CF7"/>
    <w:rsid w:val="00AD40CC"/>
    <w:rsid w:val="00AD4311"/>
    <w:rsid w:val="00AD460B"/>
    <w:rsid w:val="00AD4693"/>
    <w:rsid w:val="00AD47E6"/>
    <w:rsid w:val="00AD4840"/>
    <w:rsid w:val="00AD49DD"/>
    <w:rsid w:val="00AD4BA3"/>
    <w:rsid w:val="00AD4C6A"/>
    <w:rsid w:val="00AD4E42"/>
    <w:rsid w:val="00AD4EAB"/>
    <w:rsid w:val="00AD5680"/>
    <w:rsid w:val="00AD56BE"/>
    <w:rsid w:val="00AD595F"/>
    <w:rsid w:val="00AD5AD0"/>
    <w:rsid w:val="00AD5B72"/>
    <w:rsid w:val="00AD5C48"/>
    <w:rsid w:val="00AD5F5B"/>
    <w:rsid w:val="00AD5F91"/>
    <w:rsid w:val="00AD60DD"/>
    <w:rsid w:val="00AD626D"/>
    <w:rsid w:val="00AD6378"/>
    <w:rsid w:val="00AD66F4"/>
    <w:rsid w:val="00AD69E4"/>
    <w:rsid w:val="00AD6BFE"/>
    <w:rsid w:val="00AD6C1E"/>
    <w:rsid w:val="00AD6CA3"/>
    <w:rsid w:val="00AD6DAB"/>
    <w:rsid w:val="00AD6FFF"/>
    <w:rsid w:val="00AD7338"/>
    <w:rsid w:val="00AD73EB"/>
    <w:rsid w:val="00AD7410"/>
    <w:rsid w:val="00AD745B"/>
    <w:rsid w:val="00AD756C"/>
    <w:rsid w:val="00AD759C"/>
    <w:rsid w:val="00AD75DE"/>
    <w:rsid w:val="00AD76AC"/>
    <w:rsid w:val="00AD76B5"/>
    <w:rsid w:val="00AD7B35"/>
    <w:rsid w:val="00AD7BE8"/>
    <w:rsid w:val="00AD7C43"/>
    <w:rsid w:val="00AD7D0F"/>
    <w:rsid w:val="00AD7D42"/>
    <w:rsid w:val="00AD7E1B"/>
    <w:rsid w:val="00AE00BC"/>
    <w:rsid w:val="00AE00C6"/>
    <w:rsid w:val="00AE0244"/>
    <w:rsid w:val="00AE0369"/>
    <w:rsid w:val="00AE064D"/>
    <w:rsid w:val="00AE06AC"/>
    <w:rsid w:val="00AE06F9"/>
    <w:rsid w:val="00AE0719"/>
    <w:rsid w:val="00AE0806"/>
    <w:rsid w:val="00AE081B"/>
    <w:rsid w:val="00AE0960"/>
    <w:rsid w:val="00AE0FD9"/>
    <w:rsid w:val="00AE1043"/>
    <w:rsid w:val="00AE10E3"/>
    <w:rsid w:val="00AE1197"/>
    <w:rsid w:val="00AE11C3"/>
    <w:rsid w:val="00AE14B5"/>
    <w:rsid w:val="00AE152A"/>
    <w:rsid w:val="00AE1535"/>
    <w:rsid w:val="00AE1721"/>
    <w:rsid w:val="00AE1844"/>
    <w:rsid w:val="00AE1BC3"/>
    <w:rsid w:val="00AE1C9F"/>
    <w:rsid w:val="00AE1D2F"/>
    <w:rsid w:val="00AE1D3E"/>
    <w:rsid w:val="00AE1D95"/>
    <w:rsid w:val="00AE1EFB"/>
    <w:rsid w:val="00AE1F49"/>
    <w:rsid w:val="00AE1F89"/>
    <w:rsid w:val="00AE2081"/>
    <w:rsid w:val="00AE22F5"/>
    <w:rsid w:val="00AE232D"/>
    <w:rsid w:val="00AE2496"/>
    <w:rsid w:val="00AE26AF"/>
    <w:rsid w:val="00AE27B0"/>
    <w:rsid w:val="00AE2845"/>
    <w:rsid w:val="00AE2885"/>
    <w:rsid w:val="00AE28CF"/>
    <w:rsid w:val="00AE2944"/>
    <w:rsid w:val="00AE2A0B"/>
    <w:rsid w:val="00AE2C24"/>
    <w:rsid w:val="00AE2E6A"/>
    <w:rsid w:val="00AE2FD6"/>
    <w:rsid w:val="00AE312D"/>
    <w:rsid w:val="00AE326A"/>
    <w:rsid w:val="00AE35F1"/>
    <w:rsid w:val="00AE38AA"/>
    <w:rsid w:val="00AE3A7D"/>
    <w:rsid w:val="00AE3D5F"/>
    <w:rsid w:val="00AE3D6A"/>
    <w:rsid w:val="00AE3DA6"/>
    <w:rsid w:val="00AE3F83"/>
    <w:rsid w:val="00AE405D"/>
    <w:rsid w:val="00AE40AC"/>
    <w:rsid w:val="00AE412E"/>
    <w:rsid w:val="00AE444D"/>
    <w:rsid w:val="00AE46BE"/>
    <w:rsid w:val="00AE530C"/>
    <w:rsid w:val="00AE541E"/>
    <w:rsid w:val="00AE5476"/>
    <w:rsid w:val="00AE55D1"/>
    <w:rsid w:val="00AE576A"/>
    <w:rsid w:val="00AE5B63"/>
    <w:rsid w:val="00AE5B7A"/>
    <w:rsid w:val="00AE5C48"/>
    <w:rsid w:val="00AE5DF5"/>
    <w:rsid w:val="00AE5E8B"/>
    <w:rsid w:val="00AE6150"/>
    <w:rsid w:val="00AE61B4"/>
    <w:rsid w:val="00AE6274"/>
    <w:rsid w:val="00AE6371"/>
    <w:rsid w:val="00AE6436"/>
    <w:rsid w:val="00AE6474"/>
    <w:rsid w:val="00AE6594"/>
    <w:rsid w:val="00AE65D8"/>
    <w:rsid w:val="00AE6699"/>
    <w:rsid w:val="00AE68A4"/>
    <w:rsid w:val="00AE6AB1"/>
    <w:rsid w:val="00AE6B1F"/>
    <w:rsid w:val="00AE6CB9"/>
    <w:rsid w:val="00AE6CE5"/>
    <w:rsid w:val="00AE6FD0"/>
    <w:rsid w:val="00AE70FE"/>
    <w:rsid w:val="00AE71F2"/>
    <w:rsid w:val="00AE734D"/>
    <w:rsid w:val="00AE737A"/>
    <w:rsid w:val="00AE7567"/>
    <w:rsid w:val="00AE7588"/>
    <w:rsid w:val="00AE77AC"/>
    <w:rsid w:val="00AE7802"/>
    <w:rsid w:val="00AE7886"/>
    <w:rsid w:val="00AE78B8"/>
    <w:rsid w:val="00AE78D0"/>
    <w:rsid w:val="00AE78E3"/>
    <w:rsid w:val="00AE7A03"/>
    <w:rsid w:val="00AE7B6D"/>
    <w:rsid w:val="00AE7BAB"/>
    <w:rsid w:val="00AE7BBB"/>
    <w:rsid w:val="00AE7BFE"/>
    <w:rsid w:val="00AE7CBA"/>
    <w:rsid w:val="00AEF6B6"/>
    <w:rsid w:val="00AF00BC"/>
    <w:rsid w:val="00AF010F"/>
    <w:rsid w:val="00AF02D6"/>
    <w:rsid w:val="00AF0430"/>
    <w:rsid w:val="00AF0475"/>
    <w:rsid w:val="00AF0574"/>
    <w:rsid w:val="00AF0618"/>
    <w:rsid w:val="00AF076E"/>
    <w:rsid w:val="00AF0913"/>
    <w:rsid w:val="00AF09A3"/>
    <w:rsid w:val="00AF0A05"/>
    <w:rsid w:val="00AF0A70"/>
    <w:rsid w:val="00AF0B54"/>
    <w:rsid w:val="00AF0BE9"/>
    <w:rsid w:val="00AF0C1A"/>
    <w:rsid w:val="00AF0E55"/>
    <w:rsid w:val="00AF10EF"/>
    <w:rsid w:val="00AF1158"/>
    <w:rsid w:val="00AF1324"/>
    <w:rsid w:val="00AF132E"/>
    <w:rsid w:val="00AF1489"/>
    <w:rsid w:val="00AF1646"/>
    <w:rsid w:val="00AF1908"/>
    <w:rsid w:val="00AF1A7A"/>
    <w:rsid w:val="00AF1AB1"/>
    <w:rsid w:val="00AF1E73"/>
    <w:rsid w:val="00AF1E80"/>
    <w:rsid w:val="00AF1EE4"/>
    <w:rsid w:val="00AF1FB2"/>
    <w:rsid w:val="00AF2045"/>
    <w:rsid w:val="00AF2266"/>
    <w:rsid w:val="00AF2292"/>
    <w:rsid w:val="00AF2325"/>
    <w:rsid w:val="00AF2459"/>
    <w:rsid w:val="00AF25FF"/>
    <w:rsid w:val="00AF269A"/>
    <w:rsid w:val="00AF2792"/>
    <w:rsid w:val="00AF2799"/>
    <w:rsid w:val="00AF279F"/>
    <w:rsid w:val="00AF28B8"/>
    <w:rsid w:val="00AF2997"/>
    <w:rsid w:val="00AF2B4B"/>
    <w:rsid w:val="00AF2EF2"/>
    <w:rsid w:val="00AF2F05"/>
    <w:rsid w:val="00AF2F8C"/>
    <w:rsid w:val="00AF300D"/>
    <w:rsid w:val="00AF30E0"/>
    <w:rsid w:val="00AF3157"/>
    <w:rsid w:val="00AF31AF"/>
    <w:rsid w:val="00AF3401"/>
    <w:rsid w:val="00AF34F2"/>
    <w:rsid w:val="00AF3676"/>
    <w:rsid w:val="00AF3832"/>
    <w:rsid w:val="00AF397D"/>
    <w:rsid w:val="00AF3B1A"/>
    <w:rsid w:val="00AF3BEF"/>
    <w:rsid w:val="00AF3C0F"/>
    <w:rsid w:val="00AF3C34"/>
    <w:rsid w:val="00AF3D7C"/>
    <w:rsid w:val="00AF3D7E"/>
    <w:rsid w:val="00AF3E14"/>
    <w:rsid w:val="00AF3EFD"/>
    <w:rsid w:val="00AF3F84"/>
    <w:rsid w:val="00AF3FF5"/>
    <w:rsid w:val="00AF4034"/>
    <w:rsid w:val="00AF40D3"/>
    <w:rsid w:val="00AF4208"/>
    <w:rsid w:val="00AF42F3"/>
    <w:rsid w:val="00AF46B8"/>
    <w:rsid w:val="00AF47A9"/>
    <w:rsid w:val="00AF47AD"/>
    <w:rsid w:val="00AF4813"/>
    <w:rsid w:val="00AF4943"/>
    <w:rsid w:val="00AF49B7"/>
    <w:rsid w:val="00AF4AF7"/>
    <w:rsid w:val="00AF4AFC"/>
    <w:rsid w:val="00AF4B35"/>
    <w:rsid w:val="00AF4BB9"/>
    <w:rsid w:val="00AF4BD4"/>
    <w:rsid w:val="00AF4DB2"/>
    <w:rsid w:val="00AF4E11"/>
    <w:rsid w:val="00AF5078"/>
    <w:rsid w:val="00AF51D8"/>
    <w:rsid w:val="00AF5872"/>
    <w:rsid w:val="00AF58F4"/>
    <w:rsid w:val="00AF5B90"/>
    <w:rsid w:val="00AF5B9E"/>
    <w:rsid w:val="00AF5CF7"/>
    <w:rsid w:val="00AF5E8C"/>
    <w:rsid w:val="00AF6042"/>
    <w:rsid w:val="00AF6077"/>
    <w:rsid w:val="00AF60A3"/>
    <w:rsid w:val="00AF6212"/>
    <w:rsid w:val="00AF629F"/>
    <w:rsid w:val="00AF6574"/>
    <w:rsid w:val="00AF65CF"/>
    <w:rsid w:val="00AF67E5"/>
    <w:rsid w:val="00AF690F"/>
    <w:rsid w:val="00AF6ACB"/>
    <w:rsid w:val="00AF6B2F"/>
    <w:rsid w:val="00AF6C29"/>
    <w:rsid w:val="00AF6C6C"/>
    <w:rsid w:val="00AF7083"/>
    <w:rsid w:val="00AF710B"/>
    <w:rsid w:val="00AF72C2"/>
    <w:rsid w:val="00AF73C7"/>
    <w:rsid w:val="00AF7437"/>
    <w:rsid w:val="00AF75D9"/>
    <w:rsid w:val="00AF75DC"/>
    <w:rsid w:val="00AF7655"/>
    <w:rsid w:val="00AF77C7"/>
    <w:rsid w:val="00AF7849"/>
    <w:rsid w:val="00AF78A6"/>
    <w:rsid w:val="00AF792B"/>
    <w:rsid w:val="00AF7A91"/>
    <w:rsid w:val="00AF7C6E"/>
    <w:rsid w:val="00AF7CDF"/>
    <w:rsid w:val="00AF7E47"/>
    <w:rsid w:val="00AF7F61"/>
    <w:rsid w:val="00AF7FDD"/>
    <w:rsid w:val="00B00114"/>
    <w:rsid w:val="00B001DC"/>
    <w:rsid w:val="00B0029B"/>
    <w:rsid w:val="00B0044A"/>
    <w:rsid w:val="00B006B4"/>
    <w:rsid w:val="00B00905"/>
    <w:rsid w:val="00B0096E"/>
    <w:rsid w:val="00B00A11"/>
    <w:rsid w:val="00B00B24"/>
    <w:rsid w:val="00B00B39"/>
    <w:rsid w:val="00B00E65"/>
    <w:rsid w:val="00B00FCA"/>
    <w:rsid w:val="00B0108E"/>
    <w:rsid w:val="00B01176"/>
    <w:rsid w:val="00B01203"/>
    <w:rsid w:val="00B01578"/>
    <w:rsid w:val="00B0170C"/>
    <w:rsid w:val="00B0172E"/>
    <w:rsid w:val="00B017BA"/>
    <w:rsid w:val="00B0193B"/>
    <w:rsid w:val="00B01BCC"/>
    <w:rsid w:val="00B01C2E"/>
    <w:rsid w:val="00B01DF6"/>
    <w:rsid w:val="00B01EDC"/>
    <w:rsid w:val="00B02216"/>
    <w:rsid w:val="00B02271"/>
    <w:rsid w:val="00B02361"/>
    <w:rsid w:val="00B0237B"/>
    <w:rsid w:val="00B023CF"/>
    <w:rsid w:val="00B02522"/>
    <w:rsid w:val="00B02740"/>
    <w:rsid w:val="00B02A00"/>
    <w:rsid w:val="00B02A76"/>
    <w:rsid w:val="00B02BDB"/>
    <w:rsid w:val="00B02C21"/>
    <w:rsid w:val="00B02C29"/>
    <w:rsid w:val="00B02CD9"/>
    <w:rsid w:val="00B02DAF"/>
    <w:rsid w:val="00B02E65"/>
    <w:rsid w:val="00B02F53"/>
    <w:rsid w:val="00B02FB7"/>
    <w:rsid w:val="00B03328"/>
    <w:rsid w:val="00B033A5"/>
    <w:rsid w:val="00B033C3"/>
    <w:rsid w:val="00B03491"/>
    <w:rsid w:val="00B035BB"/>
    <w:rsid w:val="00B03735"/>
    <w:rsid w:val="00B038C1"/>
    <w:rsid w:val="00B039E8"/>
    <w:rsid w:val="00B039FE"/>
    <w:rsid w:val="00B03FB2"/>
    <w:rsid w:val="00B03FC7"/>
    <w:rsid w:val="00B0422C"/>
    <w:rsid w:val="00B0426B"/>
    <w:rsid w:val="00B043AA"/>
    <w:rsid w:val="00B04484"/>
    <w:rsid w:val="00B0449B"/>
    <w:rsid w:val="00B0453D"/>
    <w:rsid w:val="00B0457D"/>
    <w:rsid w:val="00B04674"/>
    <w:rsid w:val="00B04934"/>
    <w:rsid w:val="00B04C54"/>
    <w:rsid w:val="00B04DC7"/>
    <w:rsid w:val="00B04F3F"/>
    <w:rsid w:val="00B04F98"/>
    <w:rsid w:val="00B05026"/>
    <w:rsid w:val="00B0503C"/>
    <w:rsid w:val="00B050D6"/>
    <w:rsid w:val="00B0515A"/>
    <w:rsid w:val="00B05168"/>
    <w:rsid w:val="00B05198"/>
    <w:rsid w:val="00B05325"/>
    <w:rsid w:val="00B05338"/>
    <w:rsid w:val="00B05416"/>
    <w:rsid w:val="00B05418"/>
    <w:rsid w:val="00B05455"/>
    <w:rsid w:val="00B0556E"/>
    <w:rsid w:val="00B055F3"/>
    <w:rsid w:val="00B0563C"/>
    <w:rsid w:val="00B0598F"/>
    <w:rsid w:val="00B05BDD"/>
    <w:rsid w:val="00B05DA5"/>
    <w:rsid w:val="00B05F8C"/>
    <w:rsid w:val="00B063EF"/>
    <w:rsid w:val="00B063F4"/>
    <w:rsid w:val="00B06417"/>
    <w:rsid w:val="00B069CD"/>
    <w:rsid w:val="00B06CEC"/>
    <w:rsid w:val="00B06DC7"/>
    <w:rsid w:val="00B06F7D"/>
    <w:rsid w:val="00B070AA"/>
    <w:rsid w:val="00B070D0"/>
    <w:rsid w:val="00B07179"/>
    <w:rsid w:val="00B0744B"/>
    <w:rsid w:val="00B074B6"/>
    <w:rsid w:val="00B07551"/>
    <w:rsid w:val="00B0756B"/>
    <w:rsid w:val="00B07582"/>
    <w:rsid w:val="00B078E1"/>
    <w:rsid w:val="00B07973"/>
    <w:rsid w:val="00B07BBC"/>
    <w:rsid w:val="00B07E3E"/>
    <w:rsid w:val="00B07E58"/>
    <w:rsid w:val="00B07E72"/>
    <w:rsid w:val="00B1031F"/>
    <w:rsid w:val="00B105CB"/>
    <w:rsid w:val="00B105EA"/>
    <w:rsid w:val="00B108F7"/>
    <w:rsid w:val="00B10A32"/>
    <w:rsid w:val="00B10AA6"/>
    <w:rsid w:val="00B10B9E"/>
    <w:rsid w:val="00B10C7E"/>
    <w:rsid w:val="00B10D84"/>
    <w:rsid w:val="00B10DAD"/>
    <w:rsid w:val="00B10DC3"/>
    <w:rsid w:val="00B10ECA"/>
    <w:rsid w:val="00B1118F"/>
    <w:rsid w:val="00B111AE"/>
    <w:rsid w:val="00B111C4"/>
    <w:rsid w:val="00B1122F"/>
    <w:rsid w:val="00B11232"/>
    <w:rsid w:val="00B1152A"/>
    <w:rsid w:val="00B11569"/>
    <w:rsid w:val="00B11638"/>
    <w:rsid w:val="00B11676"/>
    <w:rsid w:val="00B116B3"/>
    <w:rsid w:val="00B11712"/>
    <w:rsid w:val="00B117DF"/>
    <w:rsid w:val="00B119B7"/>
    <w:rsid w:val="00B11CD3"/>
    <w:rsid w:val="00B11D42"/>
    <w:rsid w:val="00B11DA1"/>
    <w:rsid w:val="00B11F1D"/>
    <w:rsid w:val="00B1233D"/>
    <w:rsid w:val="00B12420"/>
    <w:rsid w:val="00B12589"/>
    <w:rsid w:val="00B12880"/>
    <w:rsid w:val="00B128E1"/>
    <w:rsid w:val="00B1295A"/>
    <w:rsid w:val="00B12A67"/>
    <w:rsid w:val="00B12A74"/>
    <w:rsid w:val="00B12CE4"/>
    <w:rsid w:val="00B12DD4"/>
    <w:rsid w:val="00B12E8B"/>
    <w:rsid w:val="00B12F2C"/>
    <w:rsid w:val="00B12F3E"/>
    <w:rsid w:val="00B135E1"/>
    <w:rsid w:val="00B136E4"/>
    <w:rsid w:val="00B1394E"/>
    <w:rsid w:val="00B13C2B"/>
    <w:rsid w:val="00B13DD9"/>
    <w:rsid w:val="00B13E10"/>
    <w:rsid w:val="00B144AE"/>
    <w:rsid w:val="00B14981"/>
    <w:rsid w:val="00B14ABC"/>
    <w:rsid w:val="00B14BBA"/>
    <w:rsid w:val="00B15086"/>
    <w:rsid w:val="00B1520C"/>
    <w:rsid w:val="00B15235"/>
    <w:rsid w:val="00B152D2"/>
    <w:rsid w:val="00B1537B"/>
    <w:rsid w:val="00B15427"/>
    <w:rsid w:val="00B155F4"/>
    <w:rsid w:val="00B157F3"/>
    <w:rsid w:val="00B158D8"/>
    <w:rsid w:val="00B159F0"/>
    <w:rsid w:val="00B15AC0"/>
    <w:rsid w:val="00B15ADC"/>
    <w:rsid w:val="00B15B41"/>
    <w:rsid w:val="00B15D40"/>
    <w:rsid w:val="00B15F83"/>
    <w:rsid w:val="00B161B5"/>
    <w:rsid w:val="00B16673"/>
    <w:rsid w:val="00B16826"/>
    <w:rsid w:val="00B16829"/>
    <w:rsid w:val="00B16892"/>
    <w:rsid w:val="00B1696C"/>
    <w:rsid w:val="00B169A4"/>
    <w:rsid w:val="00B169B4"/>
    <w:rsid w:val="00B16A28"/>
    <w:rsid w:val="00B16ADB"/>
    <w:rsid w:val="00B16B90"/>
    <w:rsid w:val="00B16BF5"/>
    <w:rsid w:val="00B16D94"/>
    <w:rsid w:val="00B16EA1"/>
    <w:rsid w:val="00B16EC0"/>
    <w:rsid w:val="00B16F1E"/>
    <w:rsid w:val="00B1716C"/>
    <w:rsid w:val="00B17298"/>
    <w:rsid w:val="00B172DF"/>
    <w:rsid w:val="00B17464"/>
    <w:rsid w:val="00B174CC"/>
    <w:rsid w:val="00B17574"/>
    <w:rsid w:val="00B17584"/>
    <w:rsid w:val="00B17586"/>
    <w:rsid w:val="00B1779A"/>
    <w:rsid w:val="00B177BA"/>
    <w:rsid w:val="00B177D7"/>
    <w:rsid w:val="00B177ED"/>
    <w:rsid w:val="00B178DD"/>
    <w:rsid w:val="00B1797F"/>
    <w:rsid w:val="00B179D9"/>
    <w:rsid w:val="00B17C1D"/>
    <w:rsid w:val="00B17C61"/>
    <w:rsid w:val="00B17D36"/>
    <w:rsid w:val="00B17D71"/>
    <w:rsid w:val="00B2008E"/>
    <w:rsid w:val="00B20103"/>
    <w:rsid w:val="00B20259"/>
    <w:rsid w:val="00B203A4"/>
    <w:rsid w:val="00B20EB8"/>
    <w:rsid w:val="00B210C4"/>
    <w:rsid w:val="00B2124D"/>
    <w:rsid w:val="00B212F4"/>
    <w:rsid w:val="00B2139A"/>
    <w:rsid w:val="00B2139B"/>
    <w:rsid w:val="00B21420"/>
    <w:rsid w:val="00B216D2"/>
    <w:rsid w:val="00B21981"/>
    <w:rsid w:val="00B2198E"/>
    <w:rsid w:val="00B21A83"/>
    <w:rsid w:val="00B21B57"/>
    <w:rsid w:val="00B21B9F"/>
    <w:rsid w:val="00B21D48"/>
    <w:rsid w:val="00B21D65"/>
    <w:rsid w:val="00B21F71"/>
    <w:rsid w:val="00B22004"/>
    <w:rsid w:val="00B221EC"/>
    <w:rsid w:val="00B221F6"/>
    <w:rsid w:val="00B2237C"/>
    <w:rsid w:val="00B2278B"/>
    <w:rsid w:val="00B227F6"/>
    <w:rsid w:val="00B2281C"/>
    <w:rsid w:val="00B22A8F"/>
    <w:rsid w:val="00B22BC6"/>
    <w:rsid w:val="00B22C22"/>
    <w:rsid w:val="00B22C56"/>
    <w:rsid w:val="00B22E2D"/>
    <w:rsid w:val="00B22F2A"/>
    <w:rsid w:val="00B22FC6"/>
    <w:rsid w:val="00B2301D"/>
    <w:rsid w:val="00B23334"/>
    <w:rsid w:val="00B237C6"/>
    <w:rsid w:val="00B237DC"/>
    <w:rsid w:val="00B23870"/>
    <w:rsid w:val="00B238F1"/>
    <w:rsid w:val="00B23AA0"/>
    <w:rsid w:val="00B23B33"/>
    <w:rsid w:val="00B23D86"/>
    <w:rsid w:val="00B23D92"/>
    <w:rsid w:val="00B24107"/>
    <w:rsid w:val="00B242C8"/>
    <w:rsid w:val="00B2432B"/>
    <w:rsid w:val="00B24394"/>
    <w:rsid w:val="00B2454B"/>
    <w:rsid w:val="00B245DD"/>
    <w:rsid w:val="00B24638"/>
    <w:rsid w:val="00B24689"/>
    <w:rsid w:val="00B247CA"/>
    <w:rsid w:val="00B24883"/>
    <w:rsid w:val="00B248CA"/>
    <w:rsid w:val="00B24AA8"/>
    <w:rsid w:val="00B24BA5"/>
    <w:rsid w:val="00B24DCC"/>
    <w:rsid w:val="00B24E4C"/>
    <w:rsid w:val="00B24E51"/>
    <w:rsid w:val="00B250ED"/>
    <w:rsid w:val="00B25572"/>
    <w:rsid w:val="00B257C5"/>
    <w:rsid w:val="00B258C3"/>
    <w:rsid w:val="00B259E0"/>
    <w:rsid w:val="00B259F3"/>
    <w:rsid w:val="00B25B95"/>
    <w:rsid w:val="00B25C03"/>
    <w:rsid w:val="00B25C15"/>
    <w:rsid w:val="00B25F8F"/>
    <w:rsid w:val="00B26418"/>
    <w:rsid w:val="00B26500"/>
    <w:rsid w:val="00B26597"/>
    <w:rsid w:val="00B26609"/>
    <w:rsid w:val="00B26663"/>
    <w:rsid w:val="00B2677F"/>
    <w:rsid w:val="00B26850"/>
    <w:rsid w:val="00B26851"/>
    <w:rsid w:val="00B269B6"/>
    <w:rsid w:val="00B269F2"/>
    <w:rsid w:val="00B26A46"/>
    <w:rsid w:val="00B26BD0"/>
    <w:rsid w:val="00B26D43"/>
    <w:rsid w:val="00B26F48"/>
    <w:rsid w:val="00B26F94"/>
    <w:rsid w:val="00B26FC5"/>
    <w:rsid w:val="00B2712D"/>
    <w:rsid w:val="00B27248"/>
    <w:rsid w:val="00B27263"/>
    <w:rsid w:val="00B27326"/>
    <w:rsid w:val="00B2745C"/>
    <w:rsid w:val="00B2747E"/>
    <w:rsid w:val="00B275C2"/>
    <w:rsid w:val="00B27610"/>
    <w:rsid w:val="00B27862"/>
    <w:rsid w:val="00B278B1"/>
    <w:rsid w:val="00B27ABB"/>
    <w:rsid w:val="00B27C44"/>
    <w:rsid w:val="00B27D57"/>
    <w:rsid w:val="00B27E03"/>
    <w:rsid w:val="00B27EB4"/>
    <w:rsid w:val="00B27F5F"/>
    <w:rsid w:val="00B30136"/>
    <w:rsid w:val="00B30206"/>
    <w:rsid w:val="00B30334"/>
    <w:rsid w:val="00B30AAB"/>
    <w:rsid w:val="00B30B17"/>
    <w:rsid w:val="00B30DB7"/>
    <w:rsid w:val="00B30FFE"/>
    <w:rsid w:val="00B31151"/>
    <w:rsid w:val="00B313F1"/>
    <w:rsid w:val="00B3149F"/>
    <w:rsid w:val="00B314BB"/>
    <w:rsid w:val="00B315AA"/>
    <w:rsid w:val="00B316E7"/>
    <w:rsid w:val="00B319AF"/>
    <w:rsid w:val="00B319C4"/>
    <w:rsid w:val="00B31D71"/>
    <w:rsid w:val="00B31D87"/>
    <w:rsid w:val="00B31E25"/>
    <w:rsid w:val="00B31E60"/>
    <w:rsid w:val="00B31F74"/>
    <w:rsid w:val="00B32113"/>
    <w:rsid w:val="00B32166"/>
    <w:rsid w:val="00B321A9"/>
    <w:rsid w:val="00B3233F"/>
    <w:rsid w:val="00B3234C"/>
    <w:rsid w:val="00B3250C"/>
    <w:rsid w:val="00B327B3"/>
    <w:rsid w:val="00B327EF"/>
    <w:rsid w:val="00B3291D"/>
    <w:rsid w:val="00B32A2F"/>
    <w:rsid w:val="00B32BC7"/>
    <w:rsid w:val="00B32C4A"/>
    <w:rsid w:val="00B32C5D"/>
    <w:rsid w:val="00B32D69"/>
    <w:rsid w:val="00B32EF9"/>
    <w:rsid w:val="00B32F05"/>
    <w:rsid w:val="00B334DC"/>
    <w:rsid w:val="00B33501"/>
    <w:rsid w:val="00B3360A"/>
    <w:rsid w:val="00B33626"/>
    <w:rsid w:val="00B33740"/>
    <w:rsid w:val="00B3397B"/>
    <w:rsid w:val="00B33C3E"/>
    <w:rsid w:val="00B33D8C"/>
    <w:rsid w:val="00B33DE1"/>
    <w:rsid w:val="00B33E18"/>
    <w:rsid w:val="00B33EB1"/>
    <w:rsid w:val="00B33F7E"/>
    <w:rsid w:val="00B340F5"/>
    <w:rsid w:val="00B34195"/>
    <w:rsid w:val="00B34211"/>
    <w:rsid w:val="00B3424C"/>
    <w:rsid w:val="00B344BE"/>
    <w:rsid w:val="00B3459E"/>
    <w:rsid w:val="00B34655"/>
    <w:rsid w:val="00B34682"/>
    <w:rsid w:val="00B34B41"/>
    <w:rsid w:val="00B34C4D"/>
    <w:rsid w:val="00B350DA"/>
    <w:rsid w:val="00B35303"/>
    <w:rsid w:val="00B354D3"/>
    <w:rsid w:val="00B355F0"/>
    <w:rsid w:val="00B35726"/>
    <w:rsid w:val="00B35B1D"/>
    <w:rsid w:val="00B35B27"/>
    <w:rsid w:val="00B35F4C"/>
    <w:rsid w:val="00B36223"/>
    <w:rsid w:val="00B363A7"/>
    <w:rsid w:val="00B363F8"/>
    <w:rsid w:val="00B3647A"/>
    <w:rsid w:val="00B364EA"/>
    <w:rsid w:val="00B365E3"/>
    <w:rsid w:val="00B367D9"/>
    <w:rsid w:val="00B36801"/>
    <w:rsid w:val="00B36889"/>
    <w:rsid w:val="00B36B92"/>
    <w:rsid w:val="00B36BF8"/>
    <w:rsid w:val="00B36D06"/>
    <w:rsid w:val="00B36DC9"/>
    <w:rsid w:val="00B36FED"/>
    <w:rsid w:val="00B3700C"/>
    <w:rsid w:val="00B37413"/>
    <w:rsid w:val="00B37479"/>
    <w:rsid w:val="00B3749E"/>
    <w:rsid w:val="00B37A25"/>
    <w:rsid w:val="00B37AC2"/>
    <w:rsid w:val="00B37E78"/>
    <w:rsid w:val="00B40280"/>
    <w:rsid w:val="00B40329"/>
    <w:rsid w:val="00B40520"/>
    <w:rsid w:val="00B40579"/>
    <w:rsid w:val="00B4062A"/>
    <w:rsid w:val="00B40663"/>
    <w:rsid w:val="00B40676"/>
    <w:rsid w:val="00B40692"/>
    <w:rsid w:val="00B406A4"/>
    <w:rsid w:val="00B406A7"/>
    <w:rsid w:val="00B4076A"/>
    <w:rsid w:val="00B40942"/>
    <w:rsid w:val="00B40B15"/>
    <w:rsid w:val="00B40C58"/>
    <w:rsid w:val="00B40C9F"/>
    <w:rsid w:val="00B40E13"/>
    <w:rsid w:val="00B40E36"/>
    <w:rsid w:val="00B40E9A"/>
    <w:rsid w:val="00B40F57"/>
    <w:rsid w:val="00B410FD"/>
    <w:rsid w:val="00B4116A"/>
    <w:rsid w:val="00B413FA"/>
    <w:rsid w:val="00B4159E"/>
    <w:rsid w:val="00B4176C"/>
    <w:rsid w:val="00B41778"/>
    <w:rsid w:val="00B41848"/>
    <w:rsid w:val="00B41BBF"/>
    <w:rsid w:val="00B41E9A"/>
    <w:rsid w:val="00B41EF5"/>
    <w:rsid w:val="00B42078"/>
    <w:rsid w:val="00B422EA"/>
    <w:rsid w:val="00B4249A"/>
    <w:rsid w:val="00B426B6"/>
    <w:rsid w:val="00B427D5"/>
    <w:rsid w:val="00B42A51"/>
    <w:rsid w:val="00B42AA9"/>
    <w:rsid w:val="00B42B28"/>
    <w:rsid w:val="00B42B74"/>
    <w:rsid w:val="00B42B93"/>
    <w:rsid w:val="00B42BCC"/>
    <w:rsid w:val="00B42D05"/>
    <w:rsid w:val="00B42E49"/>
    <w:rsid w:val="00B4304B"/>
    <w:rsid w:val="00B430D3"/>
    <w:rsid w:val="00B430FF"/>
    <w:rsid w:val="00B432A7"/>
    <w:rsid w:val="00B434BD"/>
    <w:rsid w:val="00B435D1"/>
    <w:rsid w:val="00B43763"/>
    <w:rsid w:val="00B439E2"/>
    <w:rsid w:val="00B439F1"/>
    <w:rsid w:val="00B43CB0"/>
    <w:rsid w:val="00B43CD6"/>
    <w:rsid w:val="00B43D79"/>
    <w:rsid w:val="00B43DAC"/>
    <w:rsid w:val="00B44140"/>
    <w:rsid w:val="00B44400"/>
    <w:rsid w:val="00B44510"/>
    <w:rsid w:val="00B445F6"/>
    <w:rsid w:val="00B44616"/>
    <w:rsid w:val="00B44699"/>
    <w:rsid w:val="00B44E64"/>
    <w:rsid w:val="00B4505B"/>
    <w:rsid w:val="00B450D5"/>
    <w:rsid w:val="00B452A8"/>
    <w:rsid w:val="00B453A5"/>
    <w:rsid w:val="00B453C2"/>
    <w:rsid w:val="00B45491"/>
    <w:rsid w:val="00B454C4"/>
    <w:rsid w:val="00B45553"/>
    <w:rsid w:val="00B4572A"/>
    <w:rsid w:val="00B4585D"/>
    <w:rsid w:val="00B45A19"/>
    <w:rsid w:val="00B45B2C"/>
    <w:rsid w:val="00B45B6E"/>
    <w:rsid w:val="00B45C45"/>
    <w:rsid w:val="00B45CAE"/>
    <w:rsid w:val="00B45E8F"/>
    <w:rsid w:val="00B45E98"/>
    <w:rsid w:val="00B45EDC"/>
    <w:rsid w:val="00B4601F"/>
    <w:rsid w:val="00B46123"/>
    <w:rsid w:val="00B46415"/>
    <w:rsid w:val="00B46469"/>
    <w:rsid w:val="00B46562"/>
    <w:rsid w:val="00B465AE"/>
    <w:rsid w:val="00B465BD"/>
    <w:rsid w:val="00B466A9"/>
    <w:rsid w:val="00B4671C"/>
    <w:rsid w:val="00B46773"/>
    <w:rsid w:val="00B468E1"/>
    <w:rsid w:val="00B469EB"/>
    <w:rsid w:val="00B46BFF"/>
    <w:rsid w:val="00B46EA3"/>
    <w:rsid w:val="00B471AB"/>
    <w:rsid w:val="00B47859"/>
    <w:rsid w:val="00B478D9"/>
    <w:rsid w:val="00B47A78"/>
    <w:rsid w:val="00B47C79"/>
    <w:rsid w:val="00B47D5E"/>
    <w:rsid w:val="00B47DD6"/>
    <w:rsid w:val="00B47FD3"/>
    <w:rsid w:val="00B500C3"/>
    <w:rsid w:val="00B50269"/>
    <w:rsid w:val="00B50327"/>
    <w:rsid w:val="00B5043F"/>
    <w:rsid w:val="00B50473"/>
    <w:rsid w:val="00B50665"/>
    <w:rsid w:val="00B508C3"/>
    <w:rsid w:val="00B5094B"/>
    <w:rsid w:val="00B50A21"/>
    <w:rsid w:val="00B50B9C"/>
    <w:rsid w:val="00B50E27"/>
    <w:rsid w:val="00B5113E"/>
    <w:rsid w:val="00B512AB"/>
    <w:rsid w:val="00B5136B"/>
    <w:rsid w:val="00B513B7"/>
    <w:rsid w:val="00B5140B"/>
    <w:rsid w:val="00B516F1"/>
    <w:rsid w:val="00B51868"/>
    <w:rsid w:val="00B5188B"/>
    <w:rsid w:val="00B518F3"/>
    <w:rsid w:val="00B51AFF"/>
    <w:rsid w:val="00B51B79"/>
    <w:rsid w:val="00B51B7C"/>
    <w:rsid w:val="00B51E71"/>
    <w:rsid w:val="00B51F9E"/>
    <w:rsid w:val="00B51FDC"/>
    <w:rsid w:val="00B520B6"/>
    <w:rsid w:val="00B52105"/>
    <w:rsid w:val="00B52150"/>
    <w:rsid w:val="00B52187"/>
    <w:rsid w:val="00B52206"/>
    <w:rsid w:val="00B52284"/>
    <w:rsid w:val="00B522E6"/>
    <w:rsid w:val="00B5233E"/>
    <w:rsid w:val="00B5236A"/>
    <w:rsid w:val="00B523FD"/>
    <w:rsid w:val="00B524AE"/>
    <w:rsid w:val="00B524BF"/>
    <w:rsid w:val="00B5253B"/>
    <w:rsid w:val="00B5293C"/>
    <w:rsid w:val="00B52AA0"/>
    <w:rsid w:val="00B52AED"/>
    <w:rsid w:val="00B52AFF"/>
    <w:rsid w:val="00B52BEE"/>
    <w:rsid w:val="00B52CD0"/>
    <w:rsid w:val="00B52E23"/>
    <w:rsid w:val="00B52FF4"/>
    <w:rsid w:val="00B53209"/>
    <w:rsid w:val="00B5327A"/>
    <w:rsid w:val="00B5329C"/>
    <w:rsid w:val="00B532CF"/>
    <w:rsid w:val="00B532F0"/>
    <w:rsid w:val="00B53453"/>
    <w:rsid w:val="00B5345B"/>
    <w:rsid w:val="00B53661"/>
    <w:rsid w:val="00B53682"/>
    <w:rsid w:val="00B538CC"/>
    <w:rsid w:val="00B53929"/>
    <w:rsid w:val="00B539B4"/>
    <w:rsid w:val="00B53B37"/>
    <w:rsid w:val="00B54290"/>
    <w:rsid w:val="00B54408"/>
    <w:rsid w:val="00B5442D"/>
    <w:rsid w:val="00B544A5"/>
    <w:rsid w:val="00B54607"/>
    <w:rsid w:val="00B547F8"/>
    <w:rsid w:val="00B54867"/>
    <w:rsid w:val="00B54A3A"/>
    <w:rsid w:val="00B54B67"/>
    <w:rsid w:val="00B54C82"/>
    <w:rsid w:val="00B54DEE"/>
    <w:rsid w:val="00B54E49"/>
    <w:rsid w:val="00B550A5"/>
    <w:rsid w:val="00B55112"/>
    <w:rsid w:val="00B551D0"/>
    <w:rsid w:val="00B5523B"/>
    <w:rsid w:val="00B55259"/>
    <w:rsid w:val="00B55264"/>
    <w:rsid w:val="00B552E1"/>
    <w:rsid w:val="00B553CA"/>
    <w:rsid w:val="00B55442"/>
    <w:rsid w:val="00B55608"/>
    <w:rsid w:val="00B559A9"/>
    <w:rsid w:val="00B559C7"/>
    <w:rsid w:val="00B55A46"/>
    <w:rsid w:val="00B55A5B"/>
    <w:rsid w:val="00B55AAC"/>
    <w:rsid w:val="00B55AE2"/>
    <w:rsid w:val="00B55B74"/>
    <w:rsid w:val="00B55DCE"/>
    <w:rsid w:val="00B5613D"/>
    <w:rsid w:val="00B56252"/>
    <w:rsid w:val="00B56271"/>
    <w:rsid w:val="00B562DC"/>
    <w:rsid w:val="00B565B7"/>
    <w:rsid w:val="00B5684B"/>
    <w:rsid w:val="00B5690D"/>
    <w:rsid w:val="00B5698A"/>
    <w:rsid w:val="00B56B82"/>
    <w:rsid w:val="00B56BD3"/>
    <w:rsid w:val="00B56C0D"/>
    <w:rsid w:val="00B56C5B"/>
    <w:rsid w:val="00B56CDA"/>
    <w:rsid w:val="00B56D76"/>
    <w:rsid w:val="00B56E1B"/>
    <w:rsid w:val="00B57052"/>
    <w:rsid w:val="00B570BB"/>
    <w:rsid w:val="00B570BF"/>
    <w:rsid w:val="00B57192"/>
    <w:rsid w:val="00B571CE"/>
    <w:rsid w:val="00B572E6"/>
    <w:rsid w:val="00B573D8"/>
    <w:rsid w:val="00B573E3"/>
    <w:rsid w:val="00B578A6"/>
    <w:rsid w:val="00B57A88"/>
    <w:rsid w:val="00B57B34"/>
    <w:rsid w:val="00B57D0A"/>
    <w:rsid w:val="00B57D27"/>
    <w:rsid w:val="00B57DDA"/>
    <w:rsid w:val="00B57E05"/>
    <w:rsid w:val="00B57F94"/>
    <w:rsid w:val="00B6001D"/>
    <w:rsid w:val="00B601C4"/>
    <w:rsid w:val="00B601E1"/>
    <w:rsid w:val="00B604DF"/>
    <w:rsid w:val="00B6074B"/>
    <w:rsid w:val="00B607C9"/>
    <w:rsid w:val="00B60851"/>
    <w:rsid w:val="00B608C4"/>
    <w:rsid w:val="00B60D1B"/>
    <w:rsid w:val="00B60FFA"/>
    <w:rsid w:val="00B6102C"/>
    <w:rsid w:val="00B61082"/>
    <w:rsid w:val="00B6115F"/>
    <w:rsid w:val="00B6139C"/>
    <w:rsid w:val="00B613B4"/>
    <w:rsid w:val="00B616C0"/>
    <w:rsid w:val="00B6194B"/>
    <w:rsid w:val="00B61A85"/>
    <w:rsid w:val="00B61AA1"/>
    <w:rsid w:val="00B61C8D"/>
    <w:rsid w:val="00B61F1B"/>
    <w:rsid w:val="00B6211C"/>
    <w:rsid w:val="00B621C7"/>
    <w:rsid w:val="00B62276"/>
    <w:rsid w:val="00B622CF"/>
    <w:rsid w:val="00B62516"/>
    <w:rsid w:val="00B62593"/>
    <w:rsid w:val="00B626D8"/>
    <w:rsid w:val="00B62891"/>
    <w:rsid w:val="00B6298E"/>
    <w:rsid w:val="00B62B71"/>
    <w:rsid w:val="00B62D82"/>
    <w:rsid w:val="00B62E2A"/>
    <w:rsid w:val="00B62E70"/>
    <w:rsid w:val="00B62F76"/>
    <w:rsid w:val="00B6305B"/>
    <w:rsid w:val="00B632A5"/>
    <w:rsid w:val="00B632D0"/>
    <w:rsid w:val="00B635C6"/>
    <w:rsid w:val="00B63647"/>
    <w:rsid w:val="00B6371A"/>
    <w:rsid w:val="00B6397C"/>
    <w:rsid w:val="00B63984"/>
    <w:rsid w:val="00B63A11"/>
    <w:rsid w:val="00B63A67"/>
    <w:rsid w:val="00B63B8A"/>
    <w:rsid w:val="00B63BBE"/>
    <w:rsid w:val="00B63DDE"/>
    <w:rsid w:val="00B63E24"/>
    <w:rsid w:val="00B63E7E"/>
    <w:rsid w:val="00B63ED4"/>
    <w:rsid w:val="00B643B8"/>
    <w:rsid w:val="00B64581"/>
    <w:rsid w:val="00B64595"/>
    <w:rsid w:val="00B647F6"/>
    <w:rsid w:val="00B64955"/>
    <w:rsid w:val="00B649A8"/>
    <w:rsid w:val="00B64BD5"/>
    <w:rsid w:val="00B64CC1"/>
    <w:rsid w:val="00B64F27"/>
    <w:rsid w:val="00B65046"/>
    <w:rsid w:val="00B6534D"/>
    <w:rsid w:val="00B6537D"/>
    <w:rsid w:val="00B654D7"/>
    <w:rsid w:val="00B65693"/>
    <w:rsid w:val="00B656AC"/>
    <w:rsid w:val="00B656D4"/>
    <w:rsid w:val="00B656DC"/>
    <w:rsid w:val="00B65742"/>
    <w:rsid w:val="00B65837"/>
    <w:rsid w:val="00B658A2"/>
    <w:rsid w:val="00B65A33"/>
    <w:rsid w:val="00B65B6B"/>
    <w:rsid w:val="00B65C91"/>
    <w:rsid w:val="00B6621D"/>
    <w:rsid w:val="00B662E3"/>
    <w:rsid w:val="00B663C9"/>
    <w:rsid w:val="00B6652E"/>
    <w:rsid w:val="00B6666B"/>
    <w:rsid w:val="00B666DD"/>
    <w:rsid w:val="00B66771"/>
    <w:rsid w:val="00B66850"/>
    <w:rsid w:val="00B668FF"/>
    <w:rsid w:val="00B66ADF"/>
    <w:rsid w:val="00B66D14"/>
    <w:rsid w:val="00B66EA3"/>
    <w:rsid w:val="00B66ED5"/>
    <w:rsid w:val="00B6709E"/>
    <w:rsid w:val="00B6710D"/>
    <w:rsid w:val="00B67231"/>
    <w:rsid w:val="00B672CA"/>
    <w:rsid w:val="00B673AF"/>
    <w:rsid w:val="00B673F5"/>
    <w:rsid w:val="00B674D8"/>
    <w:rsid w:val="00B67665"/>
    <w:rsid w:val="00B676B7"/>
    <w:rsid w:val="00B67728"/>
    <w:rsid w:val="00B67856"/>
    <w:rsid w:val="00B67A91"/>
    <w:rsid w:val="00B67BCA"/>
    <w:rsid w:val="00B67D13"/>
    <w:rsid w:val="00B67E4D"/>
    <w:rsid w:val="00B67F8D"/>
    <w:rsid w:val="00B6D65E"/>
    <w:rsid w:val="00B70356"/>
    <w:rsid w:val="00B70468"/>
    <w:rsid w:val="00B70562"/>
    <w:rsid w:val="00B70566"/>
    <w:rsid w:val="00B7064B"/>
    <w:rsid w:val="00B707F1"/>
    <w:rsid w:val="00B70878"/>
    <w:rsid w:val="00B70A40"/>
    <w:rsid w:val="00B70AC0"/>
    <w:rsid w:val="00B70F36"/>
    <w:rsid w:val="00B71098"/>
    <w:rsid w:val="00B710FA"/>
    <w:rsid w:val="00B7121B"/>
    <w:rsid w:val="00B7122E"/>
    <w:rsid w:val="00B71349"/>
    <w:rsid w:val="00B714B7"/>
    <w:rsid w:val="00B71775"/>
    <w:rsid w:val="00B7179F"/>
    <w:rsid w:val="00B717B9"/>
    <w:rsid w:val="00B71BDE"/>
    <w:rsid w:val="00B71D66"/>
    <w:rsid w:val="00B71E49"/>
    <w:rsid w:val="00B72165"/>
    <w:rsid w:val="00B7216D"/>
    <w:rsid w:val="00B72238"/>
    <w:rsid w:val="00B72367"/>
    <w:rsid w:val="00B7248A"/>
    <w:rsid w:val="00B724D7"/>
    <w:rsid w:val="00B72668"/>
    <w:rsid w:val="00B7283E"/>
    <w:rsid w:val="00B7285D"/>
    <w:rsid w:val="00B72969"/>
    <w:rsid w:val="00B729CB"/>
    <w:rsid w:val="00B72A57"/>
    <w:rsid w:val="00B72B6F"/>
    <w:rsid w:val="00B72CB0"/>
    <w:rsid w:val="00B72CEB"/>
    <w:rsid w:val="00B72D26"/>
    <w:rsid w:val="00B72D6D"/>
    <w:rsid w:val="00B72EC5"/>
    <w:rsid w:val="00B72EE4"/>
    <w:rsid w:val="00B73364"/>
    <w:rsid w:val="00B7341B"/>
    <w:rsid w:val="00B734A5"/>
    <w:rsid w:val="00B7351F"/>
    <w:rsid w:val="00B7361F"/>
    <w:rsid w:val="00B737A8"/>
    <w:rsid w:val="00B737AD"/>
    <w:rsid w:val="00B73904"/>
    <w:rsid w:val="00B73908"/>
    <w:rsid w:val="00B73B03"/>
    <w:rsid w:val="00B73DA2"/>
    <w:rsid w:val="00B73DA9"/>
    <w:rsid w:val="00B73F55"/>
    <w:rsid w:val="00B74150"/>
    <w:rsid w:val="00B74333"/>
    <w:rsid w:val="00B7437E"/>
    <w:rsid w:val="00B744E4"/>
    <w:rsid w:val="00B74500"/>
    <w:rsid w:val="00B74516"/>
    <w:rsid w:val="00B745AA"/>
    <w:rsid w:val="00B746FC"/>
    <w:rsid w:val="00B74706"/>
    <w:rsid w:val="00B74794"/>
    <w:rsid w:val="00B74A99"/>
    <w:rsid w:val="00B74BF1"/>
    <w:rsid w:val="00B74C87"/>
    <w:rsid w:val="00B74E3C"/>
    <w:rsid w:val="00B74E4B"/>
    <w:rsid w:val="00B750CE"/>
    <w:rsid w:val="00B752FC"/>
    <w:rsid w:val="00B75322"/>
    <w:rsid w:val="00B7540A"/>
    <w:rsid w:val="00B7564F"/>
    <w:rsid w:val="00B75708"/>
    <w:rsid w:val="00B75A91"/>
    <w:rsid w:val="00B75B8C"/>
    <w:rsid w:val="00B75BBF"/>
    <w:rsid w:val="00B7617A"/>
    <w:rsid w:val="00B761EB"/>
    <w:rsid w:val="00B76230"/>
    <w:rsid w:val="00B7664D"/>
    <w:rsid w:val="00B76763"/>
    <w:rsid w:val="00B76839"/>
    <w:rsid w:val="00B76A07"/>
    <w:rsid w:val="00B76B4F"/>
    <w:rsid w:val="00B76CA5"/>
    <w:rsid w:val="00B76D7D"/>
    <w:rsid w:val="00B77185"/>
    <w:rsid w:val="00B7734F"/>
    <w:rsid w:val="00B773AF"/>
    <w:rsid w:val="00B773F2"/>
    <w:rsid w:val="00B77410"/>
    <w:rsid w:val="00B7747C"/>
    <w:rsid w:val="00B77615"/>
    <w:rsid w:val="00B7781B"/>
    <w:rsid w:val="00B7783B"/>
    <w:rsid w:val="00B77AAD"/>
    <w:rsid w:val="00B77AE3"/>
    <w:rsid w:val="00B77C6E"/>
    <w:rsid w:val="00B77D17"/>
    <w:rsid w:val="00B77D95"/>
    <w:rsid w:val="00B77E7D"/>
    <w:rsid w:val="00B77F6B"/>
    <w:rsid w:val="00B8002B"/>
    <w:rsid w:val="00B8002F"/>
    <w:rsid w:val="00B800A6"/>
    <w:rsid w:val="00B802E8"/>
    <w:rsid w:val="00B80633"/>
    <w:rsid w:val="00B80737"/>
    <w:rsid w:val="00B80740"/>
    <w:rsid w:val="00B8091F"/>
    <w:rsid w:val="00B80F8D"/>
    <w:rsid w:val="00B8117F"/>
    <w:rsid w:val="00B81707"/>
    <w:rsid w:val="00B819B3"/>
    <w:rsid w:val="00B81B84"/>
    <w:rsid w:val="00B81B95"/>
    <w:rsid w:val="00B81CD1"/>
    <w:rsid w:val="00B81D2A"/>
    <w:rsid w:val="00B81DEC"/>
    <w:rsid w:val="00B81FA7"/>
    <w:rsid w:val="00B81FF0"/>
    <w:rsid w:val="00B8208A"/>
    <w:rsid w:val="00B820EB"/>
    <w:rsid w:val="00B82412"/>
    <w:rsid w:val="00B82661"/>
    <w:rsid w:val="00B82695"/>
    <w:rsid w:val="00B8272F"/>
    <w:rsid w:val="00B8276E"/>
    <w:rsid w:val="00B827EA"/>
    <w:rsid w:val="00B82803"/>
    <w:rsid w:val="00B82887"/>
    <w:rsid w:val="00B82A4E"/>
    <w:rsid w:val="00B82A7B"/>
    <w:rsid w:val="00B82AFF"/>
    <w:rsid w:val="00B82C7B"/>
    <w:rsid w:val="00B82DDA"/>
    <w:rsid w:val="00B82E3F"/>
    <w:rsid w:val="00B82EA2"/>
    <w:rsid w:val="00B8305D"/>
    <w:rsid w:val="00B83171"/>
    <w:rsid w:val="00B83213"/>
    <w:rsid w:val="00B833AB"/>
    <w:rsid w:val="00B833CA"/>
    <w:rsid w:val="00B83582"/>
    <w:rsid w:val="00B835F2"/>
    <w:rsid w:val="00B8368C"/>
    <w:rsid w:val="00B836A7"/>
    <w:rsid w:val="00B8399D"/>
    <w:rsid w:val="00B83B18"/>
    <w:rsid w:val="00B83C1F"/>
    <w:rsid w:val="00B83CCC"/>
    <w:rsid w:val="00B83E0E"/>
    <w:rsid w:val="00B8410B"/>
    <w:rsid w:val="00B8427E"/>
    <w:rsid w:val="00B842F3"/>
    <w:rsid w:val="00B8435C"/>
    <w:rsid w:val="00B846C4"/>
    <w:rsid w:val="00B84764"/>
    <w:rsid w:val="00B84CCB"/>
    <w:rsid w:val="00B84CEA"/>
    <w:rsid w:val="00B84DFE"/>
    <w:rsid w:val="00B84E6D"/>
    <w:rsid w:val="00B85049"/>
    <w:rsid w:val="00B85073"/>
    <w:rsid w:val="00B853E4"/>
    <w:rsid w:val="00B85417"/>
    <w:rsid w:val="00B85476"/>
    <w:rsid w:val="00B855F5"/>
    <w:rsid w:val="00B85984"/>
    <w:rsid w:val="00B85A40"/>
    <w:rsid w:val="00B85A96"/>
    <w:rsid w:val="00B85B0E"/>
    <w:rsid w:val="00B85EEE"/>
    <w:rsid w:val="00B85FEB"/>
    <w:rsid w:val="00B860CB"/>
    <w:rsid w:val="00B8611A"/>
    <w:rsid w:val="00B86297"/>
    <w:rsid w:val="00B862F0"/>
    <w:rsid w:val="00B86468"/>
    <w:rsid w:val="00B8647A"/>
    <w:rsid w:val="00B866B3"/>
    <w:rsid w:val="00B86853"/>
    <w:rsid w:val="00B868BE"/>
    <w:rsid w:val="00B86A38"/>
    <w:rsid w:val="00B86AD0"/>
    <w:rsid w:val="00B86B86"/>
    <w:rsid w:val="00B86C81"/>
    <w:rsid w:val="00B86D26"/>
    <w:rsid w:val="00B86D4D"/>
    <w:rsid w:val="00B8705B"/>
    <w:rsid w:val="00B87083"/>
    <w:rsid w:val="00B870C4"/>
    <w:rsid w:val="00B870C6"/>
    <w:rsid w:val="00B872E9"/>
    <w:rsid w:val="00B87420"/>
    <w:rsid w:val="00B874B2"/>
    <w:rsid w:val="00B87545"/>
    <w:rsid w:val="00B8758E"/>
    <w:rsid w:val="00B878A9"/>
    <w:rsid w:val="00B87A7B"/>
    <w:rsid w:val="00B87AC2"/>
    <w:rsid w:val="00B87BB0"/>
    <w:rsid w:val="00B87C1B"/>
    <w:rsid w:val="00B87FDE"/>
    <w:rsid w:val="00B9007A"/>
    <w:rsid w:val="00B9019A"/>
    <w:rsid w:val="00B901C7"/>
    <w:rsid w:val="00B90312"/>
    <w:rsid w:val="00B90397"/>
    <w:rsid w:val="00B90C54"/>
    <w:rsid w:val="00B90CCA"/>
    <w:rsid w:val="00B90D4E"/>
    <w:rsid w:val="00B90F3E"/>
    <w:rsid w:val="00B90F81"/>
    <w:rsid w:val="00B90FFE"/>
    <w:rsid w:val="00B91192"/>
    <w:rsid w:val="00B9133C"/>
    <w:rsid w:val="00B913A7"/>
    <w:rsid w:val="00B916DD"/>
    <w:rsid w:val="00B91C7B"/>
    <w:rsid w:val="00B91D13"/>
    <w:rsid w:val="00B91E77"/>
    <w:rsid w:val="00B91ED9"/>
    <w:rsid w:val="00B91F37"/>
    <w:rsid w:val="00B91FBB"/>
    <w:rsid w:val="00B91FFF"/>
    <w:rsid w:val="00B92040"/>
    <w:rsid w:val="00B92051"/>
    <w:rsid w:val="00B920B1"/>
    <w:rsid w:val="00B92415"/>
    <w:rsid w:val="00B9247C"/>
    <w:rsid w:val="00B92695"/>
    <w:rsid w:val="00B926E1"/>
    <w:rsid w:val="00B92710"/>
    <w:rsid w:val="00B927B1"/>
    <w:rsid w:val="00B927E7"/>
    <w:rsid w:val="00B92839"/>
    <w:rsid w:val="00B92D7D"/>
    <w:rsid w:val="00B92FA7"/>
    <w:rsid w:val="00B9315D"/>
    <w:rsid w:val="00B9336D"/>
    <w:rsid w:val="00B9339A"/>
    <w:rsid w:val="00B933E9"/>
    <w:rsid w:val="00B93435"/>
    <w:rsid w:val="00B93611"/>
    <w:rsid w:val="00B936BC"/>
    <w:rsid w:val="00B93781"/>
    <w:rsid w:val="00B938D0"/>
    <w:rsid w:val="00B9394B"/>
    <w:rsid w:val="00B93D0A"/>
    <w:rsid w:val="00B93E7E"/>
    <w:rsid w:val="00B94159"/>
    <w:rsid w:val="00B942A0"/>
    <w:rsid w:val="00B94310"/>
    <w:rsid w:val="00B9447D"/>
    <w:rsid w:val="00B944AF"/>
    <w:rsid w:val="00B94547"/>
    <w:rsid w:val="00B9499E"/>
    <w:rsid w:val="00B94A70"/>
    <w:rsid w:val="00B94AEF"/>
    <w:rsid w:val="00B94BDE"/>
    <w:rsid w:val="00B94C03"/>
    <w:rsid w:val="00B94E71"/>
    <w:rsid w:val="00B94F1F"/>
    <w:rsid w:val="00B95159"/>
    <w:rsid w:val="00B95170"/>
    <w:rsid w:val="00B951BE"/>
    <w:rsid w:val="00B95214"/>
    <w:rsid w:val="00B95319"/>
    <w:rsid w:val="00B953EF"/>
    <w:rsid w:val="00B95409"/>
    <w:rsid w:val="00B95788"/>
    <w:rsid w:val="00B957B4"/>
    <w:rsid w:val="00B957F7"/>
    <w:rsid w:val="00B958D8"/>
    <w:rsid w:val="00B95AB1"/>
    <w:rsid w:val="00B95AE6"/>
    <w:rsid w:val="00B95DBA"/>
    <w:rsid w:val="00B95DF0"/>
    <w:rsid w:val="00B96031"/>
    <w:rsid w:val="00B960DE"/>
    <w:rsid w:val="00B960EB"/>
    <w:rsid w:val="00B9617D"/>
    <w:rsid w:val="00B961A9"/>
    <w:rsid w:val="00B961B2"/>
    <w:rsid w:val="00B96355"/>
    <w:rsid w:val="00B965A2"/>
    <w:rsid w:val="00B96816"/>
    <w:rsid w:val="00B96833"/>
    <w:rsid w:val="00B969CF"/>
    <w:rsid w:val="00B969E0"/>
    <w:rsid w:val="00B96A3B"/>
    <w:rsid w:val="00B96C60"/>
    <w:rsid w:val="00B96DA6"/>
    <w:rsid w:val="00B96F51"/>
    <w:rsid w:val="00B96FAE"/>
    <w:rsid w:val="00B9718E"/>
    <w:rsid w:val="00B971B8"/>
    <w:rsid w:val="00B97226"/>
    <w:rsid w:val="00B973BD"/>
    <w:rsid w:val="00B973FE"/>
    <w:rsid w:val="00B9766E"/>
    <w:rsid w:val="00B976BE"/>
    <w:rsid w:val="00B976D2"/>
    <w:rsid w:val="00B9777A"/>
    <w:rsid w:val="00B977DE"/>
    <w:rsid w:val="00B97A26"/>
    <w:rsid w:val="00B97C63"/>
    <w:rsid w:val="00B97CD9"/>
    <w:rsid w:val="00B97F5A"/>
    <w:rsid w:val="00BA0082"/>
    <w:rsid w:val="00BA0233"/>
    <w:rsid w:val="00BA0267"/>
    <w:rsid w:val="00BA02C6"/>
    <w:rsid w:val="00BA075E"/>
    <w:rsid w:val="00BA09B7"/>
    <w:rsid w:val="00BA09E3"/>
    <w:rsid w:val="00BA0A31"/>
    <w:rsid w:val="00BA0C7F"/>
    <w:rsid w:val="00BA0EF2"/>
    <w:rsid w:val="00BA0F7E"/>
    <w:rsid w:val="00BA1073"/>
    <w:rsid w:val="00BA10ED"/>
    <w:rsid w:val="00BA1112"/>
    <w:rsid w:val="00BA144A"/>
    <w:rsid w:val="00BA1534"/>
    <w:rsid w:val="00BA187A"/>
    <w:rsid w:val="00BA199A"/>
    <w:rsid w:val="00BA1DCF"/>
    <w:rsid w:val="00BA1E04"/>
    <w:rsid w:val="00BA1E75"/>
    <w:rsid w:val="00BA209D"/>
    <w:rsid w:val="00BA2155"/>
    <w:rsid w:val="00BA24C2"/>
    <w:rsid w:val="00BA2522"/>
    <w:rsid w:val="00BA273E"/>
    <w:rsid w:val="00BA27D3"/>
    <w:rsid w:val="00BA27D4"/>
    <w:rsid w:val="00BA2882"/>
    <w:rsid w:val="00BA29AD"/>
    <w:rsid w:val="00BA2BC7"/>
    <w:rsid w:val="00BA2D19"/>
    <w:rsid w:val="00BA2DB9"/>
    <w:rsid w:val="00BA2FD5"/>
    <w:rsid w:val="00BA3146"/>
    <w:rsid w:val="00BA31F8"/>
    <w:rsid w:val="00BA3535"/>
    <w:rsid w:val="00BA3630"/>
    <w:rsid w:val="00BA37E4"/>
    <w:rsid w:val="00BA38CD"/>
    <w:rsid w:val="00BA38FD"/>
    <w:rsid w:val="00BA3B03"/>
    <w:rsid w:val="00BA3D17"/>
    <w:rsid w:val="00BA4242"/>
    <w:rsid w:val="00BA42D2"/>
    <w:rsid w:val="00BA43BB"/>
    <w:rsid w:val="00BA4601"/>
    <w:rsid w:val="00BA4694"/>
    <w:rsid w:val="00BA4724"/>
    <w:rsid w:val="00BA4911"/>
    <w:rsid w:val="00BA4957"/>
    <w:rsid w:val="00BA4959"/>
    <w:rsid w:val="00BA4CC9"/>
    <w:rsid w:val="00BA4EEB"/>
    <w:rsid w:val="00BA506C"/>
    <w:rsid w:val="00BA528C"/>
    <w:rsid w:val="00BA5352"/>
    <w:rsid w:val="00BA55C2"/>
    <w:rsid w:val="00BA58D3"/>
    <w:rsid w:val="00BA5941"/>
    <w:rsid w:val="00BA5A4E"/>
    <w:rsid w:val="00BA5B5F"/>
    <w:rsid w:val="00BA5CF4"/>
    <w:rsid w:val="00BA5DBD"/>
    <w:rsid w:val="00BA5E82"/>
    <w:rsid w:val="00BA6012"/>
    <w:rsid w:val="00BA608A"/>
    <w:rsid w:val="00BA60E5"/>
    <w:rsid w:val="00BA63DF"/>
    <w:rsid w:val="00BA6474"/>
    <w:rsid w:val="00BA66CD"/>
    <w:rsid w:val="00BA66E8"/>
    <w:rsid w:val="00BA6763"/>
    <w:rsid w:val="00BA683F"/>
    <w:rsid w:val="00BA68F8"/>
    <w:rsid w:val="00BA6B53"/>
    <w:rsid w:val="00BA6BAB"/>
    <w:rsid w:val="00BA6E66"/>
    <w:rsid w:val="00BA7044"/>
    <w:rsid w:val="00BA70CA"/>
    <w:rsid w:val="00BA70D3"/>
    <w:rsid w:val="00BA7151"/>
    <w:rsid w:val="00BA7266"/>
    <w:rsid w:val="00BA72C6"/>
    <w:rsid w:val="00BA75A3"/>
    <w:rsid w:val="00BA773D"/>
    <w:rsid w:val="00BA7785"/>
    <w:rsid w:val="00BA788B"/>
    <w:rsid w:val="00BA7EEC"/>
    <w:rsid w:val="00BA7F18"/>
    <w:rsid w:val="00BB0068"/>
    <w:rsid w:val="00BB0157"/>
    <w:rsid w:val="00BB01AE"/>
    <w:rsid w:val="00BB0314"/>
    <w:rsid w:val="00BB04D1"/>
    <w:rsid w:val="00BB08EA"/>
    <w:rsid w:val="00BB0A11"/>
    <w:rsid w:val="00BB0A20"/>
    <w:rsid w:val="00BB0C01"/>
    <w:rsid w:val="00BB1111"/>
    <w:rsid w:val="00BB1380"/>
    <w:rsid w:val="00BB13C5"/>
    <w:rsid w:val="00BB143D"/>
    <w:rsid w:val="00BB1604"/>
    <w:rsid w:val="00BB16B3"/>
    <w:rsid w:val="00BB16B4"/>
    <w:rsid w:val="00BB1742"/>
    <w:rsid w:val="00BB1754"/>
    <w:rsid w:val="00BB19AC"/>
    <w:rsid w:val="00BB1AB7"/>
    <w:rsid w:val="00BB1B00"/>
    <w:rsid w:val="00BB1C47"/>
    <w:rsid w:val="00BB1D1F"/>
    <w:rsid w:val="00BB1F01"/>
    <w:rsid w:val="00BB2129"/>
    <w:rsid w:val="00BB22EB"/>
    <w:rsid w:val="00BB24AE"/>
    <w:rsid w:val="00BB2680"/>
    <w:rsid w:val="00BB26A8"/>
    <w:rsid w:val="00BB2816"/>
    <w:rsid w:val="00BB2A91"/>
    <w:rsid w:val="00BB2B0F"/>
    <w:rsid w:val="00BB2D05"/>
    <w:rsid w:val="00BB2E61"/>
    <w:rsid w:val="00BB2E9E"/>
    <w:rsid w:val="00BB324D"/>
    <w:rsid w:val="00BB3377"/>
    <w:rsid w:val="00BB34E5"/>
    <w:rsid w:val="00BB3617"/>
    <w:rsid w:val="00BB3681"/>
    <w:rsid w:val="00BB36CE"/>
    <w:rsid w:val="00BB3705"/>
    <w:rsid w:val="00BB3908"/>
    <w:rsid w:val="00BB3C2E"/>
    <w:rsid w:val="00BB3DD0"/>
    <w:rsid w:val="00BB3E8E"/>
    <w:rsid w:val="00BB3EA4"/>
    <w:rsid w:val="00BB409B"/>
    <w:rsid w:val="00BB41BE"/>
    <w:rsid w:val="00BB4307"/>
    <w:rsid w:val="00BB4362"/>
    <w:rsid w:val="00BB464E"/>
    <w:rsid w:val="00BB471C"/>
    <w:rsid w:val="00BB4922"/>
    <w:rsid w:val="00BB494B"/>
    <w:rsid w:val="00BB495E"/>
    <w:rsid w:val="00BB4F0B"/>
    <w:rsid w:val="00BB505F"/>
    <w:rsid w:val="00BB518B"/>
    <w:rsid w:val="00BB53AB"/>
    <w:rsid w:val="00BB577F"/>
    <w:rsid w:val="00BB57B2"/>
    <w:rsid w:val="00BB57C0"/>
    <w:rsid w:val="00BB585E"/>
    <w:rsid w:val="00BB5B44"/>
    <w:rsid w:val="00BB5BAD"/>
    <w:rsid w:val="00BB5BCC"/>
    <w:rsid w:val="00BB5ED6"/>
    <w:rsid w:val="00BB5F74"/>
    <w:rsid w:val="00BB602B"/>
    <w:rsid w:val="00BB61EB"/>
    <w:rsid w:val="00BB6423"/>
    <w:rsid w:val="00BB69AB"/>
    <w:rsid w:val="00BB6A8D"/>
    <w:rsid w:val="00BB6AF6"/>
    <w:rsid w:val="00BB6BE7"/>
    <w:rsid w:val="00BB6FE2"/>
    <w:rsid w:val="00BB7022"/>
    <w:rsid w:val="00BB7096"/>
    <w:rsid w:val="00BB7474"/>
    <w:rsid w:val="00BB7480"/>
    <w:rsid w:val="00BB7720"/>
    <w:rsid w:val="00BB7ACE"/>
    <w:rsid w:val="00BB7C0D"/>
    <w:rsid w:val="00BB7D00"/>
    <w:rsid w:val="00BB7ED7"/>
    <w:rsid w:val="00BB7EF7"/>
    <w:rsid w:val="00BB7FAF"/>
    <w:rsid w:val="00BC0037"/>
    <w:rsid w:val="00BC0109"/>
    <w:rsid w:val="00BC0182"/>
    <w:rsid w:val="00BC0215"/>
    <w:rsid w:val="00BC033A"/>
    <w:rsid w:val="00BC03A4"/>
    <w:rsid w:val="00BC0446"/>
    <w:rsid w:val="00BC093D"/>
    <w:rsid w:val="00BC0A33"/>
    <w:rsid w:val="00BC0B65"/>
    <w:rsid w:val="00BC0CB6"/>
    <w:rsid w:val="00BC0D1E"/>
    <w:rsid w:val="00BC0DE9"/>
    <w:rsid w:val="00BC0E01"/>
    <w:rsid w:val="00BC0E88"/>
    <w:rsid w:val="00BC0ECF"/>
    <w:rsid w:val="00BC0ED2"/>
    <w:rsid w:val="00BC0F31"/>
    <w:rsid w:val="00BC109E"/>
    <w:rsid w:val="00BC10FB"/>
    <w:rsid w:val="00BC120A"/>
    <w:rsid w:val="00BC12A6"/>
    <w:rsid w:val="00BC1384"/>
    <w:rsid w:val="00BC13AC"/>
    <w:rsid w:val="00BC13CE"/>
    <w:rsid w:val="00BC1B73"/>
    <w:rsid w:val="00BC1BAB"/>
    <w:rsid w:val="00BC1D49"/>
    <w:rsid w:val="00BC1E48"/>
    <w:rsid w:val="00BC2323"/>
    <w:rsid w:val="00BC23A9"/>
    <w:rsid w:val="00BC2660"/>
    <w:rsid w:val="00BC2711"/>
    <w:rsid w:val="00BC28E4"/>
    <w:rsid w:val="00BC28F7"/>
    <w:rsid w:val="00BC2A2D"/>
    <w:rsid w:val="00BC2C88"/>
    <w:rsid w:val="00BC2C8B"/>
    <w:rsid w:val="00BC2E2A"/>
    <w:rsid w:val="00BC2F6F"/>
    <w:rsid w:val="00BC31B0"/>
    <w:rsid w:val="00BC3296"/>
    <w:rsid w:val="00BC34B0"/>
    <w:rsid w:val="00BC35E2"/>
    <w:rsid w:val="00BC3A43"/>
    <w:rsid w:val="00BC3A6E"/>
    <w:rsid w:val="00BC3C7B"/>
    <w:rsid w:val="00BC3D74"/>
    <w:rsid w:val="00BC3DA4"/>
    <w:rsid w:val="00BC4079"/>
    <w:rsid w:val="00BC408F"/>
    <w:rsid w:val="00BC41A2"/>
    <w:rsid w:val="00BC437C"/>
    <w:rsid w:val="00BC4382"/>
    <w:rsid w:val="00BC470D"/>
    <w:rsid w:val="00BC474E"/>
    <w:rsid w:val="00BC482E"/>
    <w:rsid w:val="00BC4846"/>
    <w:rsid w:val="00BC4AFD"/>
    <w:rsid w:val="00BC4BCC"/>
    <w:rsid w:val="00BC4C00"/>
    <w:rsid w:val="00BC4D95"/>
    <w:rsid w:val="00BC4E14"/>
    <w:rsid w:val="00BC4FA4"/>
    <w:rsid w:val="00BC534A"/>
    <w:rsid w:val="00BC535B"/>
    <w:rsid w:val="00BC55B2"/>
    <w:rsid w:val="00BC576C"/>
    <w:rsid w:val="00BC5961"/>
    <w:rsid w:val="00BC5C82"/>
    <w:rsid w:val="00BC60E6"/>
    <w:rsid w:val="00BC6145"/>
    <w:rsid w:val="00BC6187"/>
    <w:rsid w:val="00BC6295"/>
    <w:rsid w:val="00BC67BD"/>
    <w:rsid w:val="00BC6911"/>
    <w:rsid w:val="00BC69E2"/>
    <w:rsid w:val="00BC6CAF"/>
    <w:rsid w:val="00BC6E14"/>
    <w:rsid w:val="00BC7113"/>
    <w:rsid w:val="00BC7141"/>
    <w:rsid w:val="00BC71FE"/>
    <w:rsid w:val="00BC72C0"/>
    <w:rsid w:val="00BC72C7"/>
    <w:rsid w:val="00BC74E2"/>
    <w:rsid w:val="00BC74E8"/>
    <w:rsid w:val="00BC757E"/>
    <w:rsid w:val="00BC7686"/>
    <w:rsid w:val="00BC76F2"/>
    <w:rsid w:val="00BC77E6"/>
    <w:rsid w:val="00BC796E"/>
    <w:rsid w:val="00BC7A22"/>
    <w:rsid w:val="00BC7A82"/>
    <w:rsid w:val="00BC7B4C"/>
    <w:rsid w:val="00BC7C40"/>
    <w:rsid w:val="00BC7CAD"/>
    <w:rsid w:val="00BC7D29"/>
    <w:rsid w:val="00BD0036"/>
    <w:rsid w:val="00BD005B"/>
    <w:rsid w:val="00BD02AA"/>
    <w:rsid w:val="00BD0580"/>
    <w:rsid w:val="00BD05E4"/>
    <w:rsid w:val="00BD07DB"/>
    <w:rsid w:val="00BD08D6"/>
    <w:rsid w:val="00BD0BB3"/>
    <w:rsid w:val="00BD0DAB"/>
    <w:rsid w:val="00BD0E87"/>
    <w:rsid w:val="00BD0E91"/>
    <w:rsid w:val="00BD0FE7"/>
    <w:rsid w:val="00BD1422"/>
    <w:rsid w:val="00BD147B"/>
    <w:rsid w:val="00BD14A3"/>
    <w:rsid w:val="00BD18F6"/>
    <w:rsid w:val="00BD1C25"/>
    <w:rsid w:val="00BD1C3E"/>
    <w:rsid w:val="00BD1C66"/>
    <w:rsid w:val="00BD1C86"/>
    <w:rsid w:val="00BD1CF5"/>
    <w:rsid w:val="00BD1FBF"/>
    <w:rsid w:val="00BD1FE8"/>
    <w:rsid w:val="00BD202E"/>
    <w:rsid w:val="00BD2159"/>
    <w:rsid w:val="00BD2385"/>
    <w:rsid w:val="00BD2642"/>
    <w:rsid w:val="00BD273E"/>
    <w:rsid w:val="00BD274B"/>
    <w:rsid w:val="00BD2893"/>
    <w:rsid w:val="00BD2ACF"/>
    <w:rsid w:val="00BD2C8F"/>
    <w:rsid w:val="00BD2D3E"/>
    <w:rsid w:val="00BD2DBB"/>
    <w:rsid w:val="00BD2E02"/>
    <w:rsid w:val="00BD3151"/>
    <w:rsid w:val="00BD31A5"/>
    <w:rsid w:val="00BD3368"/>
    <w:rsid w:val="00BD3503"/>
    <w:rsid w:val="00BD35D2"/>
    <w:rsid w:val="00BD3612"/>
    <w:rsid w:val="00BD37C2"/>
    <w:rsid w:val="00BD3BB1"/>
    <w:rsid w:val="00BD3F73"/>
    <w:rsid w:val="00BD404F"/>
    <w:rsid w:val="00BD416D"/>
    <w:rsid w:val="00BD41E7"/>
    <w:rsid w:val="00BD4205"/>
    <w:rsid w:val="00BD434E"/>
    <w:rsid w:val="00BD442D"/>
    <w:rsid w:val="00BD4480"/>
    <w:rsid w:val="00BD45EE"/>
    <w:rsid w:val="00BD4625"/>
    <w:rsid w:val="00BD4938"/>
    <w:rsid w:val="00BD49B1"/>
    <w:rsid w:val="00BD4C24"/>
    <w:rsid w:val="00BD4C89"/>
    <w:rsid w:val="00BD4CB6"/>
    <w:rsid w:val="00BD57AB"/>
    <w:rsid w:val="00BD57C4"/>
    <w:rsid w:val="00BD5844"/>
    <w:rsid w:val="00BD5A22"/>
    <w:rsid w:val="00BD5CA7"/>
    <w:rsid w:val="00BD5D72"/>
    <w:rsid w:val="00BD5DC7"/>
    <w:rsid w:val="00BD5FF4"/>
    <w:rsid w:val="00BD6141"/>
    <w:rsid w:val="00BD616A"/>
    <w:rsid w:val="00BD6372"/>
    <w:rsid w:val="00BD64A5"/>
    <w:rsid w:val="00BD6775"/>
    <w:rsid w:val="00BD6796"/>
    <w:rsid w:val="00BD6C67"/>
    <w:rsid w:val="00BD6C76"/>
    <w:rsid w:val="00BD6D6A"/>
    <w:rsid w:val="00BD6E02"/>
    <w:rsid w:val="00BD6FC4"/>
    <w:rsid w:val="00BD7041"/>
    <w:rsid w:val="00BD70E3"/>
    <w:rsid w:val="00BD72DD"/>
    <w:rsid w:val="00BD7388"/>
    <w:rsid w:val="00BD7618"/>
    <w:rsid w:val="00BD7857"/>
    <w:rsid w:val="00BD7881"/>
    <w:rsid w:val="00BD7921"/>
    <w:rsid w:val="00BD7924"/>
    <w:rsid w:val="00BD7AD7"/>
    <w:rsid w:val="00BD7DF3"/>
    <w:rsid w:val="00BD7EE2"/>
    <w:rsid w:val="00BE0176"/>
    <w:rsid w:val="00BE01C4"/>
    <w:rsid w:val="00BE03D9"/>
    <w:rsid w:val="00BE09BB"/>
    <w:rsid w:val="00BE0CA9"/>
    <w:rsid w:val="00BE0DE9"/>
    <w:rsid w:val="00BE0F5F"/>
    <w:rsid w:val="00BE126D"/>
    <w:rsid w:val="00BE145F"/>
    <w:rsid w:val="00BE16BB"/>
    <w:rsid w:val="00BE177D"/>
    <w:rsid w:val="00BE1A64"/>
    <w:rsid w:val="00BE1CC8"/>
    <w:rsid w:val="00BE1F99"/>
    <w:rsid w:val="00BE1FEB"/>
    <w:rsid w:val="00BE2089"/>
    <w:rsid w:val="00BE2239"/>
    <w:rsid w:val="00BE24A2"/>
    <w:rsid w:val="00BE2558"/>
    <w:rsid w:val="00BE2562"/>
    <w:rsid w:val="00BE2659"/>
    <w:rsid w:val="00BE2712"/>
    <w:rsid w:val="00BE2812"/>
    <w:rsid w:val="00BE2818"/>
    <w:rsid w:val="00BE29F6"/>
    <w:rsid w:val="00BE2A48"/>
    <w:rsid w:val="00BE2ACC"/>
    <w:rsid w:val="00BE2AD4"/>
    <w:rsid w:val="00BE2BC6"/>
    <w:rsid w:val="00BE2D8D"/>
    <w:rsid w:val="00BE2F66"/>
    <w:rsid w:val="00BE30B6"/>
    <w:rsid w:val="00BE3210"/>
    <w:rsid w:val="00BE334A"/>
    <w:rsid w:val="00BE37BC"/>
    <w:rsid w:val="00BE37E8"/>
    <w:rsid w:val="00BE391C"/>
    <w:rsid w:val="00BE3A74"/>
    <w:rsid w:val="00BE3DFA"/>
    <w:rsid w:val="00BE3FAF"/>
    <w:rsid w:val="00BE3FC2"/>
    <w:rsid w:val="00BE43F7"/>
    <w:rsid w:val="00BE4866"/>
    <w:rsid w:val="00BE4898"/>
    <w:rsid w:val="00BE48E4"/>
    <w:rsid w:val="00BE4DB2"/>
    <w:rsid w:val="00BE505F"/>
    <w:rsid w:val="00BE5189"/>
    <w:rsid w:val="00BE5268"/>
    <w:rsid w:val="00BE5326"/>
    <w:rsid w:val="00BE54BA"/>
    <w:rsid w:val="00BE551D"/>
    <w:rsid w:val="00BE578E"/>
    <w:rsid w:val="00BE597D"/>
    <w:rsid w:val="00BE5C91"/>
    <w:rsid w:val="00BE5E88"/>
    <w:rsid w:val="00BE6190"/>
    <w:rsid w:val="00BE6207"/>
    <w:rsid w:val="00BE629B"/>
    <w:rsid w:val="00BE632A"/>
    <w:rsid w:val="00BE64B3"/>
    <w:rsid w:val="00BE6867"/>
    <w:rsid w:val="00BE686F"/>
    <w:rsid w:val="00BE68B9"/>
    <w:rsid w:val="00BE68E1"/>
    <w:rsid w:val="00BE68F5"/>
    <w:rsid w:val="00BE6D3D"/>
    <w:rsid w:val="00BE6F1D"/>
    <w:rsid w:val="00BE7111"/>
    <w:rsid w:val="00BE7148"/>
    <w:rsid w:val="00BE74C0"/>
    <w:rsid w:val="00BE751F"/>
    <w:rsid w:val="00BE7578"/>
    <w:rsid w:val="00BE7629"/>
    <w:rsid w:val="00BE76B9"/>
    <w:rsid w:val="00BE772D"/>
    <w:rsid w:val="00BE7A4E"/>
    <w:rsid w:val="00BE7BC6"/>
    <w:rsid w:val="00BE7C27"/>
    <w:rsid w:val="00BE7F2B"/>
    <w:rsid w:val="00BF00CB"/>
    <w:rsid w:val="00BF0216"/>
    <w:rsid w:val="00BF0310"/>
    <w:rsid w:val="00BF0325"/>
    <w:rsid w:val="00BF03F3"/>
    <w:rsid w:val="00BF044F"/>
    <w:rsid w:val="00BF0981"/>
    <w:rsid w:val="00BF09F0"/>
    <w:rsid w:val="00BF0C11"/>
    <w:rsid w:val="00BF1064"/>
    <w:rsid w:val="00BF112B"/>
    <w:rsid w:val="00BF11BB"/>
    <w:rsid w:val="00BF133C"/>
    <w:rsid w:val="00BF15B0"/>
    <w:rsid w:val="00BF165F"/>
    <w:rsid w:val="00BF16F1"/>
    <w:rsid w:val="00BF177F"/>
    <w:rsid w:val="00BF17D0"/>
    <w:rsid w:val="00BF1859"/>
    <w:rsid w:val="00BF1868"/>
    <w:rsid w:val="00BF1A12"/>
    <w:rsid w:val="00BF1E48"/>
    <w:rsid w:val="00BF1E4F"/>
    <w:rsid w:val="00BF1FB9"/>
    <w:rsid w:val="00BF2026"/>
    <w:rsid w:val="00BF2098"/>
    <w:rsid w:val="00BF22DF"/>
    <w:rsid w:val="00BF23D6"/>
    <w:rsid w:val="00BF24D9"/>
    <w:rsid w:val="00BF253A"/>
    <w:rsid w:val="00BF272A"/>
    <w:rsid w:val="00BF28B8"/>
    <w:rsid w:val="00BF29CE"/>
    <w:rsid w:val="00BF2A35"/>
    <w:rsid w:val="00BF2A4A"/>
    <w:rsid w:val="00BF2BAB"/>
    <w:rsid w:val="00BF2BED"/>
    <w:rsid w:val="00BF2D03"/>
    <w:rsid w:val="00BF2E82"/>
    <w:rsid w:val="00BF2EA7"/>
    <w:rsid w:val="00BF2F94"/>
    <w:rsid w:val="00BF30B6"/>
    <w:rsid w:val="00BF30BB"/>
    <w:rsid w:val="00BF31C7"/>
    <w:rsid w:val="00BF3419"/>
    <w:rsid w:val="00BF36B5"/>
    <w:rsid w:val="00BF3978"/>
    <w:rsid w:val="00BF39FA"/>
    <w:rsid w:val="00BF3B14"/>
    <w:rsid w:val="00BF3F64"/>
    <w:rsid w:val="00BF3F75"/>
    <w:rsid w:val="00BF4048"/>
    <w:rsid w:val="00BF4069"/>
    <w:rsid w:val="00BF4116"/>
    <w:rsid w:val="00BF44DD"/>
    <w:rsid w:val="00BF4AE7"/>
    <w:rsid w:val="00BF4C16"/>
    <w:rsid w:val="00BF4D83"/>
    <w:rsid w:val="00BF4E55"/>
    <w:rsid w:val="00BF4E99"/>
    <w:rsid w:val="00BF5037"/>
    <w:rsid w:val="00BF503E"/>
    <w:rsid w:val="00BF512E"/>
    <w:rsid w:val="00BF562B"/>
    <w:rsid w:val="00BF5827"/>
    <w:rsid w:val="00BF586B"/>
    <w:rsid w:val="00BF58B6"/>
    <w:rsid w:val="00BF58E5"/>
    <w:rsid w:val="00BF5910"/>
    <w:rsid w:val="00BF5B2A"/>
    <w:rsid w:val="00BF5B69"/>
    <w:rsid w:val="00BF6432"/>
    <w:rsid w:val="00BF659F"/>
    <w:rsid w:val="00BF65A3"/>
    <w:rsid w:val="00BF66EA"/>
    <w:rsid w:val="00BF680A"/>
    <w:rsid w:val="00BF68CE"/>
    <w:rsid w:val="00BF69A6"/>
    <w:rsid w:val="00BF6C53"/>
    <w:rsid w:val="00BF6CDD"/>
    <w:rsid w:val="00BF6D6B"/>
    <w:rsid w:val="00BF6FB9"/>
    <w:rsid w:val="00BF7089"/>
    <w:rsid w:val="00BF71FC"/>
    <w:rsid w:val="00BF7457"/>
    <w:rsid w:val="00BF7620"/>
    <w:rsid w:val="00BF7663"/>
    <w:rsid w:val="00BF7797"/>
    <w:rsid w:val="00BF7890"/>
    <w:rsid w:val="00BF793E"/>
    <w:rsid w:val="00BF7983"/>
    <w:rsid w:val="00BF7CA0"/>
    <w:rsid w:val="00BF7D6A"/>
    <w:rsid w:val="00BF7DFC"/>
    <w:rsid w:val="00BF7E0F"/>
    <w:rsid w:val="00BF7F65"/>
    <w:rsid w:val="00C0022C"/>
    <w:rsid w:val="00C003E5"/>
    <w:rsid w:val="00C004A5"/>
    <w:rsid w:val="00C004BB"/>
    <w:rsid w:val="00C006BA"/>
    <w:rsid w:val="00C006DD"/>
    <w:rsid w:val="00C00729"/>
    <w:rsid w:val="00C007CC"/>
    <w:rsid w:val="00C00874"/>
    <w:rsid w:val="00C00A7B"/>
    <w:rsid w:val="00C00B27"/>
    <w:rsid w:val="00C00C05"/>
    <w:rsid w:val="00C00CEF"/>
    <w:rsid w:val="00C0128D"/>
    <w:rsid w:val="00C018E6"/>
    <w:rsid w:val="00C01951"/>
    <w:rsid w:val="00C019A7"/>
    <w:rsid w:val="00C019E7"/>
    <w:rsid w:val="00C01C62"/>
    <w:rsid w:val="00C01F21"/>
    <w:rsid w:val="00C01F34"/>
    <w:rsid w:val="00C01F9B"/>
    <w:rsid w:val="00C02016"/>
    <w:rsid w:val="00C0210B"/>
    <w:rsid w:val="00C02149"/>
    <w:rsid w:val="00C02247"/>
    <w:rsid w:val="00C0228B"/>
    <w:rsid w:val="00C022A4"/>
    <w:rsid w:val="00C02383"/>
    <w:rsid w:val="00C023CA"/>
    <w:rsid w:val="00C02590"/>
    <w:rsid w:val="00C02632"/>
    <w:rsid w:val="00C0264F"/>
    <w:rsid w:val="00C026F0"/>
    <w:rsid w:val="00C027C5"/>
    <w:rsid w:val="00C02980"/>
    <w:rsid w:val="00C02B1A"/>
    <w:rsid w:val="00C02CE6"/>
    <w:rsid w:val="00C02D00"/>
    <w:rsid w:val="00C02D19"/>
    <w:rsid w:val="00C02EDD"/>
    <w:rsid w:val="00C02EF8"/>
    <w:rsid w:val="00C02F47"/>
    <w:rsid w:val="00C03225"/>
    <w:rsid w:val="00C03302"/>
    <w:rsid w:val="00C03409"/>
    <w:rsid w:val="00C034E4"/>
    <w:rsid w:val="00C03746"/>
    <w:rsid w:val="00C037CB"/>
    <w:rsid w:val="00C03929"/>
    <w:rsid w:val="00C03A30"/>
    <w:rsid w:val="00C03AEC"/>
    <w:rsid w:val="00C03BA5"/>
    <w:rsid w:val="00C03BEC"/>
    <w:rsid w:val="00C03D15"/>
    <w:rsid w:val="00C03DEE"/>
    <w:rsid w:val="00C04240"/>
    <w:rsid w:val="00C043A0"/>
    <w:rsid w:val="00C043A9"/>
    <w:rsid w:val="00C0442A"/>
    <w:rsid w:val="00C04449"/>
    <w:rsid w:val="00C045A0"/>
    <w:rsid w:val="00C04687"/>
    <w:rsid w:val="00C04787"/>
    <w:rsid w:val="00C047CD"/>
    <w:rsid w:val="00C047D9"/>
    <w:rsid w:val="00C04A03"/>
    <w:rsid w:val="00C04AA5"/>
    <w:rsid w:val="00C04B3B"/>
    <w:rsid w:val="00C04BE7"/>
    <w:rsid w:val="00C04CF9"/>
    <w:rsid w:val="00C04CFD"/>
    <w:rsid w:val="00C04E1D"/>
    <w:rsid w:val="00C04E61"/>
    <w:rsid w:val="00C051B0"/>
    <w:rsid w:val="00C051C1"/>
    <w:rsid w:val="00C0521D"/>
    <w:rsid w:val="00C053A9"/>
    <w:rsid w:val="00C0561D"/>
    <w:rsid w:val="00C0570A"/>
    <w:rsid w:val="00C057C4"/>
    <w:rsid w:val="00C05856"/>
    <w:rsid w:val="00C0594F"/>
    <w:rsid w:val="00C05A1A"/>
    <w:rsid w:val="00C05C1E"/>
    <w:rsid w:val="00C05D3C"/>
    <w:rsid w:val="00C05D87"/>
    <w:rsid w:val="00C05DAA"/>
    <w:rsid w:val="00C05F1D"/>
    <w:rsid w:val="00C060A1"/>
    <w:rsid w:val="00C061F7"/>
    <w:rsid w:val="00C0621F"/>
    <w:rsid w:val="00C0628E"/>
    <w:rsid w:val="00C06342"/>
    <w:rsid w:val="00C064E5"/>
    <w:rsid w:val="00C0665D"/>
    <w:rsid w:val="00C06710"/>
    <w:rsid w:val="00C068AE"/>
    <w:rsid w:val="00C068FE"/>
    <w:rsid w:val="00C06A42"/>
    <w:rsid w:val="00C06B60"/>
    <w:rsid w:val="00C06C7B"/>
    <w:rsid w:val="00C06D1E"/>
    <w:rsid w:val="00C06DB0"/>
    <w:rsid w:val="00C0755E"/>
    <w:rsid w:val="00C0761B"/>
    <w:rsid w:val="00C07717"/>
    <w:rsid w:val="00C07787"/>
    <w:rsid w:val="00C07EFE"/>
    <w:rsid w:val="00C07F1E"/>
    <w:rsid w:val="00C07F65"/>
    <w:rsid w:val="00C07FDE"/>
    <w:rsid w:val="00C10097"/>
    <w:rsid w:val="00C1024B"/>
    <w:rsid w:val="00C10258"/>
    <w:rsid w:val="00C10347"/>
    <w:rsid w:val="00C10628"/>
    <w:rsid w:val="00C10669"/>
    <w:rsid w:val="00C107E1"/>
    <w:rsid w:val="00C10832"/>
    <w:rsid w:val="00C1090D"/>
    <w:rsid w:val="00C1097F"/>
    <w:rsid w:val="00C109B2"/>
    <w:rsid w:val="00C10CF3"/>
    <w:rsid w:val="00C10E53"/>
    <w:rsid w:val="00C10FC7"/>
    <w:rsid w:val="00C110AF"/>
    <w:rsid w:val="00C1122B"/>
    <w:rsid w:val="00C11250"/>
    <w:rsid w:val="00C11253"/>
    <w:rsid w:val="00C11290"/>
    <w:rsid w:val="00C11374"/>
    <w:rsid w:val="00C1175B"/>
    <w:rsid w:val="00C119B2"/>
    <w:rsid w:val="00C11AF8"/>
    <w:rsid w:val="00C11C2B"/>
    <w:rsid w:val="00C11C61"/>
    <w:rsid w:val="00C11D20"/>
    <w:rsid w:val="00C11D3A"/>
    <w:rsid w:val="00C11D74"/>
    <w:rsid w:val="00C11D9B"/>
    <w:rsid w:val="00C11E38"/>
    <w:rsid w:val="00C11EA7"/>
    <w:rsid w:val="00C12046"/>
    <w:rsid w:val="00C1222E"/>
    <w:rsid w:val="00C12340"/>
    <w:rsid w:val="00C1237A"/>
    <w:rsid w:val="00C1263F"/>
    <w:rsid w:val="00C12753"/>
    <w:rsid w:val="00C127D6"/>
    <w:rsid w:val="00C12937"/>
    <w:rsid w:val="00C12AB5"/>
    <w:rsid w:val="00C12B12"/>
    <w:rsid w:val="00C12CD7"/>
    <w:rsid w:val="00C12D58"/>
    <w:rsid w:val="00C12EF0"/>
    <w:rsid w:val="00C12F27"/>
    <w:rsid w:val="00C1308C"/>
    <w:rsid w:val="00C130C4"/>
    <w:rsid w:val="00C13468"/>
    <w:rsid w:val="00C1362F"/>
    <w:rsid w:val="00C1369E"/>
    <w:rsid w:val="00C136D7"/>
    <w:rsid w:val="00C137ED"/>
    <w:rsid w:val="00C13800"/>
    <w:rsid w:val="00C138AE"/>
    <w:rsid w:val="00C13BDD"/>
    <w:rsid w:val="00C13CB4"/>
    <w:rsid w:val="00C13CDA"/>
    <w:rsid w:val="00C13DD7"/>
    <w:rsid w:val="00C13FB9"/>
    <w:rsid w:val="00C13FC6"/>
    <w:rsid w:val="00C14071"/>
    <w:rsid w:val="00C14258"/>
    <w:rsid w:val="00C142BF"/>
    <w:rsid w:val="00C14395"/>
    <w:rsid w:val="00C14411"/>
    <w:rsid w:val="00C14594"/>
    <w:rsid w:val="00C145CC"/>
    <w:rsid w:val="00C145E6"/>
    <w:rsid w:val="00C14967"/>
    <w:rsid w:val="00C149FD"/>
    <w:rsid w:val="00C14C86"/>
    <w:rsid w:val="00C14CD0"/>
    <w:rsid w:val="00C14DA1"/>
    <w:rsid w:val="00C14E9F"/>
    <w:rsid w:val="00C14FFE"/>
    <w:rsid w:val="00C150BB"/>
    <w:rsid w:val="00C154CF"/>
    <w:rsid w:val="00C1562C"/>
    <w:rsid w:val="00C1572C"/>
    <w:rsid w:val="00C15786"/>
    <w:rsid w:val="00C15A2A"/>
    <w:rsid w:val="00C15A4B"/>
    <w:rsid w:val="00C15B53"/>
    <w:rsid w:val="00C15BA0"/>
    <w:rsid w:val="00C15E03"/>
    <w:rsid w:val="00C15EB9"/>
    <w:rsid w:val="00C15F02"/>
    <w:rsid w:val="00C160C8"/>
    <w:rsid w:val="00C1616C"/>
    <w:rsid w:val="00C1617F"/>
    <w:rsid w:val="00C16245"/>
    <w:rsid w:val="00C16333"/>
    <w:rsid w:val="00C1651E"/>
    <w:rsid w:val="00C168BA"/>
    <w:rsid w:val="00C168D1"/>
    <w:rsid w:val="00C16954"/>
    <w:rsid w:val="00C169A8"/>
    <w:rsid w:val="00C16CF9"/>
    <w:rsid w:val="00C170B2"/>
    <w:rsid w:val="00C170F5"/>
    <w:rsid w:val="00C1715C"/>
    <w:rsid w:val="00C1732B"/>
    <w:rsid w:val="00C17346"/>
    <w:rsid w:val="00C17448"/>
    <w:rsid w:val="00C1748B"/>
    <w:rsid w:val="00C175BC"/>
    <w:rsid w:val="00C17694"/>
    <w:rsid w:val="00C176AF"/>
    <w:rsid w:val="00C17747"/>
    <w:rsid w:val="00C17A51"/>
    <w:rsid w:val="00C17AA3"/>
    <w:rsid w:val="00C17B75"/>
    <w:rsid w:val="00C17B87"/>
    <w:rsid w:val="00C17CE6"/>
    <w:rsid w:val="00C17EB2"/>
    <w:rsid w:val="00C17EF3"/>
    <w:rsid w:val="00C17F8A"/>
    <w:rsid w:val="00C17FD8"/>
    <w:rsid w:val="00C20098"/>
    <w:rsid w:val="00C200B8"/>
    <w:rsid w:val="00C20338"/>
    <w:rsid w:val="00C204AA"/>
    <w:rsid w:val="00C2051B"/>
    <w:rsid w:val="00C2058C"/>
    <w:rsid w:val="00C205FA"/>
    <w:rsid w:val="00C20652"/>
    <w:rsid w:val="00C206DA"/>
    <w:rsid w:val="00C2078C"/>
    <w:rsid w:val="00C2089A"/>
    <w:rsid w:val="00C20C64"/>
    <w:rsid w:val="00C20F68"/>
    <w:rsid w:val="00C20FCB"/>
    <w:rsid w:val="00C21126"/>
    <w:rsid w:val="00C21196"/>
    <w:rsid w:val="00C2119A"/>
    <w:rsid w:val="00C212E1"/>
    <w:rsid w:val="00C214CC"/>
    <w:rsid w:val="00C2160B"/>
    <w:rsid w:val="00C216AA"/>
    <w:rsid w:val="00C216E0"/>
    <w:rsid w:val="00C21728"/>
    <w:rsid w:val="00C218AB"/>
    <w:rsid w:val="00C2199F"/>
    <w:rsid w:val="00C21A11"/>
    <w:rsid w:val="00C21AA6"/>
    <w:rsid w:val="00C21BCD"/>
    <w:rsid w:val="00C21CE9"/>
    <w:rsid w:val="00C21D03"/>
    <w:rsid w:val="00C2212E"/>
    <w:rsid w:val="00C222C8"/>
    <w:rsid w:val="00C2247A"/>
    <w:rsid w:val="00C22600"/>
    <w:rsid w:val="00C226A1"/>
    <w:rsid w:val="00C226B8"/>
    <w:rsid w:val="00C22757"/>
    <w:rsid w:val="00C22A05"/>
    <w:rsid w:val="00C22C00"/>
    <w:rsid w:val="00C22D9F"/>
    <w:rsid w:val="00C22F74"/>
    <w:rsid w:val="00C22F7D"/>
    <w:rsid w:val="00C22FE6"/>
    <w:rsid w:val="00C232E8"/>
    <w:rsid w:val="00C23330"/>
    <w:rsid w:val="00C23430"/>
    <w:rsid w:val="00C2357E"/>
    <w:rsid w:val="00C23585"/>
    <w:rsid w:val="00C23600"/>
    <w:rsid w:val="00C23613"/>
    <w:rsid w:val="00C23655"/>
    <w:rsid w:val="00C239B0"/>
    <w:rsid w:val="00C23F24"/>
    <w:rsid w:val="00C24000"/>
    <w:rsid w:val="00C2403A"/>
    <w:rsid w:val="00C24159"/>
    <w:rsid w:val="00C242D8"/>
    <w:rsid w:val="00C24372"/>
    <w:rsid w:val="00C243AC"/>
    <w:rsid w:val="00C24458"/>
    <w:rsid w:val="00C245D0"/>
    <w:rsid w:val="00C2494F"/>
    <w:rsid w:val="00C24996"/>
    <w:rsid w:val="00C24AA3"/>
    <w:rsid w:val="00C24CD1"/>
    <w:rsid w:val="00C24CDE"/>
    <w:rsid w:val="00C24DCA"/>
    <w:rsid w:val="00C24F93"/>
    <w:rsid w:val="00C2500E"/>
    <w:rsid w:val="00C25037"/>
    <w:rsid w:val="00C251BA"/>
    <w:rsid w:val="00C254A7"/>
    <w:rsid w:val="00C254CF"/>
    <w:rsid w:val="00C25672"/>
    <w:rsid w:val="00C25740"/>
    <w:rsid w:val="00C25904"/>
    <w:rsid w:val="00C25FAE"/>
    <w:rsid w:val="00C260E2"/>
    <w:rsid w:val="00C2640C"/>
    <w:rsid w:val="00C2651D"/>
    <w:rsid w:val="00C2659C"/>
    <w:rsid w:val="00C265C0"/>
    <w:rsid w:val="00C26605"/>
    <w:rsid w:val="00C2670A"/>
    <w:rsid w:val="00C26B3A"/>
    <w:rsid w:val="00C26B6A"/>
    <w:rsid w:val="00C26B8B"/>
    <w:rsid w:val="00C26BE7"/>
    <w:rsid w:val="00C26C2B"/>
    <w:rsid w:val="00C26D6B"/>
    <w:rsid w:val="00C26FB2"/>
    <w:rsid w:val="00C26FC3"/>
    <w:rsid w:val="00C26FE4"/>
    <w:rsid w:val="00C270B9"/>
    <w:rsid w:val="00C2714E"/>
    <w:rsid w:val="00C27497"/>
    <w:rsid w:val="00C274E1"/>
    <w:rsid w:val="00C27502"/>
    <w:rsid w:val="00C27786"/>
    <w:rsid w:val="00C277E2"/>
    <w:rsid w:val="00C27878"/>
    <w:rsid w:val="00C27992"/>
    <w:rsid w:val="00C27A37"/>
    <w:rsid w:val="00C27CEF"/>
    <w:rsid w:val="00C27CF1"/>
    <w:rsid w:val="00C27EDC"/>
    <w:rsid w:val="00C300A8"/>
    <w:rsid w:val="00C3017D"/>
    <w:rsid w:val="00C30316"/>
    <w:rsid w:val="00C305AC"/>
    <w:rsid w:val="00C30694"/>
    <w:rsid w:val="00C307C2"/>
    <w:rsid w:val="00C30A2B"/>
    <w:rsid w:val="00C30A7E"/>
    <w:rsid w:val="00C30EF8"/>
    <w:rsid w:val="00C31025"/>
    <w:rsid w:val="00C3119F"/>
    <w:rsid w:val="00C313AB"/>
    <w:rsid w:val="00C3143E"/>
    <w:rsid w:val="00C3155A"/>
    <w:rsid w:val="00C3157B"/>
    <w:rsid w:val="00C315FE"/>
    <w:rsid w:val="00C31ACB"/>
    <w:rsid w:val="00C31DCE"/>
    <w:rsid w:val="00C31EDE"/>
    <w:rsid w:val="00C31F77"/>
    <w:rsid w:val="00C32068"/>
    <w:rsid w:val="00C320FE"/>
    <w:rsid w:val="00C321DB"/>
    <w:rsid w:val="00C32735"/>
    <w:rsid w:val="00C32894"/>
    <w:rsid w:val="00C3299E"/>
    <w:rsid w:val="00C32B1B"/>
    <w:rsid w:val="00C32B62"/>
    <w:rsid w:val="00C32B90"/>
    <w:rsid w:val="00C32BF5"/>
    <w:rsid w:val="00C32C8B"/>
    <w:rsid w:val="00C32DF9"/>
    <w:rsid w:val="00C33066"/>
    <w:rsid w:val="00C330D3"/>
    <w:rsid w:val="00C3338C"/>
    <w:rsid w:val="00C33575"/>
    <w:rsid w:val="00C336AA"/>
    <w:rsid w:val="00C338B1"/>
    <w:rsid w:val="00C339B3"/>
    <w:rsid w:val="00C33D5B"/>
    <w:rsid w:val="00C33DCB"/>
    <w:rsid w:val="00C34106"/>
    <w:rsid w:val="00C341E2"/>
    <w:rsid w:val="00C342C3"/>
    <w:rsid w:val="00C3447C"/>
    <w:rsid w:val="00C344AD"/>
    <w:rsid w:val="00C3459D"/>
    <w:rsid w:val="00C346D1"/>
    <w:rsid w:val="00C348E7"/>
    <w:rsid w:val="00C34A94"/>
    <w:rsid w:val="00C34B9C"/>
    <w:rsid w:val="00C34BE4"/>
    <w:rsid w:val="00C34CD9"/>
    <w:rsid w:val="00C34D2C"/>
    <w:rsid w:val="00C34DEA"/>
    <w:rsid w:val="00C34EBB"/>
    <w:rsid w:val="00C35175"/>
    <w:rsid w:val="00C351BB"/>
    <w:rsid w:val="00C35208"/>
    <w:rsid w:val="00C353AA"/>
    <w:rsid w:val="00C35469"/>
    <w:rsid w:val="00C354F9"/>
    <w:rsid w:val="00C354FD"/>
    <w:rsid w:val="00C357FD"/>
    <w:rsid w:val="00C358FB"/>
    <w:rsid w:val="00C35A68"/>
    <w:rsid w:val="00C35BDD"/>
    <w:rsid w:val="00C35C0B"/>
    <w:rsid w:val="00C36194"/>
    <w:rsid w:val="00C361DE"/>
    <w:rsid w:val="00C36378"/>
    <w:rsid w:val="00C363D0"/>
    <w:rsid w:val="00C368E1"/>
    <w:rsid w:val="00C368F0"/>
    <w:rsid w:val="00C36960"/>
    <w:rsid w:val="00C36D12"/>
    <w:rsid w:val="00C36EC7"/>
    <w:rsid w:val="00C36F62"/>
    <w:rsid w:val="00C36FBF"/>
    <w:rsid w:val="00C370AA"/>
    <w:rsid w:val="00C370D8"/>
    <w:rsid w:val="00C375D0"/>
    <w:rsid w:val="00C37942"/>
    <w:rsid w:val="00C37A83"/>
    <w:rsid w:val="00C37B22"/>
    <w:rsid w:val="00C37E23"/>
    <w:rsid w:val="00C3C3AF"/>
    <w:rsid w:val="00C40150"/>
    <w:rsid w:val="00C405FF"/>
    <w:rsid w:val="00C4063E"/>
    <w:rsid w:val="00C40A05"/>
    <w:rsid w:val="00C40BC5"/>
    <w:rsid w:val="00C40C67"/>
    <w:rsid w:val="00C40CA5"/>
    <w:rsid w:val="00C40DAE"/>
    <w:rsid w:val="00C40E63"/>
    <w:rsid w:val="00C40F0E"/>
    <w:rsid w:val="00C410DF"/>
    <w:rsid w:val="00C41446"/>
    <w:rsid w:val="00C41464"/>
    <w:rsid w:val="00C41520"/>
    <w:rsid w:val="00C41748"/>
    <w:rsid w:val="00C419B6"/>
    <w:rsid w:val="00C41AB7"/>
    <w:rsid w:val="00C41BD7"/>
    <w:rsid w:val="00C41C1E"/>
    <w:rsid w:val="00C41F8B"/>
    <w:rsid w:val="00C42023"/>
    <w:rsid w:val="00C4207E"/>
    <w:rsid w:val="00C4219F"/>
    <w:rsid w:val="00C421E4"/>
    <w:rsid w:val="00C4234D"/>
    <w:rsid w:val="00C4237D"/>
    <w:rsid w:val="00C4259A"/>
    <w:rsid w:val="00C42623"/>
    <w:rsid w:val="00C42645"/>
    <w:rsid w:val="00C42857"/>
    <w:rsid w:val="00C428D9"/>
    <w:rsid w:val="00C42A63"/>
    <w:rsid w:val="00C42DDB"/>
    <w:rsid w:val="00C42F2B"/>
    <w:rsid w:val="00C42FB8"/>
    <w:rsid w:val="00C42FBB"/>
    <w:rsid w:val="00C431D8"/>
    <w:rsid w:val="00C432E0"/>
    <w:rsid w:val="00C43384"/>
    <w:rsid w:val="00C43634"/>
    <w:rsid w:val="00C43736"/>
    <w:rsid w:val="00C4373B"/>
    <w:rsid w:val="00C4384C"/>
    <w:rsid w:val="00C438C7"/>
    <w:rsid w:val="00C43A12"/>
    <w:rsid w:val="00C43C41"/>
    <w:rsid w:val="00C43C72"/>
    <w:rsid w:val="00C43E8A"/>
    <w:rsid w:val="00C44010"/>
    <w:rsid w:val="00C44093"/>
    <w:rsid w:val="00C442A3"/>
    <w:rsid w:val="00C444E5"/>
    <w:rsid w:val="00C446E9"/>
    <w:rsid w:val="00C44741"/>
    <w:rsid w:val="00C44C92"/>
    <w:rsid w:val="00C44E4D"/>
    <w:rsid w:val="00C44E90"/>
    <w:rsid w:val="00C44FC6"/>
    <w:rsid w:val="00C4510E"/>
    <w:rsid w:val="00C4525A"/>
    <w:rsid w:val="00C4535A"/>
    <w:rsid w:val="00C4538D"/>
    <w:rsid w:val="00C45455"/>
    <w:rsid w:val="00C45552"/>
    <w:rsid w:val="00C45687"/>
    <w:rsid w:val="00C458BE"/>
    <w:rsid w:val="00C458C8"/>
    <w:rsid w:val="00C458ED"/>
    <w:rsid w:val="00C459B1"/>
    <w:rsid w:val="00C45A90"/>
    <w:rsid w:val="00C45BAD"/>
    <w:rsid w:val="00C45C18"/>
    <w:rsid w:val="00C45C20"/>
    <w:rsid w:val="00C45D0E"/>
    <w:rsid w:val="00C45E3C"/>
    <w:rsid w:val="00C45E70"/>
    <w:rsid w:val="00C45FA8"/>
    <w:rsid w:val="00C45FDB"/>
    <w:rsid w:val="00C461ED"/>
    <w:rsid w:val="00C4626D"/>
    <w:rsid w:val="00C462B6"/>
    <w:rsid w:val="00C462FF"/>
    <w:rsid w:val="00C4632A"/>
    <w:rsid w:val="00C463B2"/>
    <w:rsid w:val="00C465EA"/>
    <w:rsid w:val="00C4680E"/>
    <w:rsid w:val="00C468B8"/>
    <w:rsid w:val="00C46969"/>
    <w:rsid w:val="00C46A30"/>
    <w:rsid w:val="00C46BAC"/>
    <w:rsid w:val="00C46C57"/>
    <w:rsid w:val="00C46D87"/>
    <w:rsid w:val="00C46E2E"/>
    <w:rsid w:val="00C46FAB"/>
    <w:rsid w:val="00C46FC3"/>
    <w:rsid w:val="00C47075"/>
    <w:rsid w:val="00C4713B"/>
    <w:rsid w:val="00C47195"/>
    <w:rsid w:val="00C471CA"/>
    <w:rsid w:val="00C472D9"/>
    <w:rsid w:val="00C4754A"/>
    <w:rsid w:val="00C4767B"/>
    <w:rsid w:val="00C4767C"/>
    <w:rsid w:val="00C476A9"/>
    <w:rsid w:val="00C47726"/>
    <w:rsid w:val="00C47934"/>
    <w:rsid w:val="00C4797F"/>
    <w:rsid w:val="00C47BC4"/>
    <w:rsid w:val="00C47CDD"/>
    <w:rsid w:val="00C47E7A"/>
    <w:rsid w:val="00C50190"/>
    <w:rsid w:val="00C501C5"/>
    <w:rsid w:val="00C503E7"/>
    <w:rsid w:val="00C50408"/>
    <w:rsid w:val="00C505C0"/>
    <w:rsid w:val="00C50687"/>
    <w:rsid w:val="00C507C1"/>
    <w:rsid w:val="00C5089F"/>
    <w:rsid w:val="00C5097B"/>
    <w:rsid w:val="00C50BBA"/>
    <w:rsid w:val="00C50CA1"/>
    <w:rsid w:val="00C50CDC"/>
    <w:rsid w:val="00C50CE6"/>
    <w:rsid w:val="00C50DB4"/>
    <w:rsid w:val="00C50DE3"/>
    <w:rsid w:val="00C50DFC"/>
    <w:rsid w:val="00C51121"/>
    <w:rsid w:val="00C51287"/>
    <w:rsid w:val="00C5143E"/>
    <w:rsid w:val="00C517F6"/>
    <w:rsid w:val="00C51A04"/>
    <w:rsid w:val="00C51B2D"/>
    <w:rsid w:val="00C51C41"/>
    <w:rsid w:val="00C51CC5"/>
    <w:rsid w:val="00C51D5C"/>
    <w:rsid w:val="00C51DFF"/>
    <w:rsid w:val="00C51E87"/>
    <w:rsid w:val="00C51FDA"/>
    <w:rsid w:val="00C52139"/>
    <w:rsid w:val="00C521EA"/>
    <w:rsid w:val="00C522EF"/>
    <w:rsid w:val="00C524C9"/>
    <w:rsid w:val="00C5274A"/>
    <w:rsid w:val="00C52772"/>
    <w:rsid w:val="00C5284F"/>
    <w:rsid w:val="00C52869"/>
    <w:rsid w:val="00C52C4B"/>
    <w:rsid w:val="00C52D4B"/>
    <w:rsid w:val="00C52D75"/>
    <w:rsid w:val="00C52FE5"/>
    <w:rsid w:val="00C533A9"/>
    <w:rsid w:val="00C53405"/>
    <w:rsid w:val="00C53524"/>
    <w:rsid w:val="00C537C8"/>
    <w:rsid w:val="00C538C5"/>
    <w:rsid w:val="00C53965"/>
    <w:rsid w:val="00C53A76"/>
    <w:rsid w:val="00C53BBB"/>
    <w:rsid w:val="00C53C9B"/>
    <w:rsid w:val="00C53D0B"/>
    <w:rsid w:val="00C53E52"/>
    <w:rsid w:val="00C541B6"/>
    <w:rsid w:val="00C542AA"/>
    <w:rsid w:val="00C543D6"/>
    <w:rsid w:val="00C544E0"/>
    <w:rsid w:val="00C54502"/>
    <w:rsid w:val="00C54702"/>
    <w:rsid w:val="00C548D6"/>
    <w:rsid w:val="00C54985"/>
    <w:rsid w:val="00C54A46"/>
    <w:rsid w:val="00C54B10"/>
    <w:rsid w:val="00C54B33"/>
    <w:rsid w:val="00C54CD4"/>
    <w:rsid w:val="00C54D5D"/>
    <w:rsid w:val="00C54E3A"/>
    <w:rsid w:val="00C54E9C"/>
    <w:rsid w:val="00C55075"/>
    <w:rsid w:val="00C550C2"/>
    <w:rsid w:val="00C55279"/>
    <w:rsid w:val="00C55504"/>
    <w:rsid w:val="00C55580"/>
    <w:rsid w:val="00C5564C"/>
    <w:rsid w:val="00C5571D"/>
    <w:rsid w:val="00C5593C"/>
    <w:rsid w:val="00C55ABA"/>
    <w:rsid w:val="00C55AD0"/>
    <w:rsid w:val="00C55AF2"/>
    <w:rsid w:val="00C55F6C"/>
    <w:rsid w:val="00C56054"/>
    <w:rsid w:val="00C563D5"/>
    <w:rsid w:val="00C56483"/>
    <w:rsid w:val="00C56583"/>
    <w:rsid w:val="00C56631"/>
    <w:rsid w:val="00C567F9"/>
    <w:rsid w:val="00C56B46"/>
    <w:rsid w:val="00C56EF3"/>
    <w:rsid w:val="00C56F9C"/>
    <w:rsid w:val="00C573A1"/>
    <w:rsid w:val="00C575EC"/>
    <w:rsid w:val="00C57639"/>
    <w:rsid w:val="00C57694"/>
    <w:rsid w:val="00C577CB"/>
    <w:rsid w:val="00C57866"/>
    <w:rsid w:val="00C57904"/>
    <w:rsid w:val="00C57976"/>
    <w:rsid w:val="00C57C04"/>
    <w:rsid w:val="00C57C14"/>
    <w:rsid w:val="00C6038C"/>
    <w:rsid w:val="00C60416"/>
    <w:rsid w:val="00C60629"/>
    <w:rsid w:val="00C60668"/>
    <w:rsid w:val="00C606A2"/>
    <w:rsid w:val="00C6079A"/>
    <w:rsid w:val="00C6089E"/>
    <w:rsid w:val="00C608E8"/>
    <w:rsid w:val="00C609AE"/>
    <w:rsid w:val="00C60B42"/>
    <w:rsid w:val="00C60B6B"/>
    <w:rsid w:val="00C60B9F"/>
    <w:rsid w:val="00C60D2D"/>
    <w:rsid w:val="00C60D47"/>
    <w:rsid w:val="00C60DD3"/>
    <w:rsid w:val="00C60F6F"/>
    <w:rsid w:val="00C6107F"/>
    <w:rsid w:val="00C610DA"/>
    <w:rsid w:val="00C61112"/>
    <w:rsid w:val="00C61258"/>
    <w:rsid w:val="00C615F5"/>
    <w:rsid w:val="00C6172D"/>
    <w:rsid w:val="00C61B5C"/>
    <w:rsid w:val="00C61B9A"/>
    <w:rsid w:val="00C61BE5"/>
    <w:rsid w:val="00C61DC3"/>
    <w:rsid w:val="00C61E58"/>
    <w:rsid w:val="00C62423"/>
    <w:rsid w:val="00C62500"/>
    <w:rsid w:val="00C6255D"/>
    <w:rsid w:val="00C6256A"/>
    <w:rsid w:val="00C62583"/>
    <w:rsid w:val="00C625A5"/>
    <w:rsid w:val="00C628B1"/>
    <w:rsid w:val="00C62A06"/>
    <w:rsid w:val="00C62A77"/>
    <w:rsid w:val="00C62C1F"/>
    <w:rsid w:val="00C62C2E"/>
    <w:rsid w:val="00C62C57"/>
    <w:rsid w:val="00C62C83"/>
    <w:rsid w:val="00C62CE6"/>
    <w:rsid w:val="00C62D0F"/>
    <w:rsid w:val="00C63012"/>
    <w:rsid w:val="00C63492"/>
    <w:rsid w:val="00C6353C"/>
    <w:rsid w:val="00C63596"/>
    <w:rsid w:val="00C635FA"/>
    <w:rsid w:val="00C6365E"/>
    <w:rsid w:val="00C6368F"/>
    <w:rsid w:val="00C63771"/>
    <w:rsid w:val="00C639DB"/>
    <w:rsid w:val="00C63C37"/>
    <w:rsid w:val="00C63ED2"/>
    <w:rsid w:val="00C64072"/>
    <w:rsid w:val="00C640C4"/>
    <w:rsid w:val="00C640E6"/>
    <w:rsid w:val="00C6410D"/>
    <w:rsid w:val="00C642BE"/>
    <w:rsid w:val="00C64339"/>
    <w:rsid w:val="00C64352"/>
    <w:rsid w:val="00C643ED"/>
    <w:rsid w:val="00C644C2"/>
    <w:rsid w:val="00C646AA"/>
    <w:rsid w:val="00C64912"/>
    <w:rsid w:val="00C64A17"/>
    <w:rsid w:val="00C64C13"/>
    <w:rsid w:val="00C64D44"/>
    <w:rsid w:val="00C651DF"/>
    <w:rsid w:val="00C65306"/>
    <w:rsid w:val="00C65376"/>
    <w:rsid w:val="00C653BC"/>
    <w:rsid w:val="00C655E2"/>
    <w:rsid w:val="00C65664"/>
    <w:rsid w:val="00C656F6"/>
    <w:rsid w:val="00C65865"/>
    <w:rsid w:val="00C65924"/>
    <w:rsid w:val="00C659FF"/>
    <w:rsid w:val="00C65AA6"/>
    <w:rsid w:val="00C65ACB"/>
    <w:rsid w:val="00C65AEF"/>
    <w:rsid w:val="00C65D45"/>
    <w:rsid w:val="00C65DD7"/>
    <w:rsid w:val="00C65E9B"/>
    <w:rsid w:val="00C65F4D"/>
    <w:rsid w:val="00C65FC5"/>
    <w:rsid w:val="00C660E7"/>
    <w:rsid w:val="00C66231"/>
    <w:rsid w:val="00C662B5"/>
    <w:rsid w:val="00C662CB"/>
    <w:rsid w:val="00C66343"/>
    <w:rsid w:val="00C6657C"/>
    <w:rsid w:val="00C66780"/>
    <w:rsid w:val="00C66873"/>
    <w:rsid w:val="00C66AAF"/>
    <w:rsid w:val="00C670D3"/>
    <w:rsid w:val="00C67143"/>
    <w:rsid w:val="00C671AC"/>
    <w:rsid w:val="00C6736B"/>
    <w:rsid w:val="00C674D5"/>
    <w:rsid w:val="00C675C8"/>
    <w:rsid w:val="00C67810"/>
    <w:rsid w:val="00C679D1"/>
    <w:rsid w:val="00C67CDA"/>
    <w:rsid w:val="00C67E89"/>
    <w:rsid w:val="00C7047F"/>
    <w:rsid w:val="00C70516"/>
    <w:rsid w:val="00C70602"/>
    <w:rsid w:val="00C7079A"/>
    <w:rsid w:val="00C70A74"/>
    <w:rsid w:val="00C70C81"/>
    <w:rsid w:val="00C70F05"/>
    <w:rsid w:val="00C71212"/>
    <w:rsid w:val="00C71315"/>
    <w:rsid w:val="00C71326"/>
    <w:rsid w:val="00C71441"/>
    <w:rsid w:val="00C71452"/>
    <w:rsid w:val="00C71824"/>
    <w:rsid w:val="00C71963"/>
    <w:rsid w:val="00C71A1D"/>
    <w:rsid w:val="00C71AC2"/>
    <w:rsid w:val="00C71B55"/>
    <w:rsid w:val="00C71BAE"/>
    <w:rsid w:val="00C71D1D"/>
    <w:rsid w:val="00C71E33"/>
    <w:rsid w:val="00C7220C"/>
    <w:rsid w:val="00C7225E"/>
    <w:rsid w:val="00C72448"/>
    <w:rsid w:val="00C724AC"/>
    <w:rsid w:val="00C724B5"/>
    <w:rsid w:val="00C724B6"/>
    <w:rsid w:val="00C725B1"/>
    <w:rsid w:val="00C725B2"/>
    <w:rsid w:val="00C72794"/>
    <w:rsid w:val="00C727C0"/>
    <w:rsid w:val="00C727CC"/>
    <w:rsid w:val="00C72820"/>
    <w:rsid w:val="00C728DF"/>
    <w:rsid w:val="00C72A66"/>
    <w:rsid w:val="00C72A71"/>
    <w:rsid w:val="00C72BC8"/>
    <w:rsid w:val="00C72C9A"/>
    <w:rsid w:val="00C72D2A"/>
    <w:rsid w:val="00C72D5E"/>
    <w:rsid w:val="00C72D60"/>
    <w:rsid w:val="00C72E88"/>
    <w:rsid w:val="00C72FBA"/>
    <w:rsid w:val="00C734A1"/>
    <w:rsid w:val="00C736B3"/>
    <w:rsid w:val="00C73766"/>
    <w:rsid w:val="00C737DE"/>
    <w:rsid w:val="00C73924"/>
    <w:rsid w:val="00C73A04"/>
    <w:rsid w:val="00C73A64"/>
    <w:rsid w:val="00C73A91"/>
    <w:rsid w:val="00C73B32"/>
    <w:rsid w:val="00C73C45"/>
    <w:rsid w:val="00C73DEF"/>
    <w:rsid w:val="00C7416A"/>
    <w:rsid w:val="00C74270"/>
    <w:rsid w:val="00C743DE"/>
    <w:rsid w:val="00C744E9"/>
    <w:rsid w:val="00C7459C"/>
    <w:rsid w:val="00C74682"/>
    <w:rsid w:val="00C748EB"/>
    <w:rsid w:val="00C74B69"/>
    <w:rsid w:val="00C74D95"/>
    <w:rsid w:val="00C74E0A"/>
    <w:rsid w:val="00C74EB8"/>
    <w:rsid w:val="00C74F83"/>
    <w:rsid w:val="00C758F1"/>
    <w:rsid w:val="00C75958"/>
    <w:rsid w:val="00C759FD"/>
    <w:rsid w:val="00C75ABD"/>
    <w:rsid w:val="00C75D70"/>
    <w:rsid w:val="00C75DC5"/>
    <w:rsid w:val="00C75F22"/>
    <w:rsid w:val="00C75F8B"/>
    <w:rsid w:val="00C7618B"/>
    <w:rsid w:val="00C762D2"/>
    <w:rsid w:val="00C76670"/>
    <w:rsid w:val="00C767C5"/>
    <w:rsid w:val="00C768A3"/>
    <w:rsid w:val="00C768F4"/>
    <w:rsid w:val="00C76970"/>
    <w:rsid w:val="00C76B36"/>
    <w:rsid w:val="00C76B52"/>
    <w:rsid w:val="00C76C18"/>
    <w:rsid w:val="00C76EDA"/>
    <w:rsid w:val="00C77113"/>
    <w:rsid w:val="00C7713E"/>
    <w:rsid w:val="00C77269"/>
    <w:rsid w:val="00C7737F"/>
    <w:rsid w:val="00C778C3"/>
    <w:rsid w:val="00C77B00"/>
    <w:rsid w:val="00C77C3D"/>
    <w:rsid w:val="00C77CFC"/>
    <w:rsid w:val="00C77F67"/>
    <w:rsid w:val="00C77FEE"/>
    <w:rsid w:val="00C80091"/>
    <w:rsid w:val="00C80294"/>
    <w:rsid w:val="00C80534"/>
    <w:rsid w:val="00C80581"/>
    <w:rsid w:val="00C80650"/>
    <w:rsid w:val="00C80663"/>
    <w:rsid w:val="00C80681"/>
    <w:rsid w:val="00C8068E"/>
    <w:rsid w:val="00C806AE"/>
    <w:rsid w:val="00C80801"/>
    <w:rsid w:val="00C808F3"/>
    <w:rsid w:val="00C80AB0"/>
    <w:rsid w:val="00C80BA1"/>
    <w:rsid w:val="00C80BB0"/>
    <w:rsid w:val="00C80D64"/>
    <w:rsid w:val="00C80E0B"/>
    <w:rsid w:val="00C80E5D"/>
    <w:rsid w:val="00C813CA"/>
    <w:rsid w:val="00C81595"/>
    <w:rsid w:val="00C8163E"/>
    <w:rsid w:val="00C8166B"/>
    <w:rsid w:val="00C81837"/>
    <w:rsid w:val="00C81840"/>
    <w:rsid w:val="00C8191E"/>
    <w:rsid w:val="00C81A3C"/>
    <w:rsid w:val="00C81AB5"/>
    <w:rsid w:val="00C81D00"/>
    <w:rsid w:val="00C81E8C"/>
    <w:rsid w:val="00C81EFD"/>
    <w:rsid w:val="00C8207D"/>
    <w:rsid w:val="00C824F2"/>
    <w:rsid w:val="00C8264E"/>
    <w:rsid w:val="00C829E5"/>
    <w:rsid w:val="00C82AC8"/>
    <w:rsid w:val="00C82AD8"/>
    <w:rsid w:val="00C82EC1"/>
    <w:rsid w:val="00C831D0"/>
    <w:rsid w:val="00C8337B"/>
    <w:rsid w:val="00C8353C"/>
    <w:rsid w:val="00C8358D"/>
    <w:rsid w:val="00C836CE"/>
    <w:rsid w:val="00C83718"/>
    <w:rsid w:val="00C8374B"/>
    <w:rsid w:val="00C838A0"/>
    <w:rsid w:val="00C839F1"/>
    <w:rsid w:val="00C83C11"/>
    <w:rsid w:val="00C83C74"/>
    <w:rsid w:val="00C83C96"/>
    <w:rsid w:val="00C83DA2"/>
    <w:rsid w:val="00C83E75"/>
    <w:rsid w:val="00C8481C"/>
    <w:rsid w:val="00C84828"/>
    <w:rsid w:val="00C84973"/>
    <w:rsid w:val="00C849E5"/>
    <w:rsid w:val="00C84DAF"/>
    <w:rsid w:val="00C84E9E"/>
    <w:rsid w:val="00C8500C"/>
    <w:rsid w:val="00C85255"/>
    <w:rsid w:val="00C85351"/>
    <w:rsid w:val="00C85699"/>
    <w:rsid w:val="00C85717"/>
    <w:rsid w:val="00C857B7"/>
    <w:rsid w:val="00C85851"/>
    <w:rsid w:val="00C859CD"/>
    <w:rsid w:val="00C85EA3"/>
    <w:rsid w:val="00C85F75"/>
    <w:rsid w:val="00C860D5"/>
    <w:rsid w:val="00C86142"/>
    <w:rsid w:val="00C8628C"/>
    <w:rsid w:val="00C866A2"/>
    <w:rsid w:val="00C86908"/>
    <w:rsid w:val="00C86A0A"/>
    <w:rsid w:val="00C86A85"/>
    <w:rsid w:val="00C86AEB"/>
    <w:rsid w:val="00C86B6B"/>
    <w:rsid w:val="00C870F5"/>
    <w:rsid w:val="00C8710D"/>
    <w:rsid w:val="00C87190"/>
    <w:rsid w:val="00C87359"/>
    <w:rsid w:val="00C873DC"/>
    <w:rsid w:val="00C8750A"/>
    <w:rsid w:val="00C87672"/>
    <w:rsid w:val="00C87754"/>
    <w:rsid w:val="00C877F2"/>
    <w:rsid w:val="00C87910"/>
    <w:rsid w:val="00C879CD"/>
    <w:rsid w:val="00C87A54"/>
    <w:rsid w:val="00C87B36"/>
    <w:rsid w:val="00C87CE7"/>
    <w:rsid w:val="00C87E88"/>
    <w:rsid w:val="00C87E96"/>
    <w:rsid w:val="00C900CF"/>
    <w:rsid w:val="00C901D1"/>
    <w:rsid w:val="00C901DB"/>
    <w:rsid w:val="00C901EB"/>
    <w:rsid w:val="00C9039E"/>
    <w:rsid w:val="00C9044F"/>
    <w:rsid w:val="00C905D3"/>
    <w:rsid w:val="00C906E6"/>
    <w:rsid w:val="00C90823"/>
    <w:rsid w:val="00C9087D"/>
    <w:rsid w:val="00C90A35"/>
    <w:rsid w:val="00C90A45"/>
    <w:rsid w:val="00C90B5E"/>
    <w:rsid w:val="00C90B6F"/>
    <w:rsid w:val="00C90C47"/>
    <w:rsid w:val="00C90E59"/>
    <w:rsid w:val="00C90FE7"/>
    <w:rsid w:val="00C91213"/>
    <w:rsid w:val="00C9138F"/>
    <w:rsid w:val="00C913D8"/>
    <w:rsid w:val="00C91428"/>
    <w:rsid w:val="00C9149B"/>
    <w:rsid w:val="00C915D4"/>
    <w:rsid w:val="00C9171E"/>
    <w:rsid w:val="00C917A0"/>
    <w:rsid w:val="00C918B7"/>
    <w:rsid w:val="00C918DD"/>
    <w:rsid w:val="00C9198B"/>
    <w:rsid w:val="00C919F7"/>
    <w:rsid w:val="00C91A30"/>
    <w:rsid w:val="00C91ACA"/>
    <w:rsid w:val="00C91B09"/>
    <w:rsid w:val="00C91B59"/>
    <w:rsid w:val="00C91C78"/>
    <w:rsid w:val="00C91D11"/>
    <w:rsid w:val="00C91F45"/>
    <w:rsid w:val="00C9205A"/>
    <w:rsid w:val="00C920EF"/>
    <w:rsid w:val="00C921A8"/>
    <w:rsid w:val="00C922F0"/>
    <w:rsid w:val="00C92312"/>
    <w:rsid w:val="00C9263A"/>
    <w:rsid w:val="00C926B4"/>
    <w:rsid w:val="00C9278E"/>
    <w:rsid w:val="00C927C0"/>
    <w:rsid w:val="00C92949"/>
    <w:rsid w:val="00C92E99"/>
    <w:rsid w:val="00C92EBD"/>
    <w:rsid w:val="00C9314E"/>
    <w:rsid w:val="00C93468"/>
    <w:rsid w:val="00C936E3"/>
    <w:rsid w:val="00C93B22"/>
    <w:rsid w:val="00C93C64"/>
    <w:rsid w:val="00C93DF9"/>
    <w:rsid w:val="00C94074"/>
    <w:rsid w:val="00C940DE"/>
    <w:rsid w:val="00C94165"/>
    <w:rsid w:val="00C94247"/>
    <w:rsid w:val="00C9425C"/>
    <w:rsid w:val="00C94386"/>
    <w:rsid w:val="00C9445F"/>
    <w:rsid w:val="00C945D9"/>
    <w:rsid w:val="00C94736"/>
    <w:rsid w:val="00C947FD"/>
    <w:rsid w:val="00C94854"/>
    <w:rsid w:val="00C94B0D"/>
    <w:rsid w:val="00C94E61"/>
    <w:rsid w:val="00C94EEB"/>
    <w:rsid w:val="00C94F58"/>
    <w:rsid w:val="00C94FDD"/>
    <w:rsid w:val="00C9522F"/>
    <w:rsid w:val="00C95348"/>
    <w:rsid w:val="00C9540A"/>
    <w:rsid w:val="00C955A4"/>
    <w:rsid w:val="00C955B7"/>
    <w:rsid w:val="00C9577A"/>
    <w:rsid w:val="00C95805"/>
    <w:rsid w:val="00C95835"/>
    <w:rsid w:val="00C95850"/>
    <w:rsid w:val="00C95997"/>
    <w:rsid w:val="00C95AE8"/>
    <w:rsid w:val="00C95D63"/>
    <w:rsid w:val="00C95FBF"/>
    <w:rsid w:val="00C96127"/>
    <w:rsid w:val="00C96248"/>
    <w:rsid w:val="00C962B9"/>
    <w:rsid w:val="00C96376"/>
    <w:rsid w:val="00C966EF"/>
    <w:rsid w:val="00C96820"/>
    <w:rsid w:val="00C96B40"/>
    <w:rsid w:val="00C96CC4"/>
    <w:rsid w:val="00C96D40"/>
    <w:rsid w:val="00C96DA8"/>
    <w:rsid w:val="00C96E93"/>
    <w:rsid w:val="00C96FF6"/>
    <w:rsid w:val="00C97039"/>
    <w:rsid w:val="00C97095"/>
    <w:rsid w:val="00C97165"/>
    <w:rsid w:val="00C972CF"/>
    <w:rsid w:val="00C974FA"/>
    <w:rsid w:val="00C97796"/>
    <w:rsid w:val="00C977AA"/>
    <w:rsid w:val="00C979DD"/>
    <w:rsid w:val="00C97A13"/>
    <w:rsid w:val="00C97B3D"/>
    <w:rsid w:val="00C97B7A"/>
    <w:rsid w:val="00C97C58"/>
    <w:rsid w:val="00C97D30"/>
    <w:rsid w:val="00C97D42"/>
    <w:rsid w:val="00C97EE8"/>
    <w:rsid w:val="00CA0060"/>
    <w:rsid w:val="00CA0161"/>
    <w:rsid w:val="00CA0810"/>
    <w:rsid w:val="00CA09AE"/>
    <w:rsid w:val="00CA0B49"/>
    <w:rsid w:val="00CA0CF2"/>
    <w:rsid w:val="00CA0E97"/>
    <w:rsid w:val="00CA0F7A"/>
    <w:rsid w:val="00CA113F"/>
    <w:rsid w:val="00CA14DC"/>
    <w:rsid w:val="00CA14F7"/>
    <w:rsid w:val="00CA15D8"/>
    <w:rsid w:val="00CA1752"/>
    <w:rsid w:val="00CA179D"/>
    <w:rsid w:val="00CA18AD"/>
    <w:rsid w:val="00CA195A"/>
    <w:rsid w:val="00CA1A1B"/>
    <w:rsid w:val="00CA1B71"/>
    <w:rsid w:val="00CA1C1C"/>
    <w:rsid w:val="00CA1D33"/>
    <w:rsid w:val="00CA1E00"/>
    <w:rsid w:val="00CA224A"/>
    <w:rsid w:val="00CA2291"/>
    <w:rsid w:val="00CA22DE"/>
    <w:rsid w:val="00CA249B"/>
    <w:rsid w:val="00CA25ED"/>
    <w:rsid w:val="00CA2631"/>
    <w:rsid w:val="00CA26EF"/>
    <w:rsid w:val="00CA2A38"/>
    <w:rsid w:val="00CA2C03"/>
    <w:rsid w:val="00CA2DF3"/>
    <w:rsid w:val="00CA2E8B"/>
    <w:rsid w:val="00CA2EBA"/>
    <w:rsid w:val="00CA2EC4"/>
    <w:rsid w:val="00CA2F73"/>
    <w:rsid w:val="00CA3025"/>
    <w:rsid w:val="00CA3029"/>
    <w:rsid w:val="00CA30BE"/>
    <w:rsid w:val="00CA3161"/>
    <w:rsid w:val="00CA32C2"/>
    <w:rsid w:val="00CA351C"/>
    <w:rsid w:val="00CA35A8"/>
    <w:rsid w:val="00CA3645"/>
    <w:rsid w:val="00CA383B"/>
    <w:rsid w:val="00CA3872"/>
    <w:rsid w:val="00CA38A4"/>
    <w:rsid w:val="00CA38C2"/>
    <w:rsid w:val="00CA3C0F"/>
    <w:rsid w:val="00CA3D0E"/>
    <w:rsid w:val="00CA3D9B"/>
    <w:rsid w:val="00CA3FF1"/>
    <w:rsid w:val="00CA4179"/>
    <w:rsid w:val="00CA41F3"/>
    <w:rsid w:val="00CA435A"/>
    <w:rsid w:val="00CA4496"/>
    <w:rsid w:val="00CA472D"/>
    <w:rsid w:val="00CA480A"/>
    <w:rsid w:val="00CA4957"/>
    <w:rsid w:val="00CA4A45"/>
    <w:rsid w:val="00CA4E6E"/>
    <w:rsid w:val="00CA5068"/>
    <w:rsid w:val="00CA52BA"/>
    <w:rsid w:val="00CA53DC"/>
    <w:rsid w:val="00CA5484"/>
    <w:rsid w:val="00CA54F7"/>
    <w:rsid w:val="00CA5611"/>
    <w:rsid w:val="00CA5671"/>
    <w:rsid w:val="00CA56B4"/>
    <w:rsid w:val="00CA5BE4"/>
    <w:rsid w:val="00CA5F4B"/>
    <w:rsid w:val="00CA6187"/>
    <w:rsid w:val="00CA61E8"/>
    <w:rsid w:val="00CA626D"/>
    <w:rsid w:val="00CA6456"/>
    <w:rsid w:val="00CA6519"/>
    <w:rsid w:val="00CA652C"/>
    <w:rsid w:val="00CA6845"/>
    <w:rsid w:val="00CA6868"/>
    <w:rsid w:val="00CA6910"/>
    <w:rsid w:val="00CA693E"/>
    <w:rsid w:val="00CA6DB3"/>
    <w:rsid w:val="00CA6DDB"/>
    <w:rsid w:val="00CA6E33"/>
    <w:rsid w:val="00CA6E6B"/>
    <w:rsid w:val="00CA6FB3"/>
    <w:rsid w:val="00CA7067"/>
    <w:rsid w:val="00CA7124"/>
    <w:rsid w:val="00CA71D1"/>
    <w:rsid w:val="00CA7244"/>
    <w:rsid w:val="00CA72A7"/>
    <w:rsid w:val="00CA72FB"/>
    <w:rsid w:val="00CA755C"/>
    <w:rsid w:val="00CA76F9"/>
    <w:rsid w:val="00CA773B"/>
    <w:rsid w:val="00CA7751"/>
    <w:rsid w:val="00CA77F1"/>
    <w:rsid w:val="00CA78FD"/>
    <w:rsid w:val="00CA7AEC"/>
    <w:rsid w:val="00CA7F14"/>
    <w:rsid w:val="00CA7F1E"/>
    <w:rsid w:val="00CB00AE"/>
    <w:rsid w:val="00CB01FD"/>
    <w:rsid w:val="00CB028E"/>
    <w:rsid w:val="00CB02B1"/>
    <w:rsid w:val="00CB032D"/>
    <w:rsid w:val="00CB0330"/>
    <w:rsid w:val="00CB04AA"/>
    <w:rsid w:val="00CB05DC"/>
    <w:rsid w:val="00CB08BB"/>
    <w:rsid w:val="00CB0A83"/>
    <w:rsid w:val="00CB0B10"/>
    <w:rsid w:val="00CB0B56"/>
    <w:rsid w:val="00CB0CBB"/>
    <w:rsid w:val="00CB0EF9"/>
    <w:rsid w:val="00CB11BE"/>
    <w:rsid w:val="00CB1395"/>
    <w:rsid w:val="00CB13CF"/>
    <w:rsid w:val="00CB146C"/>
    <w:rsid w:val="00CB1A82"/>
    <w:rsid w:val="00CB1B3A"/>
    <w:rsid w:val="00CB1BDF"/>
    <w:rsid w:val="00CB1CB9"/>
    <w:rsid w:val="00CB1DB5"/>
    <w:rsid w:val="00CB1DEF"/>
    <w:rsid w:val="00CB1EF8"/>
    <w:rsid w:val="00CB20E2"/>
    <w:rsid w:val="00CB214A"/>
    <w:rsid w:val="00CB22A9"/>
    <w:rsid w:val="00CB23A0"/>
    <w:rsid w:val="00CB2433"/>
    <w:rsid w:val="00CB25DC"/>
    <w:rsid w:val="00CB2835"/>
    <w:rsid w:val="00CB2D26"/>
    <w:rsid w:val="00CB2F71"/>
    <w:rsid w:val="00CB2FF9"/>
    <w:rsid w:val="00CB3088"/>
    <w:rsid w:val="00CB32CE"/>
    <w:rsid w:val="00CB36F6"/>
    <w:rsid w:val="00CB3814"/>
    <w:rsid w:val="00CB38A9"/>
    <w:rsid w:val="00CB3B91"/>
    <w:rsid w:val="00CB3BE0"/>
    <w:rsid w:val="00CB3C47"/>
    <w:rsid w:val="00CB3DF4"/>
    <w:rsid w:val="00CB3E2C"/>
    <w:rsid w:val="00CB3F56"/>
    <w:rsid w:val="00CB403D"/>
    <w:rsid w:val="00CB40C2"/>
    <w:rsid w:val="00CB4133"/>
    <w:rsid w:val="00CB416A"/>
    <w:rsid w:val="00CB4209"/>
    <w:rsid w:val="00CB4564"/>
    <w:rsid w:val="00CB45E1"/>
    <w:rsid w:val="00CB46D0"/>
    <w:rsid w:val="00CB484E"/>
    <w:rsid w:val="00CB4913"/>
    <w:rsid w:val="00CB498F"/>
    <w:rsid w:val="00CB4AAB"/>
    <w:rsid w:val="00CB4B56"/>
    <w:rsid w:val="00CB4BCB"/>
    <w:rsid w:val="00CB4D9C"/>
    <w:rsid w:val="00CB4DAC"/>
    <w:rsid w:val="00CB4F7D"/>
    <w:rsid w:val="00CB5050"/>
    <w:rsid w:val="00CB50D0"/>
    <w:rsid w:val="00CB5190"/>
    <w:rsid w:val="00CB51A2"/>
    <w:rsid w:val="00CB5376"/>
    <w:rsid w:val="00CB5584"/>
    <w:rsid w:val="00CB583E"/>
    <w:rsid w:val="00CB595A"/>
    <w:rsid w:val="00CB59AA"/>
    <w:rsid w:val="00CB5A78"/>
    <w:rsid w:val="00CB5D67"/>
    <w:rsid w:val="00CB5DF0"/>
    <w:rsid w:val="00CB624D"/>
    <w:rsid w:val="00CB6420"/>
    <w:rsid w:val="00CB669D"/>
    <w:rsid w:val="00CB697B"/>
    <w:rsid w:val="00CB6A8E"/>
    <w:rsid w:val="00CB6AF2"/>
    <w:rsid w:val="00CB6B0F"/>
    <w:rsid w:val="00CB6CB4"/>
    <w:rsid w:val="00CB7077"/>
    <w:rsid w:val="00CB746B"/>
    <w:rsid w:val="00CB75BB"/>
    <w:rsid w:val="00CB75FD"/>
    <w:rsid w:val="00CB767E"/>
    <w:rsid w:val="00CB7A0C"/>
    <w:rsid w:val="00CB7A31"/>
    <w:rsid w:val="00CB7B01"/>
    <w:rsid w:val="00CB7F1B"/>
    <w:rsid w:val="00CB7F87"/>
    <w:rsid w:val="00CC004A"/>
    <w:rsid w:val="00CC0164"/>
    <w:rsid w:val="00CC025F"/>
    <w:rsid w:val="00CC0497"/>
    <w:rsid w:val="00CC063B"/>
    <w:rsid w:val="00CC06A3"/>
    <w:rsid w:val="00CC0816"/>
    <w:rsid w:val="00CC081B"/>
    <w:rsid w:val="00CC0927"/>
    <w:rsid w:val="00CC09DA"/>
    <w:rsid w:val="00CC0B6F"/>
    <w:rsid w:val="00CC0CA3"/>
    <w:rsid w:val="00CC0E79"/>
    <w:rsid w:val="00CC0F5C"/>
    <w:rsid w:val="00CC1158"/>
    <w:rsid w:val="00CC1251"/>
    <w:rsid w:val="00CC128D"/>
    <w:rsid w:val="00CC1475"/>
    <w:rsid w:val="00CC14E0"/>
    <w:rsid w:val="00CC1681"/>
    <w:rsid w:val="00CC1BB1"/>
    <w:rsid w:val="00CC1C55"/>
    <w:rsid w:val="00CC1EF9"/>
    <w:rsid w:val="00CC2116"/>
    <w:rsid w:val="00CC23D9"/>
    <w:rsid w:val="00CC2452"/>
    <w:rsid w:val="00CC24C9"/>
    <w:rsid w:val="00CC25A5"/>
    <w:rsid w:val="00CC25A8"/>
    <w:rsid w:val="00CC2870"/>
    <w:rsid w:val="00CC2B87"/>
    <w:rsid w:val="00CC2E5A"/>
    <w:rsid w:val="00CC30B2"/>
    <w:rsid w:val="00CC3110"/>
    <w:rsid w:val="00CC3262"/>
    <w:rsid w:val="00CC33A9"/>
    <w:rsid w:val="00CC365A"/>
    <w:rsid w:val="00CC3810"/>
    <w:rsid w:val="00CC387B"/>
    <w:rsid w:val="00CC38FE"/>
    <w:rsid w:val="00CC3965"/>
    <w:rsid w:val="00CC3977"/>
    <w:rsid w:val="00CC39FA"/>
    <w:rsid w:val="00CC3B3A"/>
    <w:rsid w:val="00CC3B61"/>
    <w:rsid w:val="00CC3B7F"/>
    <w:rsid w:val="00CC3DCC"/>
    <w:rsid w:val="00CC3DE8"/>
    <w:rsid w:val="00CC3EFF"/>
    <w:rsid w:val="00CC4032"/>
    <w:rsid w:val="00CC4033"/>
    <w:rsid w:val="00CC418F"/>
    <w:rsid w:val="00CC4248"/>
    <w:rsid w:val="00CC42B1"/>
    <w:rsid w:val="00CC43BB"/>
    <w:rsid w:val="00CC43EB"/>
    <w:rsid w:val="00CC45B2"/>
    <w:rsid w:val="00CC471B"/>
    <w:rsid w:val="00CC4851"/>
    <w:rsid w:val="00CC48D2"/>
    <w:rsid w:val="00CC4A65"/>
    <w:rsid w:val="00CC4BB6"/>
    <w:rsid w:val="00CC4D49"/>
    <w:rsid w:val="00CC4D59"/>
    <w:rsid w:val="00CC5173"/>
    <w:rsid w:val="00CC5287"/>
    <w:rsid w:val="00CC54E2"/>
    <w:rsid w:val="00CC552D"/>
    <w:rsid w:val="00CC56F0"/>
    <w:rsid w:val="00CC5808"/>
    <w:rsid w:val="00CC592A"/>
    <w:rsid w:val="00CC59BC"/>
    <w:rsid w:val="00CC5B5A"/>
    <w:rsid w:val="00CC5D78"/>
    <w:rsid w:val="00CC5F50"/>
    <w:rsid w:val="00CC5F60"/>
    <w:rsid w:val="00CC5F78"/>
    <w:rsid w:val="00CC6049"/>
    <w:rsid w:val="00CC64B6"/>
    <w:rsid w:val="00CC64E7"/>
    <w:rsid w:val="00CC6C5A"/>
    <w:rsid w:val="00CC6D07"/>
    <w:rsid w:val="00CC6D2C"/>
    <w:rsid w:val="00CC6D5E"/>
    <w:rsid w:val="00CC6D6B"/>
    <w:rsid w:val="00CC6EAC"/>
    <w:rsid w:val="00CC7150"/>
    <w:rsid w:val="00CC7229"/>
    <w:rsid w:val="00CC7521"/>
    <w:rsid w:val="00CC76E4"/>
    <w:rsid w:val="00CC76F6"/>
    <w:rsid w:val="00CC79AA"/>
    <w:rsid w:val="00CC7A19"/>
    <w:rsid w:val="00CC7A96"/>
    <w:rsid w:val="00CC7B83"/>
    <w:rsid w:val="00CC7C96"/>
    <w:rsid w:val="00CC7CFB"/>
    <w:rsid w:val="00CC7D42"/>
    <w:rsid w:val="00CC7DDA"/>
    <w:rsid w:val="00CC7E7D"/>
    <w:rsid w:val="00CC7FC2"/>
    <w:rsid w:val="00CC97B3"/>
    <w:rsid w:val="00CD0393"/>
    <w:rsid w:val="00CD03D6"/>
    <w:rsid w:val="00CD049B"/>
    <w:rsid w:val="00CD04FC"/>
    <w:rsid w:val="00CD0539"/>
    <w:rsid w:val="00CD0650"/>
    <w:rsid w:val="00CD06E6"/>
    <w:rsid w:val="00CD076A"/>
    <w:rsid w:val="00CD08D6"/>
    <w:rsid w:val="00CD090F"/>
    <w:rsid w:val="00CD0BE4"/>
    <w:rsid w:val="00CD0C99"/>
    <w:rsid w:val="00CD0CF1"/>
    <w:rsid w:val="00CD0D3C"/>
    <w:rsid w:val="00CD1152"/>
    <w:rsid w:val="00CD12ED"/>
    <w:rsid w:val="00CD134B"/>
    <w:rsid w:val="00CD13B3"/>
    <w:rsid w:val="00CD150F"/>
    <w:rsid w:val="00CD15E0"/>
    <w:rsid w:val="00CD1611"/>
    <w:rsid w:val="00CD17A3"/>
    <w:rsid w:val="00CD17C4"/>
    <w:rsid w:val="00CD17E5"/>
    <w:rsid w:val="00CD1852"/>
    <w:rsid w:val="00CD1AD7"/>
    <w:rsid w:val="00CD1CAF"/>
    <w:rsid w:val="00CD1E48"/>
    <w:rsid w:val="00CD1F22"/>
    <w:rsid w:val="00CD20C8"/>
    <w:rsid w:val="00CD2115"/>
    <w:rsid w:val="00CD22A8"/>
    <w:rsid w:val="00CD2350"/>
    <w:rsid w:val="00CD2359"/>
    <w:rsid w:val="00CD240D"/>
    <w:rsid w:val="00CD24D4"/>
    <w:rsid w:val="00CD2503"/>
    <w:rsid w:val="00CD2560"/>
    <w:rsid w:val="00CD256D"/>
    <w:rsid w:val="00CD2630"/>
    <w:rsid w:val="00CD26E8"/>
    <w:rsid w:val="00CD2816"/>
    <w:rsid w:val="00CD29E4"/>
    <w:rsid w:val="00CD2DC4"/>
    <w:rsid w:val="00CD2F64"/>
    <w:rsid w:val="00CD2F8A"/>
    <w:rsid w:val="00CD30CE"/>
    <w:rsid w:val="00CD31F2"/>
    <w:rsid w:val="00CD336F"/>
    <w:rsid w:val="00CD338F"/>
    <w:rsid w:val="00CD34C6"/>
    <w:rsid w:val="00CD350E"/>
    <w:rsid w:val="00CD352D"/>
    <w:rsid w:val="00CD38E7"/>
    <w:rsid w:val="00CD3C56"/>
    <w:rsid w:val="00CD3C9B"/>
    <w:rsid w:val="00CD3CA8"/>
    <w:rsid w:val="00CD3DF5"/>
    <w:rsid w:val="00CD42A1"/>
    <w:rsid w:val="00CD42A8"/>
    <w:rsid w:val="00CD42D4"/>
    <w:rsid w:val="00CD4346"/>
    <w:rsid w:val="00CD4372"/>
    <w:rsid w:val="00CD44A7"/>
    <w:rsid w:val="00CD461A"/>
    <w:rsid w:val="00CD495E"/>
    <w:rsid w:val="00CD4AAA"/>
    <w:rsid w:val="00CD4B8B"/>
    <w:rsid w:val="00CD4CC7"/>
    <w:rsid w:val="00CD4FAA"/>
    <w:rsid w:val="00CD5378"/>
    <w:rsid w:val="00CD5646"/>
    <w:rsid w:val="00CD570B"/>
    <w:rsid w:val="00CD5898"/>
    <w:rsid w:val="00CD5EB5"/>
    <w:rsid w:val="00CD609C"/>
    <w:rsid w:val="00CD6239"/>
    <w:rsid w:val="00CD6283"/>
    <w:rsid w:val="00CD63AE"/>
    <w:rsid w:val="00CD6453"/>
    <w:rsid w:val="00CD6884"/>
    <w:rsid w:val="00CD69B0"/>
    <w:rsid w:val="00CD69C6"/>
    <w:rsid w:val="00CD6A1F"/>
    <w:rsid w:val="00CD6BDB"/>
    <w:rsid w:val="00CD6DBF"/>
    <w:rsid w:val="00CD6E3D"/>
    <w:rsid w:val="00CD6E5E"/>
    <w:rsid w:val="00CD6F6B"/>
    <w:rsid w:val="00CD7008"/>
    <w:rsid w:val="00CD70D2"/>
    <w:rsid w:val="00CD7354"/>
    <w:rsid w:val="00CD736B"/>
    <w:rsid w:val="00CD745E"/>
    <w:rsid w:val="00CD7713"/>
    <w:rsid w:val="00CD7817"/>
    <w:rsid w:val="00CD781D"/>
    <w:rsid w:val="00CD7872"/>
    <w:rsid w:val="00CD788A"/>
    <w:rsid w:val="00CD78AA"/>
    <w:rsid w:val="00CD7A3F"/>
    <w:rsid w:val="00CD7B29"/>
    <w:rsid w:val="00CD7DCD"/>
    <w:rsid w:val="00CD7DD2"/>
    <w:rsid w:val="00CD7EF6"/>
    <w:rsid w:val="00CE03BA"/>
    <w:rsid w:val="00CE03D5"/>
    <w:rsid w:val="00CE0429"/>
    <w:rsid w:val="00CE044A"/>
    <w:rsid w:val="00CE052A"/>
    <w:rsid w:val="00CE0652"/>
    <w:rsid w:val="00CE0961"/>
    <w:rsid w:val="00CE09DE"/>
    <w:rsid w:val="00CE0C87"/>
    <w:rsid w:val="00CE0D2A"/>
    <w:rsid w:val="00CE0FD5"/>
    <w:rsid w:val="00CE1170"/>
    <w:rsid w:val="00CE1308"/>
    <w:rsid w:val="00CE1518"/>
    <w:rsid w:val="00CE154C"/>
    <w:rsid w:val="00CE1658"/>
    <w:rsid w:val="00CE171B"/>
    <w:rsid w:val="00CE1843"/>
    <w:rsid w:val="00CE19D0"/>
    <w:rsid w:val="00CE1B88"/>
    <w:rsid w:val="00CE1BD3"/>
    <w:rsid w:val="00CE20E7"/>
    <w:rsid w:val="00CE20FF"/>
    <w:rsid w:val="00CE212D"/>
    <w:rsid w:val="00CE215D"/>
    <w:rsid w:val="00CE21C4"/>
    <w:rsid w:val="00CE24BF"/>
    <w:rsid w:val="00CE2646"/>
    <w:rsid w:val="00CE2650"/>
    <w:rsid w:val="00CE27AE"/>
    <w:rsid w:val="00CE283B"/>
    <w:rsid w:val="00CE287E"/>
    <w:rsid w:val="00CE2927"/>
    <w:rsid w:val="00CE298C"/>
    <w:rsid w:val="00CE2CEB"/>
    <w:rsid w:val="00CE3073"/>
    <w:rsid w:val="00CE3250"/>
    <w:rsid w:val="00CE32CB"/>
    <w:rsid w:val="00CE32FB"/>
    <w:rsid w:val="00CE33F2"/>
    <w:rsid w:val="00CE3441"/>
    <w:rsid w:val="00CE346C"/>
    <w:rsid w:val="00CE3482"/>
    <w:rsid w:val="00CE3611"/>
    <w:rsid w:val="00CE3699"/>
    <w:rsid w:val="00CE374C"/>
    <w:rsid w:val="00CE37CA"/>
    <w:rsid w:val="00CE3ADD"/>
    <w:rsid w:val="00CE3B29"/>
    <w:rsid w:val="00CE3E1E"/>
    <w:rsid w:val="00CE3EAF"/>
    <w:rsid w:val="00CE3F14"/>
    <w:rsid w:val="00CE407C"/>
    <w:rsid w:val="00CE41B5"/>
    <w:rsid w:val="00CE4379"/>
    <w:rsid w:val="00CE4389"/>
    <w:rsid w:val="00CE43D6"/>
    <w:rsid w:val="00CE44CB"/>
    <w:rsid w:val="00CE4897"/>
    <w:rsid w:val="00CE4BD4"/>
    <w:rsid w:val="00CE4C27"/>
    <w:rsid w:val="00CE4D49"/>
    <w:rsid w:val="00CE4E82"/>
    <w:rsid w:val="00CE4FE1"/>
    <w:rsid w:val="00CE531F"/>
    <w:rsid w:val="00CE5348"/>
    <w:rsid w:val="00CE54AA"/>
    <w:rsid w:val="00CE5B79"/>
    <w:rsid w:val="00CE5C52"/>
    <w:rsid w:val="00CE5C77"/>
    <w:rsid w:val="00CE5E08"/>
    <w:rsid w:val="00CE5E18"/>
    <w:rsid w:val="00CE60A5"/>
    <w:rsid w:val="00CE622E"/>
    <w:rsid w:val="00CE6271"/>
    <w:rsid w:val="00CE6355"/>
    <w:rsid w:val="00CE648F"/>
    <w:rsid w:val="00CE64B3"/>
    <w:rsid w:val="00CE650F"/>
    <w:rsid w:val="00CE6573"/>
    <w:rsid w:val="00CE6611"/>
    <w:rsid w:val="00CE67E4"/>
    <w:rsid w:val="00CE688F"/>
    <w:rsid w:val="00CE6DF1"/>
    <w:rsid w:val="00CE6EFA"/>
    <w:rsid w:val="00CE70F4"/>
    <w:rsid w:val="00CE7130"/>
    <w:rsid w:val="00CE720A"/>
    <w:rsid w:val="00CE7355"/>
    <w:rsid w:val="00CE7377"/>
    <w:rsid w:val="00CE73BD"/>
    <w:rsid w:val="00CE74BE"/>
    <w:rsid w:val="00CE74C1"/>
    <w:rsid w:val="00CE76E4"/>
    <w:rsid w:val="00CE76EF"/>
    <w:rsid w:val="00CE78B8"/>
    <w:rsid w:val="00CE78EA"/>
    <w:rsid w:val="00CE7912"/>
    <w:rsid w:val="00CE7C78"/>
    <w:rsid w:val="00CE7DD4"/>
    <w:rsid w:val="00CE7EEC"/>
    <w:rsid w:val="00CE7F5A"/>
    <w:rsid w:val="00CF0059"/>
    <w:rsid w:val="00CF00C1"/>
    <w:rsid w:val="00CF02DA"/>
    <w:rsid w:val="00CF044F"/>
    <w:rsid w:val="00CF04DF"/>
    <w:rsid w:val="00CF04E3"/>
    <w:rsid w:val="00CF051D"/>
    <w:rsid w:val="00CF057C"/>
    <w:rsid w:val="00CF05B3"/>
    <w:rsid w:val="00CF0692"/>
    <w:rsid w:val="00CF0734"/>
    <w:rsid w:val="00CF07D4"/>
    <w:rsid w:val="00CF0924"/>
    <w:rsid w:val="00CF0AC7"/>
    <w:rsid w:val="00CF0B68"/>
    <w:rsid w:val="00CF0B97"/>
    <w:rsid w:val="00CF0C56"/>
    <w:rsid w:val="00CF14FD"/>
    <w:rsid w:val="00CF18DC"/>
    <w:rsid w:val="00CF1A66"/>
    <w:rsid w:val="00CF1A9E"/>
    <w:rsid w:val="00CF1BAB"/>
    <w:rsid w:val="00CF1C67"/>
    <w:rsid w:val="00CF1C76"/>
    <w:rsid w:val="00CF1D44"/>
    <w:rsid w:val="00CF1DBC"/>
    <w:rsid w:val="00CF1E48"/>
    <w:rsid w:val="00CF225C"/>
    <w:rsid w:val="00CF2321"/>
    <w:rsid w:val="00CF23F9"/>
    <w:rsid w:val="00CF24CA"/>
    <w:rsid w:val="00CF251B"/>
    <w:rsid w:val="00CF252D"/>
    <w:rsid w:val="00CF25E2"/>
    <w:rsid w:val="00CF2627"/>
    <w:rsid w:val="00CF2751"/>
    <w:rsid w:val="00CF29A3"/>
    <w:rsid w:val="00CF2C12"/>
    <w:rsid w:val="00CF2E67"/>
    <w:rsid w:val="00CF2EB6"/>
    <w:rsid w:val="00CF2EBE"/>
    <w:rsid w:val="00CF2FF3"/>
    <w:rsid w:val="00CF3012"/>
    <w:rsid w:val="00CF302F"/>
    <w:rsid w:val="00CF3079"/>
    <w:rsid w:val="00CF3189"/>
    <w:rsid w:val="00CF3219"/>
    <w:rsid w:val="00CF3340"/>
    <w:rsid w:val="00CF33DD"/>
    <w:rsid w:val="00CF34CF"/>
    <w:rsid w:val="00CF355C"/>
    <w:rsid w:val="00CF361C"/>
    <w:rsid w:val="00CF3701"/>
    <w:rsid w:val="00CF370B"/>
    <w:rsid w:val="00CF3779"/>
    <w:rsid w:val="00CF380C"/>
    <w:rsid w:val="00CF3849"/>
    <w:rsid w:val="00CF386F"/>
    <w:rsid w:val="00CF3CC7"/>
    <w:rsid w:val="00CF3EEA"/>
    <w:rsid w:val="00CF3F99"/>
    <w:rsid w:val="00CF401B"/>
    <w:rsid w:val="00CF40A9"/>
    <w:rsid w:val="00CF40F4"/>
    <w:rsid w:val="00CF430E"/>
    <w:rsid w:val="00CF4665"/>
    <w:rsid w:val="00CF46AD"/>
    <w:rsid w:val="00CF46B6"/>
    <w:rsid w:val="00CF489A"/>
    <w:rsid w:val="00CF48C1"/>
    <w:rsid w:val="00CF49BE"/>
    <w:rsid w:val="00CF4C1F"/>
    <w:rsid w:val="00CF4DF0"/>
    <w:rsid w:val="00CF4FEF"/>
    <w:rsid w:val="00CF5023"/>
    <w:rsid w:val="00CF50E1"/>
    <w:rsid w:val="00CF5144"/>
    <w:rsid w:val="00CF5408"/>
    <w:rsid w:val="00CF5412"/>
    <w:rsid w:val="00CF5444"/>
    <w:rsid w:val="00CF563B"/>
    <w:rsid w:val="00CF568D"/>
    <w:rsid w:val="00CF5794"/>
    <w:rsid w:val="00CF59A8"/>
    <w:rsid w:val="00CF5A2C"/>
    <w:rsid w:val="00CF5DC2"/>
    <w:rsid w:val="00CF5EE9"/>
    <w:rsid w:val="00CF6050"/>
    <w:rsid w:val="00CF611D"/>
    <w:rsid w:val="00CF6271"/>
    <w:rsid w:val="00CF67A0"/>
    <w:rsid w:val="00CF681E"/>
    <w:rsid w:val="00CF69D0"/>
    <w:rsid w:val="00CF6A49"/>
    <w:rsid w:val="00CF6EBA"/>
    <w:rsid w:val="00CF6EFD"/>
    <w:rsid w:val="00CF706F"/>
    <w:rsid w:val="00CF708B"/>
    <w:rsid w:val="00CF712C"/>
    <w:rsid w:val="00CF713F"/>
    <w:rsid w:val="00CF7254"/>
    <w:rsid w:val="00CF73F3"/>
    <w:rsid w:val="00CF743F"/>
    <w:rsid w:val="00CF7476"/>
    <w:rsid w:val="00CF74D3"/>
    <w:rsid w:val="00CF755B"/>
    <w:rsid w:val="00CF77A4"/>
    <w:rsid w:val="00CF77BF"/>
    <w:rsid w:val="00CF7891"/>
    <w:rsid w:val="00CF78E4"/>
    <w:rsid w:val="00CF7A12"/>
    <w:rsid w:val="00CF7C9C"/>
    <w:rsid w:val="00CF7D5F"/>
    <w:rsid w:val="00D00018"/>
    <w:rsid w:val="00D00062"/>
    <w:rsid w:val="00D00066"/>
    <w:rsid w:val="00D000CB"/>
    <w:rsid w:val="00D002BF"/>
    <w:rsid w:val="00D00321"/>
    <w:rsid w:val="00D004B4"/>
    <w:rsid w:val="00D0058C"/>
    <w:rsid w:val="00D00674"/>
    <w:rsid w:val="00D00932"/>
    <w:rsid w:val="00D00B18"/>
    <w:rsid w:val="00D00B58"/>
    <w:rsid w:val="00D00FD8"/>
    <w:rsid w:val="00D013ED"/>
    <w:rsid w:val="00D0144D"/>
    <w:rsid w:val="00D01546"/>
    <w:rsid w:val="00D015AF"/>
    <w:rsid w:val="00D01617"/>
    <w:rsid w:val="00D0167F"/>
    <w:rsid w:val="00D016D1"/>
    <w:rsid w:val="00D01856"/>
    <w:rsid w:val="00D0185E"/>
    <w:rsid w:val="00D01C1A"/>
    <w:rsid w:val="00D01CBA"/>
    <w:rsid w:val="00D01CFF"/>
    <w:rsid w:val="00D02113"/>
    <w:rsid w:val="00D02195"/>
    <w:rsid w:val="00D021DE"/>
    <w:rsid w:val="00D0250D"/>
    <w:rsid w:val="00D02594"/>
    <w:rsid w:val="00D02726"/>
    <w:rsid w:val="00D027A0"/>
    <w:rsid w:val="00D02879"/>
    <w:rsid w:val="00D0291D"/>
    <w:rsid w:val="00D02A36"/>
    <w:rsid w:val="00D02B05"/>
    <w:rsid w:val="00D02B62"/>
    <w:rsid w:val="00D02CFC"/>
    <w:rsid w:val="00D02DCC"/>
    <w:rsid w:val="00D02EB4"/>
    <w:rsid w:val="00D0307F"/>
    <w:rsid w:val="00D03381"/>
    <w:rsid w:val="00D03418"/>
    <w:rsid w:val="00D03739"/>
    <w:rsid w:val="00D038C3"/>
    <w:rsid w:val="00D038D4"/>
    <w:rsid w:val="00D03A16"/>
    <w:rsid w:val="00D03A7B"/>
    <w:rsid w:val="00D03C43"/>
    <w:rsid w:val="00D03E74"/>
    <w:rsid w:val="00D03EAD"/>
    <w:rsid w:val="00D03EF1"/>
    <w:rsid w:val="00D03F27"/>
    <w:rsid w:val="00D04073"/>
    <w:rsid w:val="00D0413A"/>
    <w:rsid w:val="00D0419F"/>
    <w:rsid w:val="00D04228"/>
    <w:rsid w:val="00D0423D"/>
    <w:rsid w:val="00D04480"/>
    <w:rsid w:val="00D045DF"/>
    <w:rsid w:val="00D04706"/>
    <w:rsid w:val="00D047F1"/>
    <w:rsid w:val="00D04826"/>
    <w:rsid w:val="00D049EC"/>
    <w:rsid w:val="00D04A6A"/>
    <w:rsid w:val="00D04AF0"/>
    <w:rsid w:val="00D04B6E"/>
    <w:rsid w:val="00D04BDF"/>
    <w:rsid w:val="00D04C2B"/>
    <w:rsid w:val="00D04D10"/>
    <w:rsid w:val="00D04F72"/>
    <w:rsid w:val="00D04FA3"/>
    <w:rsid w:val="00D0514F"/>
    <w:rsid w:val="00D0515C"/>
    <w:rsid w:val="00D05279"/>
    <w:rsid w:val="00D056E3"/>
    <w:rsid w:val="00D057B2"/>
    <w:rsid w:val="00D058F8"/>
    <w:rsid w:val="00D059CD"/>
    <w:rsid w:val="00D05B04"/>
    <w:rsid w:val="00D05B0C"/>
    <w:rsid w:val="00D05DED"/>
    <w:rsid w:val="00D06049"/>
    <w:rsid w:val="00D060C5"/>
    <w:rsid w:val="00D06493"/>
    <w:rsid w:val="00D06704"/>
    <w:rsid w:val="00D06707"/>
    <w:rsid w:val="00D06B31"/>
    <w:rsid w:val="00D06DF8"/>
    <w:rsid w:val="00D06E6C"/>
    <w:rsid w:val="00D06EA7"/>
    <w:rsid w:val="00D06EDB"/>
    <w:rsid w:val="00D073E6"/>
    <w:rsid w:val="00D07543"/>
    <w:rsid w:val="00D075B0"/>
    <w:rsid w:val="00D0760F"/>
    <w:rsid w:val="00D0776C"/>
    <w:rsid w:val="00D078A6"/>
    <w:rsid w:val="00D07A1E"/>
    <w:rsid w:val="00D07BF3"/>
    <w:rsid w:val="00D07D8E"/>
    <w:rsid w:val="00D07E27"/>
    <w:rsid w:val="00D07E8B"/>
    <w:rsid w:val="00D07F6D"/>
    <w:rsid w:val="00D07FF5"/>
    <w:rsid w:val="00D101FC"/>
    <w:rsid w:val="00D102C4"/>
    <w:rsid w:val="00D10345"/>
    <w:rsid w:val="00D10903"/>
    <w:rsid w:val="00D10913"/>
    <w:rsid w:val="00D1093A"/>
    <w:rsid w:val="00D10ABF"/>
    <w:rsid w:val="00D10B94"/>
    <w:rsid w:val="00D10C07"/>
    <w:rsid w:val="00D10CE5"/>
    <w:rsid w:val="00D10DCC"/>
    <w:rsid w:val="00D10F07"/>
    <w:rsid w:val="00D11212"/>
    <w:rsid w:val="00D11318"/>
    <w:rsid w:val="00D114F8"/>
    <w:rsid w:val="00D115AC"/>
    <w:rsid w:val="00D116C0"/>
    <w:rsid w:val="00D11A14"/>
    <w:rsid w:val="00D11ED6"/>
    <w:rsid w:val="00D11F95"/>
    <w:rsid w:val="00D12230"/>
    <w:rsid w:val="00D12553"/>
    <w:rsid w:val="00D1265D"/>
    <w:rsid w:val="00D128B0"/>
    <w:rsid w:val="00D12A6F"/>
    <w:rsid w:val="00D12B4E"/>
    <w:rsid w:val="00D12C0E"/>
    <w:rsid w:val="00D12C9A"/>
    <w:rsid w:val="00D12D6D"/>
    <w:rsid w:val="00D130D1"/>
    <w:rsid w:val="00D131C7"/>
    <w:rsid w:val="00D131DB"/>
    <w:rsid w:val="00D132F8"/>
    <w:rsid w:val="00D1336F"/>
    <w:rsid w:val="00D136DA"/>
    <w:rsid w:val="00D13761"/>
    <w:rsid w:val="00D13808"/>
    <w:rsid w:val="00D13826"/>
    <w:rsid w:val="00D138EA"/>
    <w:rsid w:val="00D138FF"/>
    <w:rsid w:val="00D13B0E"/>
    <w:rsid w:val="00D13FB9"/>
    <w:rsid w:val="00D13FD2"/>
    <w:rsid w:val="00D141F9"/>
    <w:rsid w:val="00D1450F"/>
    <w:rsid w:val="00D14696"/>
    <w:rsid w:val="00D146D1"/>
    <w:rsid w:val="00D14797"/>
    <w:rsid w:val="00D149B2"/>
    <w:rsid w:val="00D14A7D"/>
    <w:rsid w:val="00D14AA7"/>
    <w:rsid w:val="00D14B27"/>
    <w:rsid w:val="00D14C34"/>
    <w:rsid w:val="00D14D60"/>
    <w:rsid w:val="00D14D78"/>
    <w:rsid w:val="00D14E72"/>
    <w:rsid w:val="00D14F14"/>
    <w:rsid w:val="00D15047"/>
    <w:rsid w:val="00D150B1"/>
    <w:rsid w:val="00D1524E"/>
    <w:rsid w:val="00D152A9"/>
    <w:rsid w:val="00D1551D"/>
    <w:rsid w:val="00D155F7"/>
    <w:rsid w:val="00D15638"/>
    <w:rsid w:val="00D15692"/>
    <w:rsid w:val="00D15795"/>
    <w:rsid w:val="00D159DE"/>
    <w:rsid w:val="00D15A3F"/>
    <w:rsid w:val="00D15AC9"/>
    <w:rsid w:val="00D15CC1"/>
    <w:rsid w:val="00D15EDC"/>
    <w:rsid w:val="00D16027"/>
    <w:rsid w:val="00D16106"/>
    <w:rsid w:val="00D1610D"/>
    <w:rsid w:val="00D162B5"/>
    <w:rsid w:val="00D1631F"/>
    <w:rsid w:val="00D16796"/>
    <w:rsid w:val="00D16868"/>
    <w:rsid w:val="00D16AFF"/>
    <w:rsid w:val="00D16B1C"/>
    <w:rsid w:val="00D16C9F"/>
    <w:rsid w:val="00D16D90"/>
    <w:rsid w:val="00D16DAE"/>
    <w:rsid w:val="00D16EB0"/>
    <w:rsid w:val="00D16EEE"/>
    <w:rsid w:val="00D1701F"/>
    <w:rsid w:val="00D17098"/>
    <w:rsid w:val="00D1711D"/>
    <w:rsid w:val="00D1715C"/>
    <w:rsid w:val="00D174D7"/>
    <w:rsid w:val="00D175A6"/>
    <w:rsid w:val="00D175AB"/>
    <w:rsid w:val="00D176C7"/>
    <w:rsid w:val="00D17A81"/>
    <w:rsid w:val="00D17A95"/>
    <w:rsid w:val="00D17AD8"/>
    <w:rsid w:val="00D17BC1"/>
    <w:rsid w:val="00D17CFC"/>
    <w:rsid w:val="00D17D05"/>
    <w:rsid w:val="00D17DDC"/>
    <w:rsid w:val="00D17E54"/>
    <w:rsid w:val="00D17F10"/>
    <w:rsid w:val="00D20011"/>
    <w:rsid w:val="00D200C0"/>
    <w:rsid w:val="00D20159"/>
    <w:rsid w:val="00D202F3"/>
    <w:rsid w:val="00D20309"/>
    <w:rsid w:val="00D20451"/>
    <w:rsid w:val="00D204C3"/>
    <w:rsid w:val="00D20509"/>
    <w:rsid w:val="00D20564"/>
    <w:rsid w:val="00D2079C"/>
    <w:rsid w:val="00D20849"/>
    <w:rsid w:val="00D20E72"/>
    <w:rsid w:val="00D20FAA"/>
    <w:rsid w:val="00D21146"/>
    <w:rsid w:val="00D21170"/>
    <w:rsid w:val="00D21341"/>
    <w:rsid w:val="00D213CC"/>
    <w:rsid w:val="00D2146C"/>
    <w:rsid w:val="00D21474"/>
    <w:rsid w:val="00D214B9"/>
    <w:rsid w:val="00D214BE"/>
    <w:rsid w:val="00D2159C"/>
    <w:rsid w:val="00D216A9"/>
    <w:rsid w:val="00D21951"/>
    <w:rsid w:val="00D21A5E"/>
    <w:rsid w:val="00D21ACB"/>
    <w:rsid w:val="00D21B07"/>
    <w:rsid w:val="00D21B82"/>
    <w:rsid w:val="00D21BF1"/>
    <w:rsid w:val="00D21E64"/>
    <w:rsid w:val="00D21F03"/>
    <w:rsid w:val="00D21F52"/>
    <w:rsid w:val="00D22030"/>
    <w:rsid w:val="00D22519"/>
    <w:rsid w:val="00D2258E"/>
    <w:rsid w:val="00D22638"/>
    <w:rsid w:val="00D226B4"/>
    <w:rsid w:val="00D226BD"/>
    <w:rsid w:val="00D22970"/>
    <w:rsid w:val="00D22A6F"/>
    <w:rsid w:val="00D22B2D"/>
    <w:rsid w:val="00D22C15"/>
    <w:rsid w:val="00D22CCE"/>
    <w:rsid w:val="00D22D3A"/>
    <w:rsid w:val="00D22DCE"/>
    <w:rsid w:val="00D22F31"/>
    <w:rsid w:val="00D230FE"/>
    <w:rsid w:val="00D2313B"/>
    <w:rsid w:val="00D23159"/>
    <w:rsid w:val="00D2320D"/>
    <w:rsid w:val="00D2359E"/>
    <w:rsid w:val="00D23664"/>
    <w:rsid w:val="00D2388A"/>
    <w:rsid w:val="00D23A17"/>
    <w:rsid w:val="00D23D0D"/>
    <w:rsid w:val="00D23DB9"/>
    <w:rsid w:val="00D23F3F"/>
    <w:rsid w:val="00D2422D"/>
    <w:rsid w:val="00D242A3"/>
    <w:rsid w:val="00D242CD"/>
    <w:rsid w:val="00D24506"/>
    <w:rsid w:val="00D245EB"/>
    <w:rsid w:val="00D2463D"/>
    <w:rsid w:val="00D2469C"/>
    <w:rsid w:val="00D2499D"/>
    <w:rsid w:val="00D24A58"/>
    <w:rsid w:val="00D250B3"/>
    <w:rsid w:val="00D2514E"/>
    <w:rsid w:val="00D25392"/>
    <w:rsid w:val="00D25488"/>
    <w:rsid w:val="00D25490"/>
    <w:rsid w:val="00D2561A"/>
    <w:rsid w:val="00D2568C"/>
    <w:rsid w:val="00D25800"/>
    <w:rsid w:val="00D2585D"/>
    <w:rsid w:val="00D25D07"/>
    <w:rsid w:val="00D261B9"/>
    <w:rsid w:val="00D26415"/>
    <w:rsid w:val="00D26770"/>
    <w:rsid w:val="00D2682C"/>
    <w:rsid w:val="00D2688C"/>
    <w:rsid w:val="00D268B5"/>
    <w:rsid w:val="00D26907"/>
    <w:rsid w:val="00D26919"/>
    <w:rsid w:val="00D269AE"/>
    <w:rsid w:val="00D26CE7"/>
    <w:rsid w:val="00D26E9C"/>
    <w:rsid w:val="00D26EDF"/>
    <w:rsid w:val="00D26FA8"/>
    <w:rsid w:val="00D2710A"/>
    <w:rsid w:val="00D2716E"/>
    <w:rsid w:val="00D27197"/>
    <w:rsid w:val="00D2731E"/>
    <w:rsid w:val="00D2742C"/>
    <w:rsid w:val="00D2742D"/>
    <w:rsid w:val="00D27B51"/>
    <w:rsid w:val="00D27B84"/>
    <w:rsid w:val="00D27F36"/>
    <w:rsid w:val="00D27F37"/>
    <w:rsid w:val="00D27F99"/>
    <w:rsid w:val="00D27FB8"/>
    <w:rsid w:val="00D3004F"/>
    <w:rsid w:val="00D3009C"/>
    <w:rsid w:val="00D3011B"/>
    <w:rsid w:val="00D3024A"/>
    <w:rsid w:val="00D3041C"/>
    <w:rsid w:val="00D3047B"/>
    <w:rsid w:val="00D306AC"/>
    <w:rsid w:val="00D30725"/>
    <w:rsid w:val="00D30777"/>
    <w:rsid w:val="00D307B0"/>
    <w:rsid w:val="00D30900"/>
    <w:rsid w:val="00D30CE6"/>
    <w:rsid w:val="00D30D4D"/>
    <w:rsid w:val="00D30DB4"/>
    <w:rsid w:val="00D30E62"/>
    <w:rsid w:val="00D30EE7"/>
    <w:rsid w:val="00D30FB5"/>
    <w:rsid w:val="00D31132"/>
    <w:rsid w:val="00D313F3"/>
    <w:rsid w:val="00D3144B"/>
    <w:rsid w:val="00D315C1"/>
    <w:rsid w:val="00D315D6"/>
    <w:rsid w:val="00D3183F"/>
    <w:rsid w:val="00D31870"/>
    <w:rsid w:val="00D3198E"/>
    <w:rsid w:val="00D31A64"/>
    <w:rsid w:val="00D31AD3"/>
    <w:rsid w:val="00D31B0D"/>
    <w:rsid w:val="00D31E43"/>
    <w:rsid w:val="00D31F2D"/>
    <w:rsid w:val="00D3205B"/>
    <w:rsid w:val="00D3231A"/>
    <w:rsid w:val="00D325EE"/>
    <w:rsid w:val="00D326C8"/>
    <w:rsid w:val="00D328CB"/>
    <w:rsid w:val="00D328EB"/>
    <w:rsid w:val="00D32A62"/>
    <w:rsid w:val="00D32A9A"/>
    <w:rsid w:val="00D32AAD"/>
    <w:rsid w:val="00D32BDC"/>
    <w:rsid w:val="00D32CC5"/>
    <w:rsid w:val="00D32DD8"/>
    <w:rsid w:val="00D32DEF"/>
    <w:rsid w:val="00D32E74"/>
    <w:rsid w:val="00D32EB7"/>
    <w:rsid w:val="00D3345F"/>
    <w:rsid w:val="00D334BA"/>
    <w:rsid w:val="00D33701"/>
    <w:rsid w:val="00D3390E"/>
    <w:rsid w:val="00D33955"/>
    <w:rsid w:val="00D33AF8"/>
    <w:rsid w:val="00D33B05"/>
    <w:rsid w:val="00D33CC0"/>
    <w:rsid w:val="00D33CC5"/>
    <w:rsid w:val="00D33D66"/>
    <w:rsid w:val="00D33ED0"/>
    <w:rsid w:val="00D3401B"/>
    <w:rsid w:val="00D3405E"/>
    <w:rsid w:val="00D340A1"/>
    <w:rsid w:val="00D34131"/>
    <w:rsid w:val="00D34155"/>
    <w:rsid w:val="00D341C0"/>
    <w:rsid w:val="00D3422A"/>
    <w:rsid w:val="00D34269"/>
    <w:rsid w:val="00D34351"/>
    <w:rsid w:val="00D346D8"/>
    <w:rsid w:val="00D346DC"/>
    <w:rsid w:val="00D347E3"/>
    <w:rsid w:val="00D3481B"/>
    <w:rsid w:val="00D34962"/>
    <w:rsid w:val="00D3497A"/>
    <w:rsid w:val="00D349A7"/>
    <w:rsid w:val="00D34C7A"/>
    <w:rsid w:val="00D34CFE"/>
    <w:rsid w:val="00D34D34"/>
    <w:rsid w:val="00D34EB7"/>
    <w:rsid w:val="00D34FA3"/>
    <w:rsid w:val="00D3535E"/>
    <w:rsid w:val="00D3546D"/>
    <w:rsid w:val="00D35536"/>
    <w:rsid w:val="00D3553A"/>
    <w:rsid w:val="00D355DD"/>
    <w:rsid w:val="00D35653"/>
    <w:rsid w:val="00D3565A"/>
    <w:rsid w:val="00D358BA"/>
    <w:rsid w:val="00D35AB3"/>
    <w:rsid w:val="00D35C30"/>
    <w:rsid w:val="00D35ED9"/>
    <w:rsid w:val="00D360F8"/>
    <w:rsid w:val="00D36172"/>
    <w:rsid w:val="00D3650B"/>
    <w:rsid w:val="00D365D4"/>
    <w:rsid w:val="00D366AF"/>
    <w:rsid w:val="00D36803"/>
    <w:rsid w:val="00D36878"/>
    <w:rsid w:val="00D3689A"/>
    <w:rsid w:val="00D36973"/>
    <w:rsid w:val="00D369C2"/>
    <w:rsid w:val="00D36A09"/>
    <w:rsid w:val="00D36D32"/>
    <w:rsid w:val="00D36E1F"/>
    <w:rsid w:val="00D36EAC"/>
    <w:rsid w:val="00D370CE"/>
    <w:rsid w:val="00D3724B"/>
    <w:rsid w:val="00D374A6"/>
    <w:rsid w:val="00D37572"/>
    <w:rsid w:val="00D37776"/>
    <w:rsid w:val="00D377D7"/>
    <w:rsid w:val="00D37A28"/>
    <w:rsid w:val="00D37A89"/>
    <w:rsid w:val="00D37AC3"/>
    <w:rsid w:val="00D37B1C"/>
    <w:rsid w:val="00D37BF8"/>
    <w:rsid w:val="00D38017"/>
    <w:rsid w:val="00D3BB7B"/>
    <w:rsid w:val="00D401B7"/>
    <w:rsid w:val="00D40550"/>
    <w:rsid w:val="00D407F3"/>
    <w:rsid w:val="00D40D13"/>
    <w:rsid w:val="00D40DD0"/>
    <w:rsid w:val="00D40F53"/>
    <w:rsid w:val="00D4101E"/>
    <w:rsid w:val="00D410EB"/>
    <w:rsid w:val="00D414CC"/>
    <w:rsid w:val="00D415A3"/>
    <w:rsid w:val="00D415F8"/>
    <w:rsid w:val="00D4162E"/>
    <w:rsid w:val="00D418D8"/>
    <w:rsid w:val="00D4195A"/>
    <w:rsid w:val="00D41A76"/>
    <w:rsid w:val="00D41BD0"/>
    <w:rsid w:val="00D41D58"/>
    <w:rsid w:val="00D41D7A"/>
    <w:rsid w:val="00D42041"/>
    <w:rsid w:val="00D420AC"/>
    <w:rsid w:val="00D4211C"/>
    <w:rsid w:val="00D4221A"/>
    <w:rsid w:val="00D4221F"/>
    <w:rsid w:val="00D423A4"/>
    <w:rsid w:val="00D42491"/>
    <w:rsid w:val="00D4262D"/>
    <w:rsid w:val="00D42A08"/>
    <w:rsid w:val="00D42BAA"/>
    <w:rsid w:val="00D42EEC"/>
    <w:rsid w:val="00D42F28"/>
    <w:rsid w:val="00D42F29"/>
    <w:rsid w:val="00D430C6"/>
    <w:rsid w:val="00D430F3"/>
    <w:rsid w:val="00D43100"/>
    <w:rsid w:val="00D43258"/>
    <w:rsid w:val="00D432AE"/>
    <w:rsid w:val="00D432B9"/>
    <w:rsid w:val="00D43310"/>
    <w:rsid w:val="00D43385"/>
    <w:rsid w:val="00D43407"/>
    <w:rsid w:val="00D43524"/>
    <w:rsid w:val="00D436E3"/>
    <w:rsid w:val="00D439C9"/>
    <w:rsid w:val="00D43ABD"/>
    <w:rsid w:val="00D43AE0"/>
    <w:rsid w:val="00D43C0F"/>
    <w:rsid w:val="00D43D12"/>
    <w:rsid w:val="00D44072"/>
    <w:rsid w:val="00D44270"/>
    <w:rsid w:val="00D442E5"/>
    <w:rsid w:val="00D443AF"/>
    <w:rsid w:val="00D443F5"/>
    <w:rsid w:val="00D44426"/>
    <w:rsid w:val="00D444AA"/>
    <w:rsid w:val="00D44829"/>
    <w:rsid w:val="00D44A34"/>
    <w:rsid w:val="00D4515D"/>
    <w:rsid w:val="00D4534A"/>
    <w:rsid w:val="00D4567D"/>
    <w:rsid w:val="00D45928"/>
    <w:rsid w:val="00D45D47"/>
    <w:rsid w:val="00D45DA3"/>
    <w:rsid w:val="00D45FD8"/>
    <w:rsid w:val="00D462B0"/>
    <w:rsid w:val="00D46354"/>
    <w:rsid w:val="00D4646F"/>
    <w:rsid w:val="00D4648A"/>
    <w:rsid w:val="00D46534"/>
    <w:rsid w:val="00D467D4"/>
    <w:rsid w:val="00D467E6"/>
    <w:rsid w:val="00D46908"/>
    <w:rsid w:val="00D46AC2"/>
    <w:rsid w:val="00D46BA5"/>
    <w:rsid w:val="00D46BDA"/>
    <w:rsid w:val="00D46BE8"/>
    <w:rsid w:val="00D46F16"/>
    <w:rsid w:val="00D475A4"/>
    <w:rsid w:val="00D475F4"/>
    <w:rsid w:val="00D4767B"/>
    <w:rsid w:val="00D476CC"/>
    <w:rsid w:val="00D477DA"/>
    <w:rsid w:val="00D4798E"/>
    <w:rsid w:val="00D47BC8"/>
    <w:rsid w:val="00D47C13"/>
    <w:rsid w:val="00D47D70"/>
    <w:rsid w:val="00D47EB4"/>
    <w:rsid w:val="00D47F65"/>
    <w:rsid w:val="00D50004"/>
    <w:rsid w:val="00D5012D"/>
    <w:rsid w:val="00D501A9"/>
    <w:rsid w:val="00D50304"/>
    <w:rsid w:val="00D504AF"/>
    <w:rsid w:val="00D50615"/>
    <w:rsid w:val="00D508A3"/>
    <w:rsid w:val="00D50A47"/>
    <w:rsid w:val="00D50D0E"/>
    <w:rsid w:val="00D50DFB"/>
    <w:rsid w:val="00D50E52"/>
    <w:rsid w:val="00D50F59"/>
    <w:rsid w:val="00D5101C"/>
    <w:rsid w:val="00D5115A"/>
    <w:rsid w:val="00D5118D"/>
    <w:rsid w:val="00D511F0"/>
    <w:rsid w:val="00D51277"/>
    <w:rsid w:val="00D51634"/>
    <w:rsid w:val="00D51706"/>
    <w:rsid w:val="00D51707"/>
    <w:rsid w:val="00D51778"/>
    <w:rsid w:val="00D51A44"/>
    <w:rsid w:val="00D51AF0"/>
    <w:rsid w:val="00D51DD3"/>
    <w:rsid w:val="00D52137"/>
    <w:rsid w:val="00D52263"/>
    <w:rsid w:val="00D52367"/>
    <w:rsid w:val="00D5237A"/>
    <w:rsid w:val="00D523AC"/>
    <w:rsid w:val="00D523AE"/>
    <w:rsid w:val="00D523D0"/>
    <w:rsid w:val="00D523F9"/>
    <w:rsid w:val="00D52536"/>
    <w:rsid w:val="00D5280E"/>
    <w:rsid w:val="00D529E0"/>
    <w:rsid w:val="00D52A22"/>
    <w:rsid w:val="00D52A45"/>
    <w:rsid w:val="00D52B1B"/>
    <w:rsid w:val="00D52BA4"/>
    <w:rsid w:val="00D52BF2"/>
    <w:rsid w:val="00D52C8F"/>
    <w:rsid w:val="00D52DD2"/>
    <w:rsid w:val="00D52E74"/>
    <w:rsid w:val="00D52FBA"/>
    <w:rsid w:val="00D53143"/>
    <w:rsid w:val="00D532C1"/>
    <w:rsid w:val="00D533BA"/>
    <w:rsid w:val="00D533BD"/>
    <w:rsid w:val="00D5375E"/>
    <w:rsid w:val="00D53A0F"/>
    <w:rsid w:val="00D540C4"/>
    <w:rsid w:val="00D541D4"/>
    <w:rsid w:val="00D54634"/>
    <w:rsid w:val="00D546D7"/>
    <w:rsid w:val="00D5471D"/>
    <w:rsid w:val="00D5490F"/>
    <w:rsid w:val="00D54DDF"/>
    <w:rsid w:val="00D54DE9"/>
    <w:rsid w:val="00D54EBF"/>
    <w:rsid w:val="00D54EFC"/>
    <w:rsid w:val="00D54F14"/>
    <w:rsid w:val="00D54FAF"/>
    <w:rsid w:val="00D5501D"/>
    <w:rsid w:val="00D55183"/>
    <w:rsid w:val="00D55293"/>
    <w:rsid w:val="00D553BE"/>
    <w:rsid w:val="00D558D3"/>
    <w:rsid w:val="00D55A55"/>
    <w:rsid w:val="00D55B9C"/>
    <w:rsid w:val="00D55CB6"/>
    <w:rsid w:val="00D55E76"/>
    <w:rsid w:val="00D55EA6"/>
    <w:rsid w:val="00D55F8C"/>
    <w:rsid w:val="00D55FA3"/>
    <w:rsid w:val="00D562F5"/>
    <w:rsid w:val="00D5634C"/>
    <w:rsid w:val="00D563CA"/>
    <w:rsid w:val="00D563F5"/>
    <w:rsid w:val="00D5659C"/>
    <w:rsid w:val="00D56763"/>
    <w:rsid w:val="00D56884"/>
    <w:rsid w:val="00D56981"/>
    <w:rsid w:val="00D56A8B"/>
    <w:rsid w:val="00D56B89"/>
    <w:rsid w:val="00D56BDD"/>
    <w:rsid w:val="00D56E2E"/>
    <w:rsid w:val="00D56F48"/>
    <w:rsid w:val="00D56F9C"/>
    <w:rsid w:val="00D57179"/>
    <w:rsid w:val="00D5724E"/>
    <w:rsid w:val="00D5730A"/>
    <w:rsid w:val="00D5741C"/>
    <w:rsid w:val="00D57612"/>
    <w:rsid w:val="00D576F0"/>
    <w:rsid w:val="00D577A9"/>
    <w:rsid w:val="00D57A17"/>
    <w:rsid w:val="00D57C60"/>
    <w:rsid w:val="00D57CE3"/>
    <w:rsid w:val="00D57F04"/>
    <w:rsid w:val="00D60029"/>
    <w:rsid w:val="00D6004F"/>
    <w:rsid w:val="00D60052"/>
    <w:rsid w:val="00D601A4"/>
    <w:rsid w:val="00D601DA"/>
    <w:rsid w:val="00D6020B"/>
    <w:rsid w:val="00D60253"/>
    <w:rsid w:val="00D602CC"/>
    <w:rsid w:val="00D604D1"/>
    <w:rsid w:val="00D60630"/>
    <w:rsid w:val="00D608A1"/>
    <w:rsid w:val="00D608D6"/>
    <w:rsid w:val="00D6096D"/>
    <w:rsid w:val="00D60CCF"/>
    <w:rsid w:val="00D60D9E"/>
    <w:rsid w:val="00D60FF1"/>
    <w:rsid w:val="00D611C7"/>
    <w:rsid w:val="00D611E8"/>
    <w:rsid w:val="00D61243"/>
    <w:rsid w:val="00D61250"/>
    <w:rsid w:val="00D612E3"/>
    <w:rsid w:val="00D613F2"/>
    <w:rsid w:val="00D61456"/>
    <w:rsid w:val="00D614E5"/>
    <w:rsid w:val="00D61500"/>
    <w:rsid w:val="00D615D3"/>
    <w:rsid w:val="00D615D5"/>
    <w:rsid w:val="00D61849"/>
    <w:rsid w:val="00D61905"/>
    <w:rsid w:val="00D619A6"/>
    <w:rsid w:val="00D619C8"/>
    <w:rsid w:val="00D61A5C"/>
    <w:rsid w:val="00D61B1E"/>
    <w:rsid w:val="00D61D58"/>
    <w:rsid w:val="00D61E7B"/>
    <w:rsid w:val="00D61EC8"/>
    <w:rsid w:val="00D61F75"/>
    <w:rsid w:val="00D62044"/>
    <w:rsid w:val="00D6207E"/>
    <w:rsid w:val="00D620DD"/>
    <w:rsid w:val="00D622A6"/>
    <w:rsid w:val="00D624F8"/>
    <w:rsid w:val="00D62537"/>
    <w:rsid w:val="00D62926"/>
    <w:rsid w:val="00D62AD7"/>
    <w:rsid w:val="00D62AD9"/>
    <w:rsid w:val="00D62BFC"/>
    <w:rsid w:val="00D62C32"/>
    <w:rsid w:val="00D62D98"/>
    <w:rsid w:val="00D62DC7"/>
    <w:rsid w:val="00D62F4A"/>
    <w:rsid w:val="00D630D3"/>
    <w:rsid w:val="00D63155"/>
    <w:rsid w:val="00D6331A"/>
    <w:rsid w:val="00D63373"/>
    <w:rsid w:val="00D633A2"/>
    <w:rsid w:val="00D636BA"/>
    <w:rsid w:val="00D638AA"/>
    <w:rsid w:val="00D639AD"/>
    <w:rsid w:val="00D63AF4"/>
    <w:rsid w:val="00D63B35"/>
    <w:rsid w:val="00D63D1F"/>
    <w:rsid w:val="00D640EE"/>
    <w:rsid w:val="00D64291"/>
    <w:rsid w:val="00D642DB"/>
    <w:rsid w:val="00D64312"/>
    <w:rsid w:val="00D644DC"/>
    <w:rsid w:val="00D6473B"/>
    <w:rsid w:val="00D64774"/>
    <w:rsid w:val="00D649DC"/>
    <w:rsid w:val="00D64AE8"/>
    <w:rsid w:val="00D64CF3"/>
    <w:rsid w:val="00D64D73"/>
    <w:rsid w:val="00D64E4C"/>
    <w:rsid w:val="00D64EDB"/>
    <w:rsid w:val="00D64F04"/>
    <w:rsid w:val="00D64FC6"/>
    <w:rsid w:val="00D650D1"/>
    <w:rsid w:val="00D652D0"/>
    <w:rsid w:val="00D65388"/>
    <w:rsid w:val="00D654E8"/>
    <w:rsid w:val="00D654EC"/>
    <w:rsid w:val="00D65550"/>
    <w:rsid w:val="00D655E0"/>
    <w:rsid w:val="00D658BB"/>
    <w:rsid w:val="00D65A18"/>
    <w:rsid w:val="00D65B28"/>
    <w:rsid w:val="00D65CA3"/>
    <w:rsid w:val="00D65D07"/>
    <w:rsid w:val="00D65DF3"/>
    <w:rsid w:val="00D6604F"/>
    <w:rsid w:val="00D660F5"/>
    <w:rsid w:val="00D6635F"/>
    <w:rsid w:val="00D66400"/>
    <w:rsid w:val="00D6645B"/>
    <w:rsid w:val="00D66747"/>
    <w:rsid w:val="00D6690C"/>
    <w:rsid w:val="00D66936"/>
    <w:rsid w:val="00D66C32"/>
    <w:rsid w:val="00D66CE1"/>
    <w:rsid w:val="00D66E56"/>
    <w:rsid w:val="00D66E86"/>
    <w:rsid w:val="00D67520"/>
    <w:rsid w:val="00D6757C"/>
    <w:rsid w:val="00D67801"/>
    <w:rsid w:val="00D67CED"/>
    <w:rsid w:val="00D67D84"/>
    <w:rsid w:val="00D67D8B"/>
    <w:rsid w:val="00D67E3C"/>
    <w:rsid w:val="00D68830"/>
    <w:rsid w:val="00D70019"/>
    <w:rsid w:val="00D700DF"/>
    <w:rsid w:val="00D700EC"/>
    <w:rsid w:val="00D705BC"/>
    <w:rsid w:val="00D7087A"/>
    <w:rsid w:val="00D70B11"/>
    <w:rsid w:val="00D70D28"/>
    <w:rsid w:val="00D70D46"/>
    <w:rsid w:val="00D70DB6"/>
    <w:rsid w:val="00D71016"/>
    <w:rsid w:val="00D710E4"/>
    <w:rsid w:val="00D71223"/>
    <w:rsid w:val="00D71246"/>
    <w:rsid w:val="00D7137E"/>
    <w:rsid w:val="00D71557"/>
    <w:rsid w:val="00D7177E"/>
    <w:rsid w:val="00D717AE"/>
    <w:rsid w:val="00D71E94"/>
    <w:rsid w:val="00D723DD"/>
    <w:rsid w:val="00D72571"/>
    <w:rsid w:val="00D7286F"/>
    <w:rsid w:val="00D7287C"/>
    <w:rsid w:val="00D72960"/>
    <w:rsid w:val="00D7296D"/>
    <w:rsid w:val="00D729C1"/>
    <w:rsid w:val="00D729FF"/>
    <w:rsid w:val="00D72A34"/>
    <w:rsid w:val="00D72B91"/>
    <w:rsid w:val="00D72C45"/>
    <w:rsid w:val="00D72FC1"/>
    <w:rsid w:val="00D72FD3"/>
    <w:rsid w:val="00D730B7"/>
    <w:rsid w:val="00D73153"/>
    <w:rsid w:val="00D731DC"/>
    <w:rsid w:val="00D7347F"/>
    <w:rsid w:val="00D735B1"/>
    <w:rsid w:val="00D73791"/>
    <w:rsid w:val="00D7386C"/>
    <w:rsid w:val="00D73892"/>
    <w:rsid w:val="00D738C0"/>
    <w:rsid w:val="00D73B8C"/>
    <w:rsid w:val="00D73DB5"/>
    <w:rsid w:val="00D73EEC"/>
    <w:rsid w:val="00D73F0E"/>
    <w:rsid w:val="00D73F22"/>
    <w:rsid w:val="00D73F61"/>
    <w:rsid w:val="00D74050"/>
    <w:rsid w:val="00D74141"/>
    <w:rsid w:val="00D74372"/>
    <w:rsid w:val="00D74439"/>
    <w:rsid w:val="00D745A7"/>
    <w:rsid w:val="00D74848"/>
    <w:rsid w:val="00D74929"/>
    <w:rsid w:val="00D74A74"/>
    <w:rsid w:val="00D74AF8"/>
    <w:rsid w:val="00D74DB6"/>
    <w:rsid w:val="00D74F82"/>
    <w:rsid w:val="00D7537F"/>
    <w:rsid w:val="00D75407"/>
    <w:rsid w:val="00D7547D"/>
    <w:rsid w:val="00D756CC"/>
    <w:rsid w:val="00D7578E"/>
    <w:rsid w:val="00D7581E"/>
    <w:rsid w:val="00D75864"/>
    <w:rsid w:val="00D75A91"/>
    <w:rsid w:val="00D75CE9"/>
    <w:rsid w:val="00D76035"/>
    <w:rsid w:val="00D76193"/>
    <w:rsid w:val="00D762B8"/>
    <w:rsid w:val="00D7651E"/>
    <w:rsid w:val="00D76564"/>
    <w:rsid w:val="00D76660"/>
    <w:rsid w:val="00D7666F"/>
    <w:rsid w:val="00D766AC"/>
    <w:rsid w:val="00D76970"/>
    <w:rsid w:val="00D76C04"/>
    <w:rsid w:val="00D76C1E"/>
    <w:rsid w:val="00D76DCD"/>
    <w:rsid w:val="00D76EBF"/>
    <w:rsid w:val="00D77072"/>
    <w:rsid w:val="00D7708A"/>
    <w:rsid w:val="00D77181"/>
    <w:rsid w:val="00D772EE"/>
    <w:rsid w:val="00D7739D"/>
    <w:rsid w:val="00D77456"/>
    <w:rsid w:val="00D77810"/>
    <w:rsid w:val="00D778E0"/>
    <w:rsid w:val="00D77958"/>
    <w:rsid w:val="00D77A3F"/>
    <w:rsid w:val="00D77D10"/>
    <w:rsid w:val="00D77EE8"/>
    <w:rsid w:val="00D77F75"/>
    <w:rsid w:val="00D801F8"/>
    <w:rsid w:val="00D802C6"/>
    <w:rsid w:val="00D80318"/>
    <w:rsid w:val="00D8038A"/>
    <w:rsid w:val="00D80F08"/>
    <w:rsid w:val="00D80F94"/>
    <w:rsid w:val="00D8112A"/>
    <w:rsid w:val="00D812B0"/>
    <w:rsid w:val="00D813CC"/>
    <w:rsid w:val="00D81441"/>
    <w:rsid w:val="00D8159C"/>
    <w:rsid w:val="00D81764"/>
    <w:rsid w:val="00D81851"/>
    <w:rsid w:val="00D81992"/>
    <w:rsid w:val="00D819AD"/>
    <w:rsid w:val="00D81A75"/>
    <w:rsid w:val="00D81DD8"/>
    <w:rsid w:val="00D81F5F"/>
    <w:rsid w:val="00D81FC6"/>
    <w:rsid w:val="00D820FC"/>
    <w:rsid w:val="00D82240"/>
    <w:rsid w:val="00D8227E"/>
    <w:rsid w:val="00D822A6"/>
    <w:rsid w:val="00D827FF"/>
    <w:rsid w:val="00D82919"/>
    <w:rsid w:val="00D829AE"/>
    <w:rsid w:val="00D82AC4"/>
    <w:rsid w:val="00D82BF0"/>
    <w:rsid w:val="00D82D28"/>
    <w:rsid w:val="00D82DF1"/>
    <w:rsid w:val="00D82E11"/>
    <w:rsid w:val="00D82F3A"/>
    <w:rsid w:val="00D83337"/>
    <w:rsid w:val="00D835E6"/>
    <w:rsid w:val="00D836B4"/>
    <w:rsid w:val="00D83748"/>
    <w:rsid w:val="00D837BA"/>
    <w:rsid w:val="00D8382B"/>
    <w:rsid w:val="00D83CE9"/>
    <w:rsid w:val="00D83D51"/>
    <w:rsid w:val="00D83EFB"/>
    <w:rsid w:val="00D84136"/>
    <w:rsid w:val="00D84373"/>
    <w:rsid w:val="00D84395"/>
    <w:rsid w:val="00D84792"/>
    <w:rsid w:val="00D84844"/>
    <w:rsid w:val="00D84922"/>
    <w:rsid w:val="00D849F5"/>
    <w:rsid w:val="00D84C9B"/>
    <w:rsid w:val="00D84E02"/>
    <w:rsid w:val="00D85002"/>
    <w:rsid w:val="00D85633"/>
    <w:rsid w:val="00D858EE"/>
    <w:rsid w:val="00D85991"/>
    <w:rsid w:val="00D85AFB"/>
    <w:rsid w:val="00D85C81"/>
    <w:rsid w:val="00D85D7E"/>
    <w:rsid w:val="00D86227"/>
    <w:rsid w:val="00D8624D"/>
    <w:rsid w:val="00D86256"/>
    <w:rsid w:val="00D86325"/>
    <w:rsid w:val="00D86353"/>
    <w:rsid w:val="00D8647A"/>
    <w:rsid w:val="00D865A7"/>
    <w:rsid w:val="00D86602"/>
    <w:rsid w:val="00D86679"/>
    <w:rsid w:val="00D866A0"/>
    <w:rsid w:val="00D8676C"/>
    <w:rsid w:val="00D86850"/>
    <w:rsid w:val="00D86BE0"/>
    <w:rsid w:val="00D86DA1"/>
    <w:rsid w:val="00D86FA7"/>
    <w:rsid w:val="00D87164"/>
    <w:rsid w:val="00D87184"/>
    <w:rsid w:val="00D872B9"/>
    <w:rsid w:val="00D873B6"/>
    <w:rsid w:val="00D879E8"/>
    <w:rsid w:val="00D87A0F"/>
    <w:rsid w:val="00D87A3D"/>
    <w:rsid w:val="00D87C19"/>
    <w:rsid w:val="00D87C3F"/>
    <w:rsid w:val="00D87ED0"/>
    <w:rsid w:val="00D87ED4"/>
    <w:rsid w:val="00D90009"/>
    <w:rsid w:val="00D90165"/>
    <w:rsid w:val="00D90326"/>
    <w:rsid w:val="00D903E6"/>
    <w:rsid w:val="00D90944"/>
    <w:rsid w:val="00D90A6D"/>
    <w:rsid w:val="00D90A90"/>
    <w:rsid w:val="00D90B0C"/>
    <w:rsid w:val="00D90B12"/>
    <w:rsid w:val="00D90B85"/>
    <w:rsid w:val="00D90D0B"/>
    <w:rsid w:val="00D90D0E"/>
    <w:rsid w:val="00D90DCD"/>
    <w:rsid w:val="00D90E05"/>
    <w:rsid w:val="00D90F33"/>
    <w:rsid w:val="00D910CD"/>
    <w:rsid w:val="00D9113D"/>
    <w:rsid w:val="00D91149"/>
    <w:rsid w:val="00D9160E"/>
    <w:rsid w:val="00D9188B"/>
    <w:rsid w:val="00D91A46"/>
    <w:rsid w:val="00D91B4D"/>
    <w:rsid w:val="00D91DF2"/>
    <w:rsid w:val="00D91E49"/>
    <w:rsid w:val="00D91FDA"/>
    <w:rsid w:val="00D92078"/>
    <w:rsid w:val="00D92197"/>
    <w:rsid w:val="00D922A2"/>
    <w:rsid w:val="00D922AC"/>
    <w:rsid w:val="00D9249A"/>
    <w:rsid w:val="00D925DE"/>
    <w:rsid w:val="00D92730"/>
    <w:rsid w:val="00D92881"/>
    <w:rsid w:val="00D92961"/>
    <w:rsid w:val="00D92AF6"/>
    <w:rsid w:val="00D92B10"/>
    <w:rsid w:val="00D92BAF"/>
    <w:rsid w:val="00D92BDB"/>
    <w:rsid w:val="00D92DAA"/>
    <w:rsid w:val="00D92E48"/>
    <w:rsid w:val="00D92EFB"/>
    <w:rsid w:val="00D92FE9"/>
    <w:rsid w:val="00D92FFD"/>
    <w:rsid w:val="00D93110"/>
    <w:rsid w:val="00D93179"/>
    <w:rsid w:val="00D931F8"/>
    <w:rsid w:val="00D93215"/>
    <w:rsid w:val="00D935A3"/>
    <w:rsid w:val="00D935F4"/>
    <w:rsid w:val="00D93823"/>
    <w:rsid w:val="00D938E0"/>
    <w:rsid w:val="00D93FAB"/>
    <w:rsid w:val="00D9408D"/>
    <w:rsid w:val="00D9412D"/>
    <w:rsid w:val="00D9415E"/>
    <w:rsid w:val="00D94301"/>
    <w:rsid w:val="00D94868"/>
    <w:rsid w:val="00D94A3F"/>
    <w:rsid w:val="00D94CCF"/>
    <w:rsid w:val="00D94D44"/>
    <w:rsid w:val="00D94D61"/>
    <w:rsid w:val="00D94E01"/>
    <w:rsid w:val="00D94E85"/>
    <w:rsid w:val="00D94F93"/>
    <w:rsid w:val="00D9500A"/>
    <w:rsid w:val="00D9503B"/>
    <w:rsid w:val="00D95183"/>
    <w:rsid w:val="00D952E5"/>
    <w:rsid w:val="00D95364"/>
    <w:rsid w:val="00D9536C"/>
    <w:rsid w:val="00D958E8"/>
    <w:rsid w:val="00D9593D"/>
    <w:rsid w:val="00D959B2"/>
    <w:rsid w:val="00D95C23"/>
    <w:rsid w:val="00D96015"/>
    <w:rsid w:val="00D9617F"/>
    <w:rsid w:val="00D962B5"/>
    <w:rsid w:val="00D96458"/>
    <w:rsid w:val="00D9646F"/>
    <w:rsid w:val="00D96619"/>
    <w:rsid w:val="00D9661B"/>
    <w:rsid w:val="00D966A4"/>
    <w:rsid w:val="00D967AF"/>
    <w:rsid w:val="00D969DE"/>
    <w:rsid w:val="00D96A1A"/>
    <w:rsid w:val="00D96B3C"/>
    <w:rsid w:val="00D96C00"/>
    <w:rsid w:val="00D96C2C"/>
    <w:rsid w:val="00D96CB3"/>
    <w:rsid w:val="00D96D41"/>
    <w:rsid w:val="00D96F67"/>
    <w:rsid w:val="00D96F86"/>
    <w:rsid w:val="00D96FA8"/>
    <w:rsid w:val="00D96FD8"/>
    <w:rsid w:val="00D97016"/>
    <w:rsid w:val="00D97111"/>
    <w:rsid w:val="00D9751A"/>
    <w:rsid w:val="00D975DC"/>
    <w:rsid w:val="00D976B1"/>
    <w:rsid w:val="00D97802"/>
    <w:rsid w:val="00D97877"/>
    <w:rsid w:val="00D97BBA"/>
    <w:rsid w:val="00D97C3E"/>
    <w:rsid w:val="00D97CEA"/>
    <w:rsid w:val="00D97D2E"/>
    <w:rsid w:val="00D97D5B"/>
    <w:rsid w:val="00D97E4E"/>
    <w:rsid w:val="00D97EC6"/>
    <w:rsid w:val="00D97ED8"/>
    <w:rsid w:val="00D97FD2"/>
    <w:rsid w:val="00D97FFC"/>
    <w:rsid w:val="00DA017D"/>
    <w:rsid w:val="00DA0213"/>
    <w:rsid w:val="00DA0378"/>
    <w:rsid w:val="00DA053F"/>
    <w:rsid w:val="00DA0659"/>
    <w:rsid w:val="00DA08AD"/>
    <w:rsid w:val="00DA09A1"/>
    <w:rsid w:val="00DA0BA9"/>
    <w:rsid w:val="00DA0C96"/>
    <w:rsid w:val="00DA0CE0"/>
    <w:rsid w:val="00DA0DC9"/>
    <w:rsid w:val="00DA0E50"/>
    <w:rsid w:val="00DA0E5C"/>
    <w:rsid w:val="00DA0F0A"/>
    <w:rsid w:val="00DA0F96"/>
    <w:rsid w:val="00DA152B"/>
    <w:rsid w:val="00DA15F6"/>
    <w:rsid w:val="00DA19FA"/>
    <w:rsid w:val="00DA1A11"/>
    <w:rsid w:val="00DA1C38"/>
    <w:rsid w:val="00DA1C85"/>
    <w:rsid w:val="00DA1D14"/>
    <w:rsid w:val="00DA1D35"/>
    <w:rsid w:val="00DA1DFA"/>
    <w:rsid w:val="00DA1F65"/>
    <w:rsid w:val="00DA206B"/>
    <w:rsid w:val="00DA20C3"/>
    <w:rsid w:val="00DA210E"/>
    <w:rsid w:val="00DA2191"/>
    <w:rsid w:val="00DA2235"/>
    <w:rsid w:val="00DA2305"/>
    <w:rsid w:val="00DA2371"/>
    <w:rsid w:val="00DA2512"/>
    <w:rsid w:val="00DA2599"/>
    <w:rsid w:val="00DA2600"/>
    <w:rsid w:val="00DA2673"/>
    <w:rsid w:val="00DA2BD2"/>
    <w:rsid w:val="00DA2C4B"/>
    <w:rsid w:val="00DA2D24"/>
    <w:rsid w:val="00DA2D7A"/>
    <w:rsid w:val="00DA2DEF"/>
    <w:rsid w:val="00DA2DF6"/>
    <w:rsid w:val="00DA2E6A"/>
    <w:rsid w:val="00DA3017"/>
    <w:rsid w:val="00DA3069"/>
    <w:rsid w:val="00DA31DD"/>
    <w:rsid w:val="00DA31F0"/>
    <w:rsid w:val="00DA3255"/>
    <w:rsid w:val="00DA3329"/>
    <w:rsid w:val="00DA33E0"/>
    <w:rsid w:val="00DA3412"/>
    <w:rsid w:val="00DA3426"/>
    <w:rsid w:val="00DA344C"/>
    <w:rsid w:val="00DA3482"/>
    <w:rsid w:val="00DA3551"/>
    <w:rsid w:val="00DA36D4"/>
    <w:rsid w:val="00DA39CF"/>
    <w:rsid w:val="00DA3AEB"/>
    <w:rsid w:val="00DA3B8D"/>
    <w:rsid w:val="00DA3CCA"/>
    <w:rsid w:val="00DA3E6D"/>
    <w:rsid w:val="00DA3E91"/>
    <w:rsid w:val="00DA3F52"/>
    <w:rsid w:val="00DA42FB"/>
    <w:rsid w:val="00DA43AA"/>
    <w:rsid w:val="00DA4605"/>
    <w:rsid w:val="00DA469B"/>
    <w:rsid w:val="00DA4889"/>
    <w:rsid w:val="00DA48F9"/>
    <w:rsid w:val="00DA4A36"/>
    <w:rsid w:val="00DA4A57"/>
    <w:rsid w:val="00DA4AC8"/>
    <w:rsid w:val="00DA4B57"/>
    <w:rsid w:val="00DA4C85"/>
    <w:rsid w:val="00DA4D7B"/>
    <w:rsid w:val="00DA501B"/>
    <w:rsid w:val="00DA538C"/>
    <w:rsid w:val="00DA53DA"/>
    <w:rsid w:val="00DA5489"/>
    <w:rsid w:val="00DA5555"/>
    <w:rsid w:val="00DA564A"/>
    <w:rsid w:val="00DA56E7"/>
    <w:rsid w:val="00DA5840"/>
    <w:rsid w:val="00DA5B36"/>
    <w:rsid w:val="00DA5DAC"/>
    <w:rsid w:val="00DA5EA3"/>
    <w:rsid w:val="00DA60FC"/>
    <w:rsid w:val="00DA6152"/>
    <w:rsid w:val="00DA6296"/>
    <w:rsid w:val="00DA6309"/>
    <w:rsid w:val="00DA6335"/>
    <w:rsid w:val="00DA6412"/>
    <w:rsid w:val="00DA649E"/>
    <w:rsid w:val="00DA657D"/>
    <w:rsid w:val="00DA65BE"/>
    <w:rsid w:val="00DA65C4"/>
    <w:rsid w:val="00DA65EF"/>
    <w:rsid w:val="00DA6633"/>
    <w:rsid w:val="00DA665A"/>
    <w:rsid w:val="00DA668E"/>
    <w:rsid w:val="00DA6707"/>
    <w:rsid w:val="00DA67AB"/>
    <w:rsid w:val="00DA6996"/>
    <w:rsid w:val="00DA69C2"/>
    <w:rsid w:val="00DA6DF9"/>
    <w:rsid w:val="00DA6F80"/>
    <w:rsid w:val="00DA6FFF"/>
    <w:rsid w:val="00DA7477"/>
    <w:rsid w:val="00DA79EB"/>
    <w:rsid w:val="00DA7D46"/>
    <w:rsid w:val="00DA7E11"/>
    <w:rsid w:val="00DA7E2A"/>
    <w:rsid w:val="00DA7F6D"/>
    <w:rsid w:val="00DA7F98"/>
    <w:rsid w:val="00DB015E"/>
    <w:rsid w:val="00DB04F7"/>
    <w:rsid w:val="00DB05DB"/>
    <w:rsid w:val="00DB05F3"/>
    <w:rsid w:val="00DB0D2B"/>
    <w:rsid w:val="00DB0E3C"/>
    <w:rsid w:val="00DB0F47"/>
    <w:rsid w:val="00DB0FC8"/>
    <w:rsid w:val="00DB10A0"/>
    <w:rsid w:val="00DB12F4"/>
    <w:rsid w:val="00DB15EE"/>
    <w:rsid w:val="00DB163A"/>
    <w:rsid w:val="00DB16D4"/>
    <w:rsid w:val="00DB16F2"/>
    <w:rsid w:val="00DB173F"/>
    <w:rsid w:val="00DB1858"/>
    <w:rsid w:val="00DB197B"/>
    <w:rsid w:val="00DB19F1"/>
    <w:rsid w:val="00DB1AEE"/>
    <w:rsid w:val="00DB1BEE"/>
    <w:rsid w:val="00DB1D81"/>
    <w:rsid w:val="00DB227E"/>
    <w:rsid w:val="00DB236D"/>
    <w:rsid w:val="00DB25AF"/>
    <w:rsid w:val="00DB26D1"/>
    <w:rsid w:val="00DB26E0"/>
    <w:rsid w:val="00DB276A"/>
    <w:rsid w:val="00DB2966"/>
    <w:rsid w:val="00DB2C0A"/>
    <w:rsid w:val="00DB340E"/>
    <w:rsid w:val="00DB3437"/>
    <w:rsid w:val="00DB3512"/>
    <w:rsid w:val="00DB3524"/>
    <w:rsid w:val="00DB371B"/>
    <w:rsid w:val="00DB37EA"/>
    <w:rsid w:val="00DB38D2"/>
    <w:rsid w:val="00DB399B"/>
    <w:rsid w:val="00DB3A97"/>
    <w:rsid w:val="00DB3C82"/>
    <w:rsid w:val="00DB3D01"/>
    <w:rsid w:val="00DB3EAF"/>
    <w:rsid w:val="00DB40A8"/>
    <w:rsid w:val="00DB40D5"/>
    <w:rsid w:val="00DB41F2"/>
    <w:rsid w:val="00DB4320"/>
    <w:rsid w:val="00DB442F"/>
    <w:rsid w:val="00DB4737"/>
    <w:rsid w:val="00DB4B0E"/>
    <w:rsid w:val="00DB4B62"/>
    <w:rsid w:val="00DB4E5C"/>
    <w:rsid w:val="00DB4EB2"/>
    <w:rsid w:val="00DB4F16"/>
    <w:rsid w:val="00DB4F85"/>
    <w:rsid w:val="00DB504B"/>
    <w:rsid w:val="00DB5074"/>
    <w:rsid w:val="00DB524E"/>
    <w:rsid w:val="00DB52E8"/>
    <w:rsid w:val="00DB553D"/>
    <w:rsid w:val="00DB56B2"/>
    <w:rsid w:val="00DB5735"/>
    <w:rsid w:val="00DB577F"/>
    <w:rsid w:val="00DB5A21"/>
    <w:rsid w:val="00DB5AD3"/>
    <w:rsid w:val="00DB5D0E"/>
    <w:rsid w:val="00DB5E83"/>
    <w:rsid w:val="00DB5EF0"/>
    <w:rsid w:val="00DB607D"/>
    <w:rsid w:val="00DB610A"/>
    <w:rsid w:val="00DB62BE"/>
    <w:rsid w:val="00DB65AE"/>
    <w:rsid w:val="00DB6741"/>
    <w:rsid w:val="00DB692B"/>
    <w:rsid w:val="00DB6A0B"/>
    <w:rsid w:val="00DB6A5F"/>
    <w:rsid w:val="00DB6BFD"/>
    <w:rsid w:val="00DB6D1D"/>
    <w:rsid w:val="00DB6EBB"/>
    <w:rsid w:val="00DB6EC4"/>
    <w:rsid w:val="00DB6ED5"/>
    <w:rsid w:val="00DB6F54"/>
    <w:rsid w:val="00DB724A"/>
    <w:rsid w:val="00DB72DB"/>
    <w:rsid w:val="00DB73BC"/>
    <w:rsid w:val="00DB73C8"/>
    <w:rsid w:val="00DB7688"/>
    <w:rsid w:val="00DB78C4"/>
    <w:rsid w:val="00DB790E"/>
    <w:rsid w:val="00DB79D8"/>
    <w:rsid w:val="00DB7D18"/>
    <w:rsid w:val="00DB7E4E"/>
    <w:rsid w:val="00DC007F"/>
    <w:rsid w:val="00DC03B6"/>
    <w:rsid w:val="00DC03FD"/>
    <w:rsid w:val="00DC046F"/>
    <w:rsid w:val="00DC0577"/>
    <w:rsid w:val="00DC0595"/>
    <w:rsid w:val="00DC0757"/>
    <w:rsid w:val="00DC07A2"/>
    <w:rsid w:val="00DC07D8"/>
    <w:rsid w:val="00DC08F1"/>
    <w:rsid w:val="00DC092A"/>
    <w:rsid w:val="00DC0B32"/>
    <w:rsid w:val="00DC0B69"/>
    <w:rsid w:val="00DC0BAA"/>
    <w:rsid w:val="00DC0E0B"/>
    <w:rsid w:val="00DC0E48"/>
    <w:rsid w:val="00DC106A"/>
    <w:rsid w:val="00DC106D"/>
    <w:rsid w:val="00DC14B9"/>
    <w:rsid w:val="00DC15D4"/>
    <w:rsid w:val="00DC1954"/>
    <w:rsid w:val="00DC1E40"/>
    <w:rsid w:val="00DC211E"/>
    <w:rsid w:val="00DC2135"/>
    <w:rsid w:val="00DC2731"/>
    <w:rsid w:val="00DC274C"/>
    <w:rsid w:val="00DC28CE"/>
    <w:rsid w:val="00DC28E3"/>
    <w:rsid w:val="00DC29D3"/>
    <w:rsid w:val="00DC2B62"/>
    <w:rsid w:val="00DC2D26"/>
    <w:rsid w:val="00DC2F0A"/>
    <w:rsid w:val="00DC2F68"/>
    <w:rsid w:val="00DC2FB7"/>
    <w:rsid w:val="00DC3029"/>
    <w:rsid w:val="00DC30F8"/>
    <w:rsid w:val="00DC3270"/>
    <w:rsid w:val="00DC3443"/>
    <w:rsid w:val="00DC364F"/>
    <w:rsid w:val="00DC38B9"/>
    <w:rsid w:val="00DC38EF"/>
    <w:rsid w:val="00DC391B"/>
    <w:rsid w:val="00DC3CE4"/>
    <w:rsid w:val="00DC3E4E"/>
    <w:rsid w:val="00DC3E63"/>
    <w:rsid w:val="00DC4366"/>
    <w:rsid w:val="00DC45C3"/>
    <w:rsid w:val="00DC45D4"/>
    <w:rsid w:val="00DC46F8"/>
    <w:rsid w:val="00DC4704"/>
    <w:rsid w:val="00DC48A4"/>
    <w:rsid w:val="00DC4CA0"/>
    <w:rsid w:val="00DC4CD0"/>
    <w:rsid w:val="00DC4E4A"/>
    <w:rsid w:val="00DC4FA9"/>
    <w:rsid w:val="00DC5005"/>
    <w:rsid w:val="00DC52F5"/>
    <w:rsid w:val="00DC5326"/>
    <w:rsid w:val="00DC5369"/>
    <w:rsid w:val="00DC5531"/>
    <w:rsid w:val="00DC561C"/>
    <w:rsid w:val="00DC574C"/>
    <w:rsid w:val="00DC5797"/>
    <w:rsid w:val="00DC5B3F"/>
    <w:rsid w:val="00DC5EB4"/>
    <w:rsid w:val="00DC6048"/>
    <w:rsid w:val="00DC6282"/>
    <w:rsid w:val="00DC63CC"/>
    <w:rsid w:val="00DC63EC"/>
    <w:rsid w:val="00DC64B9"/>
    <w:rsid w:val="00DC659B"/>
    <w:rsid w:val="00DC66AD"/>
    <w:rsid w:val="00DC676E"/>
    <w:rsid w:val="00DC6983"/>
    <w:rsid w:val="00DC6A3E"/>
    <w:rsid w:val="00DC6B29"/>
    <w:rsid w:val="00DC6B89"/>
    <w:rsid w:val="00DC6C88"/>
    <w:rsid w:val="00DC70C1"/>
    <w:rsid w:val="00DC711E"/>
    <w:rsid w:val="00DC7198"/>
    <w:rsid w:val="00DC7211"/>
    <w:rsid w:val="00DC7301"/>
    <w:rsid w:val="00DC7306"/>
    <w:rsid w:val="00DC7437"/>
    <w:rsid w:val="00DC7494"/>
    <w:rsid w:val="00DC75F6"/>
    <w:rsid w:val="00DC768D"/>
    <w:rsid w:val="00DC7710"/>
    <w:rsid w:val="00DC77F2"/>
    <w:rsid w:val="00DC7816"/>
    <w:rsid w:val="00DC789E"/>
    <w:rsid w:val="00DC78F7"/>
    <w:rsid w:val="00DC7919"/>
    <w:rsid w:val="00DC7CEC"/>
    <w:rsid w:val="00DC7D95"/>
    <w:rsid w:val="00DC7E13"/>
    <w:rsid w:val="00DC7E25"/>
    <w:rsid w:val="00DD00D7"/>
    <w:rsid w:val="00DD01AE"/>
    <w:rsid w:val="00DD0534"/>
    <w:rsid w:val="00DD0542"/>
    <w:rsid w:val="00DD0860"/>
    <w:rsid w:val="00DD09A5"/>
    <w:rsid w:val="00DD0AC0"/>
    <w:rsid w:val="00DD0CCB"/>
    <w:rsid w:val="00DD0E3C"/>
    <w:rsid w:val="00DD0E5A"/>
    <w:rsid w:val="00DD0F05"/>
    <w:rsid w:val="00DD0FE7"/>
    <w:rsid w:val="00DD126A"/>
    <w:rsid w:val="00DD12DB"/>
    <w:rsid w:val="00DD13C2"/>
    <w:rsid w:val="00DD1677"/>
    <w:rsid w:val="00DD1678"/>
    <w:rsid w:val="00DD16E7"/>
    <w:rsid w:val="00DD174F"/>
    <w:rsid w:val="00DD176C"/>
    <w:rsid w:val="00DD17C1"/>
    <w:rsid w:val="00DD1896"/>
    <w:rsid w:val="00DD1955"/>
    <w:rsid w:val="00DD19A9"/>
    <w:rsid w:val="00DD19F9"/>
    <w:rsid w:val="00DD1A9E"/>
    <w:rsid w:val="00DD1DA4"/>
    <w:rsid w:val="00DD1E7C"/>
    <w:rsid w:val="00DD1F81"/>
    <w:rsid w:val="00DD1FEE"/>
    <w:rsid w:val="00DD2050"/>
    <w:rsid w:val="00DD2057"/>
    <w:rsid w:val="00DD2256"/>
    <w:rsid w:val="00DD2332"/>
    <w:rsid w:val="00DD2405"/>
    <w:rsid w:val="00DD2431"/>
    <w:rsid w:val="00DD255F"/>
    <w:rsid w:val="00DD26D3"/>
    <w:rsid w:val="00DD2AA8"/>
    <w:rsid w:val="00DD2EC3"/>
    <w:rsid w:val="00DD2F8E"/>
    <w:rsid w:val="00DD3020"/>
    <w:rsid w:val="00DD3296"/>
    <w:rsid w:val="00DD3515"/>
    <w:rsid w:val="00DD36A2"/>
    <w:rsid w:val="00DD3886"/>
    <w:rsid w:val="00DD3B96"/>
    <w:rsid w:val="00DD3C53"/>
    <w:rsid w:val="00DD41E7"/>
    <w:rsid w:val="00DD42C8"/>
    <w:rsid w:val="00DD4428"/>
    <w:rsid w:val="00DD44D7"/>
    <w:rsid w:val="00DD4A24"/>
    <w:rsid w:val="00DD4B21"/>
    <w:rsid w:val="00DD4B46"/>
    <w:rsid w:val="00DD4BB4"/>
    <w:rsid w:val="00DD4C4C"/>
    <w:rsid w:val="00DD4C9F"/>
    <w:rsid w:val="00DD4D3A"/>
    <w:rsid w:val="00DD4D56"/>
    <w:rsid w:val="00DD5152"/>
    <w:rsid w:val="00DD5332"/>
    <w:rsid w:val="00DD538A"/>
    <w:rsid w:val="00DD5417"/>
    <w:rsid w:val="00DD5472"/>
    <w:rsid w:val="00DD559A"/>
    <w:rsid w:val="00DD5601"/>
    <w:rsid w:val="00DD56DE"/>
    <w:rsid w:val="00DD5BB8"/>
    <w:rsid w:val="00DD5C0B"/>
    <w:rsid w:val="00DD60D9"/>
    <w:rsid w:val="00DD632B"/>
    <w:rsid w:val="00DD67CA"/>
    <w:rsid w:val="00DD6847"/>
    <w:rsid w:val="00DD6A5F"/>
    <w:rsid w:val="00DD6AE5"/>
    <w:rsid w:val="00DD6C16"/>
    <w:rsid w:val="00DD6DCC"/>
    <w:rsid w:val="00DD73D7"/>
    <w:rsid w:val="00DD787C"/>
    <w:rsid w:val="00DD79EF"/>
    <w:rsid w:val="00DD7AB1"/>
    <w:rsid w:val="00DD7BA1"/>
    <w:rsid w:val="00DD7C3D"/>
    <w:rsid w:val="00DD7C90"/>
    <w:rsid w:val="00DD7DFB"/>
    <w:rsid w:val="00DD7E75"/>
    <w:rsid w:val="00DE00E6"/>
    <w:rsid w:val="00DE01DB"/>
    <w:rsid w:val="00DE0208"/>
    <w:rsid w:val="00DE05CE"/>
    <w:rsid w:val="00DE06EB"/>
    <w:rsid w:val="00DE07F4"/>
    <w:rsid w:val="00DE09F6"/>
    <w:rsid w:val="00DE0AB2"/>
    <w:rsid w:val="00DE0B07"/>
    <w:rsid w:val="00DE0B7B"/>
    <w:rsid w:val="00DE0C9D"/>
    <w:rsid w:val="00DE0D06"/>
    <w:rsid w:val="00DE0D8F"/>
    <w:rsid w:val="00DE0F0E"/>
    <w:rsid w:val="00DE1108"/>
    <w:rsid w:val="00DE11A5"/>
    <w:rsid w:val="00DE13A0"/>
    <w:rsid w:val="00DE147C"/>
    <w:rsid w:val="00DE14A4"/>
    <w:rsid w:val="00DE15D5"/>
    <w:rsid w:val="00DE1765"/>
    <w:rsid w:val="00DE17A6"/>
    <w:rsid w:val="00DE1A2A"/>
    <w:rsid w:val="00DE1C41"/>
    <w:rsid w:val="00DE1E23"/>
    <w:rsid w:val="00DE1E64"/>
    <w:rsid w:val="00DE1F15"/>
    <w:rsid w:val="00DE209F"/>
    <w:rsid w:val="00DE2243"/>
    <w:rsid w:val="00DE2248"/>
    <w:rsid w:val="00DE22E2"/>
    <w:rsid w:val="00DE22FF"/>
    <w:rsid w:val="00DE231D"/>
    <w:rsid w:val="00DE23EB"/>
    <w:rsid w:val="00DE26C0"/>
    <w:rsid w:val="00DE2742"/>
    <w:rsid w:val="00DE275C"/>
    <w:rsid w:val="00DE2858"/>
    <w:rsid w:val="00DE288C"/>
    <w:rsid w:val="00DE2932"/>
    <w:rsid w:val="00DE2CEC"/>
    <w:rsid w:val="00DE2D7C"/>
    <w:rsid w:val="00DE2E43"/>
    <w:rsid w:val="00DE2E52"/>
    <w:rsid w:val="00DE309A"/>
    <w:rsid w:val="00DE3193"/>
    <w:rsid w:val="00DE31F8"/>
    <w:rsid w:val="00DE34FD"/>
    <w:rsid w:val="00DE36F2"/>
    <w:rsid w:val="00DE36FC"/>
    <w:rsid w:val="00DE38B8"/>
    <w:rsid w:val="00DE3A0F"/>
    <w:rsid w:val="00DE3B01"/>
    <w:rsid w:val="00DE3CE3"/>
    <w:rsid w:val="00DE3EF6"/>
    <w:rsid w:val="00DE3F01"/>
    <w:rsid w:val="00DE3FD5"/>
    <w:rsid w:val="00DE3FE1"/>
    <w:rsid w:val="00DE404D"/>
    <w:rsid w:val="00DE40C1"/>
    <w:rsid w:val="00DE47CA"/>
    <w:rsid w:val="00DE47CB"/>
    <w:rsid w:val="00DE49C6"/>
    <w:rsid w:val="00DE4D03"/>
    <w:rsid w:val="00DE4D6F"/>
    <w:rsid w:val="00DE4E22"/>
    <w:rsid w:val="00DE4F40"/>
    <w:rsid w:val="00DE5048"/>
    <w:rsid w:val="00DE51B8"/>
    <w:rsid w:val="00DE52B6"/>
    <w:rsid w:val="00DE5362"/>
    <w:rsid w:val="00DE55E6"/>
    <w:rsid w:val="00DE565C"/>
    <w:rsid w:val="00DE568B"/>
    <w:rsid w:val="00DE57A5"/>
    <w:rsid w:val="00DE5DF9"/>
    <w:rsid w:val="00DE5E63"/>
    <w:rsid w:val="00DE5EED"/>
    <w:rsid w:val="00DE5F0E"/>
    <w:rsid w:val="00DE5F50"/>
    <w:rsid w:val="00DE5F73"/>
    <w:rsid w:val="00DE60B2"/>
    <w:rsid w:val="00DE6293"/>
    <w:rsid w:val="00DE62C5"/>
    <w:rsid w:val="00DE62CB"/>
    <w:rsid w:val="00DE6461"/>
    <w:rsid w:val="00DE64B7"/>
    <w:rsid w:val="00DE6BCD"/>
    <w:rsid w:val="00DE6E56"/>
    <w:rsid w:val="00DE6F46"/>
    <w:rsid w:val="00DE70EA"/>
    <w:rsid w:val="00DE70F6"/>
    <w:rsid w:val="00DE71D8"/>
    <w:rsid w:val="00DE71EF"/>
    <w:rsid w:val="00DE750B"/>
    <w:rsid w:val="00DE757D"/>
    <w:rsid w:val="00DE78B5"/>
    <w:rsid w:val="00DE7AA6"/>
    <w:rsid w:val="00DE7AD1"/>
    <w:rsid w:val="00DF0113"/>
    <w:rsid w:val="00DF011D"/>
    <w:rsid w:val="00DF0151"/>
    <w:rsid w:val="00DF01D4"/>
    <w:rsid w:val="00DF0342"/>
    <w:rsid w:val="00DF0350"/>
    <w:rsid w:val="00DF05EC"/>
    <w:rsid w:val="00DF074E"/>
    <w:rsid w:val="00DF07F8"/>
    <w:rsid w:val="00DF07FF"/>
    <w:rsid w:val="00DF097C"/>
    <w:rsid w:val="00DF09A9"/>
    <w:rsid w:val="00DF0A9B"/>
    <w:rsid w:val="00DF0BB1"/>
    <w:rsid w:val="00DF0C3D"/>
    <w:rsid w:val="00DF0CA2"/>
    <w:rsid w:val="00DF0EF6"/>
    <w:rsid w:val="00DF1035"/>
    <w:rsid w:val="00DF115A"/>
    <w:rsid w:val="00DF1303"/>
    <w:rsid w:val="00DF1362"/>
    <w:rsid w:val="00DF1513"/>
    <w:rsid w:val="00DF170A"/>
    <w:rsid w:val="00DF1734"/>
    <w:rsid w:val="00DF173F"/>
    <w:rsid w:val="00DF1811"/>
    <w:rsid w:val="00DF1948"/>
    <w:rsid w:val="00DF194B"/>
    <w:rsid w:val="00DF196C"/>
    <w:rsid w:val="00DF1A66"/>
    <w:rsid w:val="00DF1AAA"/>
    <w:rsid w:val="00DF1ABB"/>
    <w:rsid w:val="00DF1C32"/>
    <w:rsid w:val="00DF2118"/>
    <w:rsid w:val="00DF2187"/>
    <w:rsid w:val="00DF2275"/>
    <w:rsid w:val="00DF23DF"/>
    <w:rsid w:val="00DF2438"/>
    <w:rsid w:val="00DF2620"/>
    <w:rsid w:val="00DF2665"/>
    <w:rsid w:val="00DF2754"/>
    <w:rsid w:val="00DF28E9"/>
    <w:rsid w:val="00DF2ABA"/>
    <w:rsid w:val="00DF2B50"/>
    <w:rsid w:val="00DF2E3D"/>
    <w:rsid w:val="00DF2FE3"/>
    <w:rsid w:val="00DF31C1"/>
    <w:rsid w:val="00DF3261"/>
    <w:rsid w:val="00DF32CE"/>
    <w:rsid w:val="00DF346E"/>
    <w:rsid w:val="00DF3489"/>
    <w:rsid w:val="00DF382C"/>
    <w:rsid w:val="00DF384E"/>
    <w:rsid w:val="00DF3986"/>
    <w:rsid w:val="00DF3AB6"/>
    <w:rsid w:val="00DF3DA7"/>
    <w:rsid w:val="00DF3E03"/>
    <w:rsid w:val="00DF3F02"/>
    <w:rsid w:val="00DF4390"/>
    <w:rsid w:val="00DF43AD"/>
    <w:rsid w:val="00DF44FB"/>
    <w:rsid w:val="00DF45C0"/>
    <w:rsid w:val="00DF4649"/>
    <w:rsid w:val="00DF4D5E"/>
    <w:rsid w:val="00DF50A1"/>
    <w:rsid w:val="00DF54F6"/>
    <w:rsid w:val="00DF5501"/>
    <w:rsid w:val="00DF5C05"/>
    <w:rsid w:val="00DF5D7B"/>
    <w:rsid w:val="00DF5DD2"/>
    <w:rsid w:val="00DF5F90"/>
    <w:rsid w:val="00DF6008"/>
    <w:rsid w:val="00DF62A4"/>
    <w:rsid w:val="00DF6A8E"/>
    <w:rsid w:val="00DF6AC1"/>
    <w:rsid w:val="00DF6B69"/>
    <w:rsid w:val="00DF6DE2"/>
    <w:rsid w:val="00DF6E29"/>
    <w:rsid w:val="00DF6ECA"/>
    <w:rsid w:val="00DF700F"/>
    <w:rsid w:val="00DF73F7"/>
    <w:rsid w:val="00DF749B"/>
    <w:rsid w:val="00DF74EE"/>
    <w:rsid w:val="00DF764A"/>
    <w:rsid w:val="00DF764B"/>
    <w:rsid w:val="00DF7733"/>
    <w:rsid w:val="00DF7CCB"/>
    <w:rsid w:val="00E000F2"/>
    <w:rsid w:val="00E002A5"/>
    <w:rsid w:val="00E00760"/>
    <w:rsid w:val="00E009B0"/>
    <w:rsid w:val="00E00B52"/>
    <w:rsid w:val="00E00D16"/>
    <w:rsid w:val="00E00DDC"/>
    <w:rsid w:val="00E00E28"/>
    <w:rsid w:val="00E00EAA"/>
    <w:rsid w:val="00E00ED7"/>
    <w:rsid w:val="00E00F7A"/>
    <w:rsid w:val="00E00FEE"/>
    <w:rsid w:val="00E0127E"/>
    <w:rsid w:val="00E01696"/>
    <w:rsid w:val="00E01A72"/>
    <w:rsid w:val="00E01B01"/>
    <w:rsid w:val="00E01C79"/>
    <w:rsid w:val="00E01D9C"/>
    <w:rsid w:val="00E01E0B"/>
    <w:rsid w:val="00E01E5E"/>
    <w:rsid w:val="00E01F1B"/>
    <w:rsid w:val="00E02120"/>
    <w:rsid w:val="00E02126"/>
    <w:rsid w:val="00E02274"/>
    <w:rsid w:val="00E0234C"/>
    <w:rsid w:val="00E02526"/>
    <w:rsid w:val="00E027F6"/>
    <w:rsid w:val="00E02A21"/>
    <w:rsid w:val="00E02AD9"/>
    <w:rsid w:val="00E02AFA"/>
    <w:rsid w:val="00E02BC0"/>
    <w:rsid w:val="00E02BCE"/>
    <w:rsid w:val="00E02C0A"/>
    <w:rsid w:val="00E02E0A"/>
    <w:rsid w:val="00E02ECD"/>
    <w:rsid w:val="00E02EE8"/>
    <w:rsid w:val="00E03049"/>
    <w:rsid w:val="00E0309C"/>
    <w:rsid w:val="00E030A5"/>
    <w:rsid w:val="00E030CE"/>
    <w:rsid w:val="00E0346E"/>
    <w:rsid w:val="00E034D8"/>
    <w:rsid w:val="00E035F3"/>
    <w:rsid w:val="00E03644"/>
    <w:rsid w:val="00E03C49"/>
    <w:rsid w:val="00E03DDB"/>
    <w:rsid w:val="00E03E2C"/>
    <w:rsid w:val="00E03F01"/>
    <w:rsid w:val="00E04235"/>
    <w:rsid w:val="00E044B1"/>
    <w:rsid w:val="00E044DD"/>
    <w:rsid w:val="00E04712"/>
    <w:rsid w:val="00E048E2"/>
    <w:rsid w:val="00E04A20"/>
    <w:rsid w:val="00E04AA2"/>
    <w:rsid w:val="00E04AD8"/>
    <w:rsid w:val="00E04DB7"/>
    <w:rsid w:val="00E04E8F"/>
    <w:rsid w:val="00E04F98"/>
    <w:rsid w:val="00E0501E"/>
    <w:rsid w:val="00E05258"/>
    <w:rsid w:val="00E0530E"/>
    <w:rsid w:val="00E05374"/>
    <w:rsid w:val="00E05664"/>
    <w:rsid w:val="00E05851"/>
    <w:rsid w:val="00E058A1"/>
    <w:rsid w:val="00E058C5"/>
    <w:rsid w:val="00E05A51"/>
    <w:rsid w:val="00E05A8B"/>
    <w:rsid w:val="00E05C6D"/>
    <w:rsid w:val="00E05D85"/>
    <w:rsid w:val="00E05FE9"/>
    <w:rsid w:val="00E06192"/>
    <w:rsid w:val="00E061B1"/>
    <w:rsid w:val="00E063D9"/>
    <w:rsid w:val="00E064C1"/>
    <w:rsid w:val="00E0697C"/>
    <w:rsid w:val="00E06CD5"/>
    <w:rsid w:val="00E06CDE"/>
    <w:rsid w:val="00E06D44"/>
    <w:rsid w:val="00E06D99"/>
    <w:rsid w:val="00E06E17"/>
    <w:rsid w:val="00E06E1A"/>
    <w:rsid w:val="00E070A3"/>
    <w:rsid w:val="00E072B1"/>
    <w:rsid w:val="00E072E8"/>
    <w:rsid w:val="00E07519"/>
    <w:rsid w:val="00E07602"/>
    <w:rsid w:val="00E078D7"/>
    <w:rsid w:val="00E07926"/>
    <w:rsid w:val="00E07D86"/>
    <w:rsid w:val="00E07D98"/>
    <w:rsid w:val="00E10511"/>
    <w:rsid w:val="00E10712"/>
    <w:rsid w:val="00E108DD"/>
    <w:rsid w:val="00E10AE5"/>
    <w:rsid w:val="00E10C15"/>
    <w:rsid w:val="00E10C2B"/>
    <w:rsid w:val="00E10C67"/>
    <w:rsid w:val="00E10D3C"/>
    <w:rsid w:val="00E10D77"/>
    <w:rsid w:val="00E10DC7"/>
    <w:rsid w:val="00E10EC1"/>
    <w:rsid w:val="00E10F82"/>
    <w:rsid w:val="00E11371"/>
    <w:rsid w:val="00E1145C"/>
    <w:rsid w:val="00E114CA"/>
    <w:rsid w:val="00E1175C"/>
    <w:rsid w:val="00E1185A"/>
    <w:rsid w:val="00E11A18"/>
    <w:rsid w:val="00E11A72"/>
    <w:rsid w:val="00E11B9E"/>
    <w:rsid w:val="00E11CC2"/>
    <w:rsid w:val="00E11E67"/>
    <w:rsid w:val="00E12020"/>
    <w:rsid w:val="00E120C7"/>
    <w:rsid w:val="00E122CC"/>
    <w:rsid w:val="00E1238D"/>
    <w:rsid w:val="00E12465"/>
    <w:rsid w:val="00E124C0"/>
    <w:rsid w:val="00E124C5"/>
    <w:rsid w:val="00E129A3"/>
    <w:rsid w:val="00E12DBD"/>
    <w:rsid w:val="00E12EEB"/>
    <w:rsid w:val="00E12F9C"/>
    <w:rsid w:val="00E130D5"/>
    <w:rsid w:val="00E1339F"/>
    <w:rsid w:val="00E1357A"/>
    <w:rsid w:val="00E136D1"/>
    <w:rsid w:val="00E1374F"/>
    <w:rsid w:val="00E13A06"/>
    <w:rsid w:val="00E13C09"/>
    <w:rsid w:val="00E13D93"/>
    <w:rsid w:val="00E13DFE"/>
    <w:rsid w:val="00E13EDF"/>
    <w:rsid w:val="00E13FCC"/>
    <w:rsid w:val="00E140BF"/>
    <w:rsid w:val="00E14116"/>
    <w:rsid w:val="00E14299"/>
    <w:rsid w:val="00E144D0"/>
    <w:rsid w:val="00E1459E"/>
    <w:rsid w:val="00E145AB"/>
    <w:rsid w:val="00E147A1"/>
    <w:rsid w:val="00E147EC"/>
    <w:rsid w:val="00E14909"/>
    <w:rsid w:val="00E14924"/>
    <w:rsid w:val="00E1497B"/>
    <w:rsid w:val="00E14993"/>
    <w:rsid w:val="00E14A3C"/>
    <w:rsid w:val="00E14BA5"/>
    <w:rsid w:val="00E14C7E"/>
    <w:rsid w:val="00E14DC2"/>
    <w:rsid w:val="00E1505D"/>
    <w:rsid w:val="00E152FF"/>
    <w:rsid w:val="00E15431"/>
    <w:rsid w:val="00E15452"/>
    <w:rsid w:val="00E15655"/>
    <w:rsid w:val="00E156E1"/>
    <w:rsid w:val="00E158FA"/>
    <w:rsid w:val="00E159A7"/>
    <w:rsid w:val="00E15BCF"/>
    <w:rsid w:val="00E15BEF"/>
    <w:rsid w:val="00E15CB5"/>
    <w:rsid w:val="00E15CDF"/>
    <w:rsid w:val="00E15E32"/>
    <w:rsid w:val="00E162DB"/>
    <w:rsid w:val="00E16531"/>
    <w:rsid w:val="00E165E8"/>
    <w:rsid w:val="00E166DA"/>
    <w:rsid w:val="00E166ED"/>
    <w:rsid w:val="00E16AAC"/>
    <w:rsid w:val="00E16BAD"/>
    <w:rsid w:val="00E16C03"/>
    <w:rsid w:val="00E16DDD"/>
    <w:rsid w:val="00E16E05"/>
    <w:rsid w:val="00E16E1B"/>
    <w:rsid w:val="00E16F69"/>
    <w:rsid w:val="00E1706C"/>
    <w:rsid w:val="00E172F0"/>
    <w:rsid w:val="00E17344"/>
    <w:rsid w:val="00E17538"/>
    <w:rsid w:val="00E177EC"/>
    <w:rsid w:val="00E1790B"/>
    <w:rsid w:val="00E17987"/>
    <w:rsid w:val="00E1799C"/>
    <w:rsid w:val="00E17A25"/>
    <w:rsid w:val="00E17F51"/>
    <w:rsid w:val="00E17F72"/>
    <w:rsid w:val="00E20270"/>
    <w:rsid w:val="00E203A1"/>
    <w:rsid w:val="00E20534"/>
    <w:rsid w:val="00E20565"/>
    <w:rsid w:val="00E20702"/>
    <w:rsid w:val="00E208B3"/>
    <w:rsid w:val="00E208C4"/>
    <w:rsid w:val="00E208E2"/>
    <w:rsid w:val="00E209FC"/>
    <w:rsid w:val="00E20AEE"/>
    <w:rsid w:val="00E20AFC"/>
    <w:rsid w:val="00E20B39"/>
    <w:rsid w:val="00E20B64"/>
    <w:rsid w:val="00E20CD6"/>
    <w:rsid w:val="00E20D34"/>
    <w:rsid w:val="00E20F62"/>
    <w:rsid w:val="00E210E1"/>
    <w:rsid w:val="00E2133F"/>
    <w:rsid w:val="00E213CE"/>
    <w:rsid w:val="00E21465"/>
    <w:rsid w:val="00E21571"/>
    <w:rsid w:val="00E217D9"/>
    <w:rsid w:val="00E217EB"/>
    <w:rsid w:val="00E21A32"/>
    <w:rsid w:val="00E21B7A"/>
    <w:rsid w:val="00E21D23"/>
    <w:rsid w:val="00E21D66"/>
    <w:rsid w:val="00E21DCC"/>
    <w:rsid w:val="00E21E48"/>
    <w:rsid w:val="00E21F5E"/>
    <w:rsid w:val="00E2203A"/>
    <w:rsid w:val="00E221F7"/>
    <w:rsid w:val="00E22248"/>
    <w:rsid w:val="00E222FC"/>
    <w:rsid w:val="00E226E4"/>
    <w:rsid w:val="00E228EB"/>
    <w:rsid w:val="00E22A20"/>
    <w:rsid w:val="00E22A87"/>
    <w:rsid w:val="00E22BC1"/>
    <w:rsid w:val="00E22CD7"/>
    <w:rsid w:val="00E22DCA"/>
    <w:rsid w:val="00E22E2A"/>
    <w:rsid w:val="00E22F3A"/>
    <w:rsid w:val="00E2322B"/>
    <w:rsid w:val="00E2354F"/>
    <w:rsid w:val="00E235FE"/>
    <w:rsid w:val="00E23831"/>
    <w:rsid w:val="00E239F2"/>
    <w:rsid w:val="00E23B36"/>
    <w:rsid w:val="00E23B46"/>
    <w:rsid w:val="00E23B79"/>
    <w:rsid w:val="00E23C7C"/>
    <w:rsid w:val="00E23CE8"/>
    <w:rsid w:val="00E23E14"/>
    <w:rsid w:val="00E23E4A"/>
    <w:rsid w:val="00E23F95"/>
    <w:rsid w:val="00E23FA7"/>
    <w:rsid w:val="00E23FA8"/>
    <w:rsid w:val="00E24042"/>
    <w:rsid w:val="00E24128"/>
    <w:rsid w:val="00E24157"/>
    <w:rsid w:val="00E241C8"/>
    <w:rsid w:val="00E24392"/>
    <w:rsid w:val="00E24442"/>
    <w:rsid w:val="00E2449C"/>
    <w:rsid w:val="00E2451B"/>
    <w:rsid w:val="00E24720"/>
    <w:rsid w:val="00E247FB"/>
    <w:rsid w:val="00E24DAF"/>
    <w:rsid w:val="00E24E2C"/>
    <w:rsid w:val="00E25106"/>
    <w:rsid w:val="00E25195"/>
    <w:rsid w:val="00E251C7"/>
    <w:rsid w:val="00E251CD"/>
    <w:rsid w:val="00E252C9"/>
    <w:rsid w:val="00E2543B"/>
    <w:rsid w:val="00E2554F"/>
    <w:rsid w:val="00E2557B"/>
    <w:rsid w:val="00E256AC"/>
    <w:rsid w:val="00E257AF"/>
    <w:rsid w:val="00E25A4B"/>
    <w:rsid w:val="00E25A50"/>
    <w:rsid w:val="00E25B15"/>
    <w:rsid w:val="00E25B80"/>
    <w:rsid w:val="00E25C76"/>
    <w:rsid w:val="00E25FBC"/>
    <w:rsid w:val="00E26105"/>
    <w:rsid w:val="00E261D5"/>
    <w:rsid w:val="00E26255"/>
    <w:rsid w:val="00E262EF"/>
    <w:rsid w:val="00E26326"/>
    <w:rsid w:val="00E266E7"/>
    <w:rsid w:val="00E26C66"/>
    <w:rsid w:val="00E26C91"/>
    <w:rsid w:val="00E26CA9"/>
    <w:rsid w:val="00E26DAE"/>
    <w:rsid w:val="00E26E7D"/>
    <w:rsid w:val="00E26E9A"/>
    <w:rsid w:val="00E26EF3"/>
    <w:rsid w:val="00E26F41"/>
    <w:rsid w:val="00E26FBC"/>
    <w:rsid w:val="00E26FBE"/>
    <w:rsid w:val="00E26FFD"/>
    <w:rsid w:val="00E27252"/>
    <w:rsid w:val="00E27304"/>
    <w:rsid w:val="00E274F0"/>
    <w:rsid w:val="00E27521"/>
    <w:rsid w:val="00E2754B"/>
    <w:rsid w:val="00E2777D"/>
    <w:rsid w:val="00E277E1"/>
    <w:rsid w:val="00E27843"/>
    <w:rsid w:val="00E2794D"/>
    <w:rsid w:val="00E279A8"/>
    <w:rsid w:val="00E27A9B"/>
    <w:rsid w:val="00E27D84"/>
    <w:rsid w:val="00E27FCE"/>
    <w:rsid w:val="00E30045"/>
    <w:rsid w:val="00E3005B"/>
    <w:rsid w:val="00E300D5"/>
    <w:rsid w:val="00E3015E"/>
    <w:rsid w:val="00E3021D"/>
    <w:rsid w:val="00E3055D"/>
    <w:rsid w:val="00E3075D"/>
    <w:rsid w:val="00E307A5"/>
    <w:rsid w:val="00E30865"/>
    <w:rsid w:val="00E30916"/>
    <w:rsid w:val="00E3099D"/>
    <w:rsid w:val="00E309A5"/>
    <w:rsid w:val="00E30ABB"/>
    <w:rsid w:val="00E30B2E"/>
    <w:rsid w:val="00E30BF7"/>
    <w:rsid w:val="00E30DB8"/>
    <w:rsid w:val="00E30E9B"/>
    <w:rsid w:val="00E30EE3"/>
    <w:rsid w:val="00E3113F"/>
    <w:rsid w:val="00E31244"/>
    <w:rsid w:val="00E3128D"/>
    <w:rsid w:val="00E314E9"/>
    <w:rsid w:val="00E31526"/>
    <w:rsid w:val="00E31590"/>
    <w:rsid w:val="00E3160C"/>
    <w:rsid w:val="00E316D0"/>
    <w:rsid w:val="00E316FA"/>
    <w:rsid w:val="00E317D1"/>
    <w:rsid w:val="00E318D0"/>
    <w:rsid w:val="00E31A7F"/>
    <w:rsid w:val="00E31BBF"/>
    <w:rsid w:val="00E31C12"/>
    <w:rsid w:val="00E31D85"/>
    <w:rsid w:val="00E32217"/>
    <w:rsid w:val="00E32271"/>
    <w:rsid w:val="00E3296D"/>
    <w:rsid w:val="00E32982"/>
    <w:rsid w:val="00E32998"/>
    <w:rsid w:val="00E32A48"/>
    <w:rsid w:val="00E32B27"/>
    <w:rsid w:val="00E32C4C"/>
    <w:rsid w:val="00E32CD2"/>
    <w:rsid w:val="00E32DD6"/>
    <w:rsid w:val="00E32DF2"/>
    <w:rsid w:val="00E32ED3"/>
    <w:rsid w:val="00E32EFB"/>
    <w:rsid w:val="00E33088"/>
    <w:rsid w:val="00E33122"/>
    <w:rsid w:val="00E331FF"/>
    <w:rsid w:val="00E332C8"/>
    <w:rsid w:val="00E333C4"/>
    <w:rsid w:val="00E333E2"/>
    <w:rsid w:val="00E3344C"/>
    <w:rsid w:val="00E336C7"/>
    <w:rsid w:val="00E33B4C"/>
    <w:rsid w:val="00E33C28"/>
    <w:rsid w:val="00E33D8F"/>
    <w:rsid w:val="00E33E4D"/>
    <w:rsid w:val="00E33EE1"/>
    <w:rsid w:val="00E341FD"/>
    <w:rsid w:val="00E347AE"/>
    <w:rsid w:val="00E347D7"/>
    <w:rsid w:val="00E348B9"/>
    <w:rsid w:val="00E3496C"/>
    <w:rsid w:val="00E34B48"/>
    <w:rsid w:val="00E34D6D"/>
    <w:rsid w:val="00E34E2A"/>
    <w:rsid w:val="00E34F06"/>
    <w:rsid w:val="00E350DB"/>
    <w:rsid w:val="00E351C4"/>
    <w:rsid w:val="00E35370"/>
    <w:rsid w:val="00E3548B"/>
    <w:rsid w:val="00E354A7"/>
    <w:rsid w:val="00E355E3"/>
    <w:rsid w:val="00E356C1"/>
    <w:rsid w:val="00E35706"/>
    <w:rsid w:val="00E357D6"/>
    <w:rsid w:val="00E358C1"/>
    <w:rsid w:val="00E359F4"/>
    <w:rsid w:val="00E35AD8"/>
    <w:rsid w:val="00E36022"/>
    <w:rsid w:val="00E3604C"/>
    <w:rsid w:val="00E36167"/>
    <w:rsid w:val="00E36196"/>
    <w:rsid w:val="00E365A2"/>
    <w:rsid w:val="00E366EA"/>
    <w:rsid w:val="00E3674F"/>
    <w:rsid w:val="00E36A15"/>
    <w:rsid w:val="00E36B85"/>
    <w:rsid w:val="00E36CF3"/>
    <w:rsid w:val="00E36E82"/>
    <w:rsid w:val="00E36EBB"/>
    <w:rsid w:val="00E36F3F"/>
    <w:rsid w:val="00E370C4"/>
    <w:rsid w:val="00E374FB"/>
    <w:rsid w:val="00E37508"/>
    <w:rsid w:val="00E37587"/>
    <w:rsid w:val="00E375D1"/>
    <w:rsid w:val="00E375DB"/>
    <w:rsid w:val="00E3769B"/>
    <w:rsid w:val="00E37910"/>
    <w:rsid w:val="00E379EF"/>
    <w:rsid w:val="00E37C98"/>
    <w:rsid w:val="00E37DDB"/>
    <w:rsid w:val="00E37FB4"/>
    <w:rsid w:val="00E40279"/>
    <w:rsid w:val="00E4029A"/>
    <w:rsid w:val="00E40371"/>
    <w:rsid w:val="00E403E4"/>
    <w:rsid w:val="00E4056D"/>
    <w:rsid w:val="00E40829"/>
    <w:rsid w:val="00E40962"/>
    <w:rsid w:val="00E40B4B"/>
    <w:rsid w:val="00E40BD6"/>
    <w:rsid w:val="00E40D91"/>
    <w:rsid w:val="00E41018"/>
    <w:rsid w:val="00E4106E"/>
    <w:rsid w:val="00E410E7"/>
    <w:rsid w:val="00E4115E"/>
    <w:rsid w:val="00E41336"/>
    <w:rsid w:val="00E4136A"/>
    <w:rsid w:val="00E41445"/>
    <w:rsid w:val="00E4149A"/>
    <w:rsid w:val="00E414AD"/>
    <w:rsid w:val="00E41538"/>
    <w:rsid w:val="00E41724"/>
    <w:rsid w:val="00E4173C"/>
    <w:rsid w:val="00E41786"/>
    <w:rsid w:val="00E419FF"/>
    <w:rsid w:val="00E41A3D"/>
    <w:rsid w:val="00E41A5F"/>
    <w:rsid w:val="00E41BE3"/>
    <w:rsid w:val="00E41C06"/>
    <w:rsid w:val="00E41C2C"/>
    <w:rsid w:val="00E41D7B"/>
    <w:rsid w:val="00E41F20"/>
    <w:rsid w:val="00E42023"/>
    <w:rsid w:val="00E4210C"/>
    <w:rsid w:val="00E425EA"/>
    <w:rsid w:val="00E426BD"/>
    <w:rsid w:val="00E427A6"/>
    <w:rsid w:val="00E429B3"/>
    <w:rsid w:val="00E42A24"/>
    <w:rsid w:val="00E42A54"/>
    <w:rsid w:val="00E42B0F"/>
    <w:rsid w:val="00E42CB6"/>
    <w:rsid w:val="00E42D20"/>
    <w:rsid w:val="00E42EBD"/>
    <w:rsid w:val="00E43108"/>
    <w:rsid w:val="00E434B4"/>
    <w:rsid w:val="00E43906"/>
    <w:rsid w:val="00E439E0"/>
    <w:rsid w:val="00E439EC"/>
    <w:rsid w:val="00E43A34"/>
    <w:rsid w:val="00E43BDE"/>
    <w:rsid w:val="00E440C9"/>
    <w:rsid w:val="00E44203"/>
    <w:rsid w:val="00E443C7"/>
    <w:rsid w:val="00E44567"/>
    <w:rsid w:val="00E446BC"/>
    <w:rsid w:val="00E446DF"/>
    <w:rsid w:val="00E4481D"/>
    <w:rsid w:val="00E44997"/>
    <w:rsid w:val="00E44A16"/>
    <w:rsid w:val="00E44CE0"/>
    <w:rsid w:val="00E44D21"/>
    <w:rsid w:val="00E44D31"/>
    <w:rsid w:val="00E44DB8"/>
    <w:rsid w:val="00E44FB6"/>
    <w:rsid w:val="00E45557"/>
    <w:rsid w:val="00E455E4"/>
    <w:rsid w:val="00E45682"/>
    <w:rsid w:val="00E45707"/>
    <w:rsid w:val="00E45969"/>
    <w:rsid w:val="00E45AB3"/>
    <w:rsid w:val="00E45BB9"/>
    <w:rsid w:val="00E45BDC"/>
    <w:rsid w:val="00E45DAE"/>
    <w:rsid w:val="00E45E1F"/>
    <w:rsid w:val="00E46059"/>
    <w:rsid w:val="00E460C6"/>
    <w:rsid w:val="00E461BC"/>
    <w:rsid w:val="00E461EA"/>
    <w:rsid w:val="00E4637C"/>
    <w:rsid w:val="00E4663C"/>
    <w:rsid w:val="00E466EA"/>
    <w:rsid w:val="00E466FF"/>
    <w:rsid w:val="00E467D8"/>
    <w:rsid w:val="00E46849"/>
    <w:rsid w:val="00E46B1E"/>
    <w:rsid w:val="00E46CFD"/>
    <w:rsid w:val="00E47018"/>
    <w:rsid w:val="00E47082"/>
    <w:rsid w:val="00E47177"/>
    <w:rsid w:val="00E471D5"/>
    <w:rsid w:val="00E4736A"/>
    <w:rsid w:val="00E47399"/>
    <w:rsid w:val="00E474A5"/>
    <w:rsid w:val="00E474EC"/>
    <w:rsid w:val="00E47642"/>
    <w:rsid w:val="00E47A80"/>
    <w:rsid w:val="00E50157"/>
    <w:rsid w:val="00E50568"/>
    <w:rsid w:val="00E5078A"/>
    <w:rsid w:val="00E507FD"/>
    <w:rsid w:val="00E509AD"/>
    <w:rsid w:val="00E509C3"/>
    <w:rsid w:val="00E50A28"/>
    <w:rsid w:val="00E50A3A"/>
    <w:rsid w:val="00E50AE8"/>
    <w:rsid w:val="00E50BBB"/>
    <w:rsid w:val="00E50DA9"/>
    <w:rsid w:val="00E50EE2"/>
    <w:rsid w:val="00E50F9D"/>
    <w:rsid w:val="00E51084"/>
    <w:rsid w:val="00E51317"/>
    <w:rsid w:val="00E51612"/>
    <w:rsid w:val="00E5169D"/>
    <w:rsid w:val="00E517E2"/>
    <w:rsid w:val="00E51891"/>
    <w:rsid w:val="00E5195D"/>
    <w:rsid w:val="00E519DE"/>
    <w:rsid w:val="00E519F7"/>
    <w:rsid w:val="00E51C81"/>
    <w:rsid w:val="00E51D3C"/>
    <w:rsid w:val="00E51FDC"/>
    <w:rsid w:val="00E520CB"/>
    <w:rsid w:val="00E52530"/>
    <w:rsid w:val="00E52556"/>
    <w:rsid w:val="00E52803"/>
    <w:rsid w:val="00E52873"/>
    <w:rsid w:val="00E52F85"/>
    <w:rsid w:val="00E5302C"/>
    <w:rsid w:val="00E530BB"/>
    <w:rsid w:val="00E5311A"/>
    <w:rsid w:val="00E5319F"/>
    <w:rsid w:val="00E532EB"/>
    <w:rsid w:val="00E53375"/>
    <w:rsid w:val="00E53624"/>
    <w:rsid w:val="00E5365E"/>
    <w:rsid w:val="00E5374B"/>
    <w:rsid w:val="00E5380F"/>
    <w:rsid w:val="00E5382D"/>
    <w:rsid w:val="00E53907"/>
    <w:rsid w:val="00E5391D"/>
    <w:rsid w:val="00E53982"/>
    <w:rsid w:val="00E53A0F"/>
    <w:rsid w:val="00E53C31"/>
    <w:rsid w:val="00E53D64"/>
    <w:rsid w:val="00E53DF3"/>
    <w:rsid w:val="00E53E89"/>
    <w:rsid w:val="00E541DC"/>
    <w:rsid w:val="00E543FE"/>
    <w:rsid w:val="00E544FB"/>
    <w:rsid w:val="00E547BC"/>
    <w:rsid w:val="00E54935"/>
    <w:rsid w:val="00E549BB"/>
    <w:rsid w:val="00E54A2F"/>
    <w:rsid w:val="00E54A7A"/>
    <w:rsid w:val="00E54A84"/>
    <w:rsid w:val="00E54D44"/>
    <w:rsid w:val="00E54E39"/>
    <w:rsid w:val="00E5511B"/>
    <w:rsid w:val="00E551A4"/>
    <w:rsid w:val="00E55413"/>
    <w:rsid w:val="00E5544E"/>
    <w:rsid w:val="00E55476"/>
    <w:rsid w:val="00E55633"/>
    <w:rsid w:val="00E55831"/>
    <w:rsid w:val="00E55924"/>
    <w:rsid w:val="00E5596A"/>
    <w:rsid w:val="00E55BDE"/>
    <w:rsid w:val="00E55E1C"/>
    <w:rsid w:val="00E55E5D"/>
    <w:rsid w:val="00E55E62"/>
    <w:rsid w:val="00E56077"/>
    <w:rsid w:val="00E563A5"/>
    <w:rsid w:val="00E5658C"/>
    <w:rsid w:val="00E56590"/>
    <w:rsid w:val="00E565C0"/>
    <w:rsid w:val="00E565C5"/>
    <w:rsid w:val="00E56A2B"/>
    <w:rsid w:val="00E56C24"/>
    <w:rsid w:val="00E56D3F"/>
    <w:rsid w:val="00E56D5F"/>
    <w:rsid w:val="00E56E61"/>
    <w:rsid w:val="00E56F2B"/>
    <w:rsid w:val="00E5718E"/>
    <w:rsid w:val="00E5720C"/>
    <w:rsid w:val="00E57223"/>
    <w:rsid w:val="00E5737E"/>
    <w:rsid w:val="00E5738B"/>
    <w:rsid w:val="00E5741C"/>
    <w:rsid w:val="00E5768D"/>
    <w:rsid w:val="00E57703"/>
    <w:rsid w:val="00E57902"/>
    <w:rsid w:val="00E57937"/>
    <w:rsid w:val="00E57B21"/>
    <w:rsid w:val="00E57B37"/>
    <w:rsid w:val="00E57DCC"/>
    <w:rsid w:val="00E57FA1"/>
    <w:rsid w:val="00E5948B"/>
    <w:rsid w:val="00E601EB"/>
    <w:rsid w:val="00E602E4"/>
    <w:rsid w:val="00E60419"/>
    <w:rsid w:val="00E60470"/>
    <w:rsid w:val="00E60882"/>
    <w:rsid w:val="00E6096F"/>
    <w:rsid w:val="00E60C88"/>
    <w:rsid w:val="00E60CF9"/>
    <w:rsid w:val="00E60EC5"/>
    <w:rsid w:val="00E60ED8"/>
    <w:rsid w:val="00E60F58"/>
    <w:rsid w:val="00E6109A"/>
    <w:rsid w:val="00E61111"/>
    <w:rsid w:val="00E61299"/>
    <w:rsid w:val="00E61358"/>
    <w:rsid w:val="00E61955"/>
    <w:rsid w:val="00E61A06"/>
    <w:rsid w:val="00E61A86"/>
    <w:rsid w:val="00E61C28"/>
    <w:rsid w:val="00E61DC5"/>
    <w:rsid w:val="00E61E72"/>
    <w:rsid w:val="00E61FAA"/>
    <w:rsid w:val="00E62041"/>
    <w:rsid w:val="00E62088"/>
    <w:rsid w:val="00E622B4"/>
    <w:rsid w:val="00E62325"/>
    <w:rsid w:val="00E6261A"/>
    <w:rsid w:val="00E627F7"/>
    <w:rsid w:val="00E62B3D"/>
    <w:rsid w:val="00E62BDF"/>
    <w:rsid w:val="00E62F52"/>
    <w:rsid w:val="00E6326C"/>
    <w:rsid w:val="00E63312"/>
    <w:rsid w:val="00E633DE"/>
    <w:rsid w:val="00E63414"/>
    <w:rsid w:val="00E63589"/>
    <w:rsid w:val="00E6368F"/>
    <w:rsid w:val="00E63798"/>
    <w:rsid w:val="00E639A0"/>
    <w:rsid w:val="00E63A86"/>
    <w:rsid w:val="00E63BE6"/>
    <w:rsid w:val="00E63C97"/>
    <w:rsid w:val="00E63E1D"/>
    <w:rsid w:val="00E63F7A"/>
    <w:rsid w:val="00E6412A"/>
    <w:rsid w:val="00E6431B"/>
    <w:rsid w:val="00E64393"/>
    <w:rsid w:val="00E64436"/>
    <w:rsid w:val="00E6451B"/>
    <w:rsid w:val="00E64566"/>
    <w:rsid w:val="00E64792"/>
    <w:rsid w:val="00E6490E"/>
    <w:rsid w:val="00E64941"/>
    <w:rsid w:val="00E64BBD"/>
    <w:rsid w:val="00E64BCC"/>
    <w:rsid w:val="00E64C18"/>
    <w:rsid w:val="00E64E2A"/>
    <w:rsid w:val="00E64EF9"/>
    <w:rsid w:val="00E65031"/>
    <w:rsid w:val="00E651AA"/>
    <w:rsid w:val="00E651AB"/>
    <w:rsid w:val="00E6528A"/>
    <w:rsid w:val="00E6548A"/>
    <w:rsid w:val="00E6560A"/>
    <w:rsid w:val="00E6573D"/>
    <w:rsid w:val="00E6593C"/>
    <w:rsid w:val="00E65A45"/>
    <w:rsid w:val="00E65B78"/>
    <w:rsid w:val="00E65D84"/>
    <w:rsid w:val="00E65E08"/>
    <w:rsid w:val="00E65E99"/>
    <w:rsid w:val="00E65F46"/>
    <w:rsid w:val="00E66164"/>
    <w:rsid w:val="00E661BE"/>
    <w:rsid w:val="00E662B4"/>
    <w:rsid w:val="00E662E1"/>
    <w:rsid w:val="00E6663F"/>
    <w:rsid w:val="00E666C5"/>
    <w:rsid w:val="00E66717"/>
    <w:rsid w:val="00E66727"/>
    <w:rsid w:val="00E6682A"/>
    <w:rsid w:val="00E66978"/>
    <w:rsid w:val="00E669AC"/>
    <w:rsid w:val="00E66A17"/>
    <w:rsid w:val="00E66AB4"/>
    <w:rsid w:val="00E66B8F"/>
    <w:rsid w:val="00E66BA2"/>
    <w:rsid w:val="00E66BD7"/>
    <w:rsid w:val="00E66C55"/>
    <w:rsid w:val="00E66DC6"/>
    <w:rsid w:val="00E66EDC"/>
    <w:rsid w:val="00E66FDF"/>
    <w:rsid w:val="00E66FF8"/>
    <w:rsid w:val="00E671CA"/>
    <w:rsid w:val="00E671F4"/>
    <w:rsid w:val="00E6724E"/>
    <w:rsid w:val="00E67375"/>
    <w:rsid w:val="00E6737C"/>
    <w:rsid w:val="00E673CB"/>
    <w:rsid w:val="00E6752F"/>
    <w:rsid w:val="00E67597"/>
    <w:rsid w:val="00E676B2"/>
    <w:rsid w:val="00E677A7"/>
    <w:rsid w:val="00E677AC"/>
    <w:rsid w:val="00E6787F"/>
    <w:rsid w:val="00E679CA"/>
    <w:rsid w:val="00E67A11"/>
    <w:rsid w:val="00E67B1C"/>
    <w:rsid w:val="00E67D3F"/>
    <w:rsid w:val="00E67DC6"/>
    <w:rsid w:val="00E67F3B"/>
    <w:rsid w:val="00E70124"/>
    <w:rsid w:val="00E7026A"/>
    <w:rsid w:val="00E7040E"/>
    <w:rsid w:val="00E7041F"/>
    <w:rsid w:val="00E70494"/>
    <w:rsid w:val="00E70BF4"/>
    <w:rsid w:val="00E70C1A"/>
    <w:rsid w:val="00E70C25"/>
    <w:rsid w:val="00E70E9C"/>
    <w:rsid w:val="00E710CA"/>
    <w:rsid w:val="00E71126"/>
    <w:rsid w:val="00E71466"/>
    <w:rsid w:val="00E71656"/>
    <w:rsid w:val="00E71735"/>
    <w:rsid w:val="00E71AFF"/>
    <w:rsid w:val="00E71ED2"/>
    <w:rsid w:val="00E726AF"/>
    <w:rsid w:val="00E727E9"/>
    <w:rsid w:val="00E72A1A"/>
    <w:rsid w:val="00E72A8C"/>
    <w:rsid w:val="00E72A99"/>
    <w:rsid w:val="00E72AA1"/>
    <w:rsid w:val="00E72C3D"/>
    <w:rsid w:val="00E72EAC"/>
    <w:rsid w:val="00E72F15"/>
    <w:rsid w:val="00E73002"/>
    <w:rsid w:val="00E7301F"/>
    <w:rsid w:val="00E73169"/>
    <w:rsid w:val="00E732B3"/>
    <w:rsid w:val="00E732EE"/>
    <w:rsid w:val="00E7346E"/>
    <w:rsid w:val="00E7347F"/>
    <w:rsid w:val="00E73545"/>
    <w:rsid w:val="00E7354A"/>
    <w:rsid w:val="00E73567"/>
    <w:rsid w:val="00E73677"/>
    <w:rsid w:val="00E737D6"/>
    <w:rsid w:val="00E73930"/>
    <w:rsid w:val="00E73936"/>
    <w:rsid w:val="00E73971"/>
    <w:rsid w:val="00E73F2C"/>
    <w:rsid w:val="00E73F83"/>
    <w:rsid w:val="00E73F9E"/>
    <w:rsid w:val="00E74024"/>
    <w:rsid w:val="00E7403B"/>
    <w:rsid w:val="00E74070"/>
    <w:rsid w:val="00E74167"/>
    <w:rsid w:val="00E74381"/>
    <w:rsid w:val="00E74425"/>
    <w:rsid w:val="00E7444C"/>
    <w:rsid w:val="00E746F3"/>
    <w:rsid w:val="00E746F7"/>
    <w:rsid w:val="00E74872"/>
    <w:rsid w:val="00E749EE"/>
    <w:rsid w:val="00E74A8E"/>
    <w:rsid w:val="00E74ABE"/>
    <w:rsid w:val="00E74AF6"/>
    <w:rsid w:val="00E74BD7"/>
    <w:rsid w:val="00E74D0B"/>
    <w:rsid w:val="00E74EAA"/>
    <w:rsid w:val="00E74F85"/>
    <w:rsid w:val="00E75004"/>
    <w:rsid w:val="00E7525F"/>
    <w:rsid w:val="00E75685"/>
    <w:rsid w:val="00E756FC"/>
    <w:rsid w:val="00E758B8"/>
    <w:rsid w:val="00E759A0"/>
    <w:rsid w:val="00E75AA2"/>
    <w:rsid w:val="00E75B15"/>
    <w:rsid w:val="00E75BF5"/>
    <w:rsid w:val="00E75C77"/>
    <w:rsid w:val="00E75E00"/>
    <w:rsid w:val="00E75F8F"/>
    <w:rsid w:val="00E76062"/>
    <w:rsid w:val="00E7625B"/>
    <w:rsid w:val="00E7626A"/>
    <w:rsid w:val="00E7634F"/>
    <w:rsid w:val="00E76391"/>
    <w:rsid w:val="00E76577"/>
    <w:rsid w:val="00E765CA"/>
    <w:rsid w:val="00E765E0"/>
    <w:rsid w:val="00E765E5"/>
    <w:rsid w:val="00E76963"/>
    <w:rsid w:val="00E76AAD"/>
    <w:rsid w:val="00E76B14"/>
    <w:rsid w:val="00E76C2A"/>
    <w:rsid w:val="00E76E08"/>
    <w:rsid w:val="00E76F2D"/>
    <w:rsid w:val="00E76FC7"/>
    <w:rsid w:val="00E770BF"/>
    <w:rsid w:val="00E7719D"/>
    <w:rsid w:val="00E77378"/>
    <w:rsid w:val="00E7743A"/>
    <w:rsid w:val="00E77600"/>
    <w:rsid w:val="00E7777F"/>
    <w:rsid w:val="00E777A6"/>
    <w:rsid w:val="00E777C7"/>
    <w:rsid w:val="00E779FC"/>
    <w:rsid w:val="00E77C15"/>
    <w:rsid w:val="00E77C7A"/>
    <w:rsid w:val="00E77D4D"/>
    <w:rsid w:val="00E77D58"/>
    <w:rsid w:val="00E77E6C"/>
    <w:rsid w:val="00E802DC"/>
    <w:rsid w:val="00E803E8"/>
    <w:rsid w:val="00E80565"/>
    <w:rsid w:val="00E80595"/>
    <w:rsid w:val="00E80693"/>
    <w:rsid w:val="00E807B1"/>
    <w:rsid w:val="00E80855"/>
    <w:rsid w:val="00E8098A"/>
    <w:rsid w:val="00E80AD1"/>
    <w:rsid w:val="00E80B05"/>
    <w:rsid w:val="00E80B3C"/>
    <w:rsid w:val="00E80C05"/>
    <w:rsid w:val="00E80D50"/>
    <w:rsid w:val="00E8101B"/>
    <w:rsid w:val="00E81174"/>
    <w:rsid w:val="00E8126C"/>
    <w:rsid w:val="00E8128A"/>
    <w:rsid w:val="00E815A9"/>
    <w:rsid w:val="00E81607"/>
    <w:rsid w:val="00E8165B"/>
    <w:rsid w:val="00E816A7"/>
    <w:rsid w:val="00E81723"/>
    <w:rsid w:val="00E817E7"/>
    <w:rsid w:val="00E818A9"/>
    <w:rsid w:val="00E81961"/>
    <w:rsid w:val="00E81AF3"/>
    <w:rsid w:val="00E81B57"/>
    <w:rsid w:val="00E81D47"/>
    <w:rsid w:val="00E81D95"/>
    <w:rsid w:val="00E81EB8"/>
    <w:rsid w:val="00E81F23"/>
    <w:rsid w:val="00E82384"/>
    <w:rsid w:val="00E8239F"/>
    <w:rsid w:val="00E82467"/>
    <w:rsid w:val="00E82481"/>
    <w:rsid w:val="00E827DA"/>
    <w:rsid w:val="00E82812"/>
    <w:rsid w:val="00E830F3"/>
    <w:rsid w:val="00E8311B"/>
    <w:rsid w:val="00E833EA"/>
    <w:rsid w:val="00E83420"/>
    <w:rsid w:val="00E83455"/>
    <w:rsid w:val="00E8348F"/>
    <w:rsid w:val="00E83705"/>
    <w:rsid w:val="00E8372C"/>
    <w:rsid w:val="00E837CE"/>
    <w:rsid w:val="00E83C81"/>
    <w:rsid w:val="00E83E23"/>
    <w:rsid w:val="00E83ECF"/>
    <w:rsid w:val="00E842B7"/>
    <w:rsid w:val="00E843F7"/>
    <w:rsid w:val="00E84698"/>
    <w:rsid w:val="00E846D2"/>
    <w:rsid w:val="00E848D8"/>
    <w:rsid w:val="00E84B17"/>
    <w:rsid w:val="00E84B62"/>
    <w:rsid w:val="00E84B97"/>
    <w:rsid w:val="00E84BF4"/>
    <w:rsid w:val="00E84D47"/>
    <w:rsid w:val="00E84E24"/>
    <w:rsid w:val="00E84E50"/>
    <w:rsid w:val="00E84E8D"/>
    <w:rsid w:val="00E84EB3"/>
    <w:rsid w:val="00E8508F"/>
    <w:rsid w:val="00E85389"/>
    <w:rsid w:val="00E855DF"/>
    <w:rsid w:val="00E85723"/>
    <w:rsid w:val="00E858C3"/>
    <w:rsid w:val="00E858F0"/>
    <w:rsid w:val="00E859A1"/>
    <w:rsid w:val="00E85C82"/>
    <w:rsid w:val="00E85FB2"/>
    <w:rsid w:val="00E86104"/>
    <w:rsid w:val="00E86142"/>
    <w:rsid w:val="00E8615E"/>
    <w:rsid w:val="00E861B2"/>
    <w:rsid w:val="00E862EB"/>
    <w:rsid w:val="00E8633D"/>
    <w:rsid w:val="00E86377"/>
    <w:rsid w:val="00E86379"/>
    <w:rsid w:val="00E8637F"/>
    <w:rsid w:val="00E86892"/>
    <w:rsid w:val="00E8693D"/>
    <w:rsid w:val="00E86BF4"/>
    <w:rsid w:val="00E86C87"/>
    <w:rsid w:val="00E86CE7"/>
    <w:rsid w:val="00E86D5B"/>
    <w:rsid w:val="00E86E25"/>
    <w:rsid w:val="00E86E75"/>
    <w:rsid w:val="00E86ED5"/>
    <w:rsid w:val="00E86EF7"/>
    <w:rsid w:val="00E870A9"/>
    <w:rsid w:val="00E871F0"/>
    <w:rsid w:val="00E8727C"/>
    <w:rsid w:val="00E87775"/>
    <w:rsid w:val="00E87940"/>
    <w:rsid w:val="00E8799A"/>
    <w:rsid w:val="00E879E2"/>
    <w:rsid w:val="00E87B87"/>
    <w:rsid w:val="00E87C82"/>
    <w:rsid w:val="00E87D37"/>
    <w:rsid w:val="00E87D6F"/>
    <w:rsid w:val="00E90222"/>
    <w:rsid w:val="00E90242"/>
    <w:rsid w:val="00E90312"/>
    <w:rsid w:val="00E90332"/>
    <w:rsid w:val="00E9037C"/>
    <w:rsid w:val="00E90517"/>
    <w:rsid w:val="00E90525"/>
    <w:rsid w:val="00E90552"/>
    <w:rsid w:val="00E90604"/>
    <w:rsid w:val="00E90662"/>
    <w:rsid w:val="00E90712"/>
    <w:rsid w:val="00E90855"/>
    <w:rsid w:val="00E908A8"/>
    <w:rsid w:val="00E90BA3"/>
    <w:rsid w:val="00E91042"/>
    <w:rsid w:val="00E91049"/>
    <w:rsid w:val="00E91117"/>
    <w:rsid w:val="00E914FB"/>
    <w:rsid w:val="00E91587"/>
    <w:rsid w:val="00E9165A"/>
    <w:rsid w:val="00E91935"/>
    <w:rsid w:val="00E91947"/>
    <w:rsid w:val="00E91F31"/>
    <w:rsid w:val="00E92094"/>
    <w:rsid w:val="00E920B3"/>
    <w:rsid w:val="00E920CD"/>
    <w:rsid w:val="00E92138"/>
    <w:rsid w:val="00E92377"/>
    <w:rsid w:val="00E927EC"/>
    <w:rsid w:val="00E92C4F"/>
    <w:rsid w:val="00E92C62"/>
    <w:rsid w:val="00E92E95"/>
    <w:rsid w:val="00E930DF"/>
    <w:rsid w:val="00E932AE"/>
    <w:rsid w:val="00E933CD"/>
    <w:rsid w:val="00E934F6"/>
    <w:rsid w:val="00E93530"/>
    <w:rsid w:val="00E93564"/>
    <w:rsid w:val="00E9359E"/>
    <w:rsid w:val="00E9363F"/>
    <w:rsid w:val="00E93A92"/>
    <w:rsid w:val="00E93CC2"/>
    <w:rsid w:val="00E93CCB"/>
    <w:rsid w:val="00E93CDA"/>
    <w:rsid w:val="00E93D6B"/>
    <w:rsid w:val="00E93D79"/>
    <w:rsid w:val="00E93E33"/>
    <w:rsid w:val="00E9425B"/>
    <w:rsid w:val="00E94826"/>
    <w:rsid w:val="00E9494C"/>
    <w:rsid w:val="00E949A9"/>
    <w:rsid w:val="00E94CF9"/>
    <w:rsid w:val="00E94D32"/>
    <w:rsid w:val="00E94D3A"/>
    <w:rsid w:val="00E94F21"/>
    <w:rsid w:val="00E9502C"/>
    <w:rsid w:val="00E9505F"/>
    <w:rsid w:val="00E950EE"/>
    <w:rsid w:val="00E9533E"/>
    <w:rsid w:val="00E9574B"/>
    <w:rsid w:val="00E9579A"/>
    <w:rsid w:val="00E95B3B"/>
    <w:rsid w:val="00E95C89"/>
    <w:rsid w:val="00E95D43"/>
    <w:rsid w:val="00E95D4B"/>
    <w:rsid w:val="00E95D96"/>
    <w:rsid w:val="00E95DB6"/>
    <w:rsid w:val="00E95E88"/>
    <w:rsid w:val="00E96276"/>
    <w:rsid w:val="00E9637A"/>
    <w:rsid w:val="00E963DC"/>
    <w:rsid w:val="00E96459"/>
    <w:rsid w:val="00E964CF"/>
    <w:rsid w:val="00E965AC"/>
    <w:rsid w:val="00E965CF"/>
    <w:rsid w:val="00E966B5"/>
    <w:rsid w:val="00E9673A"/>
    <w:rsid w:val="00E96910"/>
    <w:rsid w:val="00E96D0C"/>
    <w:rsid w:val="00E96DB0"/>
    <w:rsid w:val="00E96F00"/>
    <w:rsid w:val="00E96F8A"/>
    <w:rsid w:val="00E9718E"/>
    <w:rsid w:val="00E97351"/>
    <w:rsid w:val="00E9739F"/>
    <w:rsid w:val="00E975C6"/>
    <w:rsid w:val="00E976BE"/>
    <w:rsid w:val="00E97736"/>
    <w:rsid w:val="00E9779D"/>
    <w:rsid w:val="00E97A93"/>
    <w:rsid w:val="00E97AAF"/>
    <w:rsid w:val="00E97C38"/>
    <w:rsid w:val="00E97E1C"/>
    <w:rsid w:val="00EA021D"/>
    <w:rsid w:val="00EA032D"/>
    <w:rsid w:val="00EA04C9"/>
    <w:rsid w:val="00EA0520"/>
    <w:rsid w:val="00EA058B"/>
    <w:rsid w:val="00EA068D"/>
    <w:rsid w:val="00EA0B99"/>
    <w:rsid w:val="00EA0CB7"/>
    <w:rsid w:val="00EA0D3B"/>
    <w:rsid w:val="00EA0D5A"/>
    <w:rsid w:val="00EA0DA3"/>
    <w:rsid w:val="00EA103E"/>
    <w:rsid w:val="00EA1157"/>
    <w:rsid w:val="00EA12E8"/>
    <w:rsid w:val="00EA15EB"/>
    <w:rsid w:val="00EA1707"/>
    <w:rsid w:val="00EA18C0"/>
    <w:rsid w:val="00EA1A0A"/>
    <w:rsid w:val="00EA1B0C"/>
    <w:rsid w:val="00EA1DBE"/>
    <w:rsid w:val="00EA1E8C"/>
    <w:rsid w:val="00EA224E"/>
    <w:rsid w:val="00EA2356"/>
    <w:rsid w:val="00EA2A95"/>
    <w:rsid w:val="00EA2BD2"/>
    <w:rsid w:val="00EA2C0B"/>
    <w:rsid w:val="00EA2D02"/>
    <w:rsid w:val="00EA2F06"/>
    <w:rsid w:val="00EA2F9D"/>
    <w:rsid w:val="00EA2FBA"/>
    <w:rsid w:val="00EA3114"/>
    <w:rsid w:val="00EA3273"/>
    <w:rsid w:val="00EA3305"/>
    <w:rsid w:val="00EA341F"/>
    <w:rsid w:val="00EA3444"/>
    <w:rsid w:val="00EA349B"/>
    <w:rsid w:val="00EA34C1"/>
    <w:rsid w:val="00EA3611"/>
    <w:rsid w:val="00EA3628"/>
    <w:rsid w:val="00EA36DB"/>
    <w:rsid w:val="00EA37C4"/>
    <w:rsid w:val="00EA3899"/>
    <w:rsid w:val="00EA3A72"/>
    <w:rsid w:val="00EA3AEA"/>
    <w:rsid w:val="00EA3CB2"/>
    <w:rsid w:val="00EA3EB3"/>
    <w:rsid w:val="00EA3F52"/>
    <w:rsid w:val="00EA4150"/>
    <w:rsid w:val="00EA4151"/>
    <w:rsid w:val="00EA4195"/>
    <w:rsid w:val="00EA41FE"/>
    <w:rsid w:val="00EA432D"/>
    <w:rsid w:val="00EA4513"/>
    <w:rsid w:val="00EA476B"/>
    <w:rsid w:val="00EA476C"/>
    <w:rsid w:val="00EA4831"/>
    <w:rsid w:val="00EA4A60"/>
    <w:rsid w:val="00EA4AAB"/>
    <w:rsid w:val="00EA4F7A"/>
    <w:rsid w:val="00EA4FF2"/>
    <w:rsid w:val="00EA5052"/>
    <w:rsid w:val="00EA5200"/>
    <w:rsid w:val="00EA53D1"/>
    <w:rsid w:val="00EA574E"/>
    <w:rsid w:val="00EA58B3"/>
    <w:rsid w:val="00EA59EE"/>
    <w:rsid w:val="00EA5A34"/>
    <w:rsid w:val="00EA5A81"/>
    <w:rsid w:val="00EA5C0F"/>
    <w:rsid w:val="00EA5C63"/>
    <w:rsid w:val="00EA5D52"/>
    <w:rsid w:val="00EA5DB9"/>
    <w:rsid w:val="00EA5F4A"/>
    <w:rsid w:val="00EA612B"/>
    <w:rsid w:val="00EA627E"/>
    <w:rsid w:val="00EA638F"/>
    <w:rsid w:val="00EA656B"/>
    <w:rsid w:val="00EA6588"/>
    <w:rsid w:val="00EA6685"/>
    <w:rsid w:val="00EA6752"/>
    <w:rsid w:val="00EA680E"/>
    <w:rsid w:val="00EA683E"/>
    <w:rsid w:val="00EA69CF"/>
    <w:rsid w:val="00EA69D1"/>
    <w:rsid w:val="00EA6AD2"/>
    <w:rsid w:val="00EA6B17"/>
    <w:rsid w:val="00EA6C3D"/>
    <w:rsid w:val="00EA6CA2"/>
    <w:rsid w:val="00EA6E58"/>
    <w:rsid w:val="00EA6F59"/>
    <w:rsid w:val="00EA6FE3"/>
    <w:rsid w:val="00EA70E8"/>
    <w:rsid w:val="00EA72DF"/>
    <w:rsid w:val="00EA730B"/>
    <w:rsid w:val="00EA73FF"/>
    <w:rsid w:val="00EA7474"/>
    <w:rsid w:val="00EA74F7"/>
    <w:rsid w:val="00EA7868"/>
    <w:rsid w:val="00EA78C2"/>
    <w:rsid w:val="00EA79E8"/>
    <w:rsid w:val="00EA7A67"/>
    <w:rsid w:val="00EA7DB1"/>
    <w:rsid w:val="00EA7EEB"/>
    <w:rsid w:val="00EB02D9"/>
    <w:rsid w:val="00EB0308"/>
    <w:rsid w:val="00EB0370"/>
    <w:rsid w:val="00EB05AD"/>
    <w:rsid w:val="00EB06F0"/>
    <w:rsid w:val="00EB07A2"/>
    <w:rsid w:val="00EB07AF"/>
    <w:rsid w:val="00EB0810"/>
    <w:rsid w:val="00EB082A"/>
    <w:rsid w:val="00EB0A24"/>
    <w:rsid w:val="00EB0D6F"/>
    <w:rsid w:val="00EB0E78"/>
    <w:rsid w:val="00EB0EC5"/>
    <w:rsid w:val="00EB0EFE"/>
    <w:rsid w:val="00EB0F51"/>
    <w:rsid w:val="00EB104A"/>
    <w:rsid w:val="00EB10FC"/>
    <w:rsid w:val="00EB11E1"/>
    <w:rsid w:val="00EB1354"/>
    <w:rsid w:val="00EB1685"/>
    <w:rsid w:val="00EB17DD"/>
    <w:rsid w:val="00EB17FE"/>
    <w:rsid w:val="00EB189F"/>
    <w:rsid w:val="00EB1A4E"/>
    <w:rsid w:val="00EB1AF8"/>
    <w:rsid w:val="00EB1BB5"/>
    <w:rsid w:val="00EB1C01"/>
    <w:rsid w:val="00EB1CD4"/>
    <w:rsid w:val="00EB1DBE"/>
    <w:rsid w:val="00EB1F57"/>
    <w:rsid w:val="00EB250B"/>
    <w:rsid w:val="00EB25F4"/>
    <w:rsid w:val="00EB268B"/>
    <w:rsid w:val="00EB26A9"/>
    <w:rsid w:val="00EB2BB7"/>
    <w:rsid w:val="00EB2C03"/>
    <w:rsid w:val="00EB2CA5"/>
    <w:rsid w:val="00EB300D"/>
    <w:rsid w:val="00EB3184"/>
    <w:rsid w:val="00EB3205"/>
    <w:rsid w:val="00EB3280"/>
    <w:rsid w:val="00EB32F6"/>
    <w:rsid w:val="00EB3356"/>
    <w:rsid w:val="00EB3449"/>
    <w:rsid w:val="00EB360E"/>
    <w:rsid w:val="00EB3653"/>
    <w:rsid w:val="00EB37DE"/>
    <w:rsid w:val="00EB3858"/>
    <w:rsid w:val="00EB393F"/>
    <w:rsid w:val="00EB3957"/>
    <w:rsid w:val="00EB39AC"/>
    <w:rsid w:val="00EB3BC2"/>
    <w:rsid w:val="00EB3BE4"/>
    <w:rsid w:val="00EB3C7F"/>
    <w:rsid w:val="00EB3CD3"/>
    <w:rsid w:val="00EB3D4D"/>
    <w:rsid w:val="00EB3D7F"/>
    <w:rsid w:val="00EB3DC2"/>
    <w:rsid w:val="00EB3F10"/>
    <w:rsid w:val="00EB4100"/>
    <w:rsid w:val="00EB41B4"/>
    <w:rsid w:val="00EB43EA"/>
    <w:rsid w:val="00EB44EA"/>
    <w:rsid w:val="00EB44F2"/>
    <w:rsid w:val="00EB491F"/>
    <w:rsid w:val="00EB4A2B"/>
    <w:rsid w:val="00EB4B20"/>
    <w:rsid w:val="00EB4BDF"/>
    <w:rsid w:val="00EB5001"/>
    <w:rsid w:val="00EB5093"/>
    <w:rsid w:val="00EB51EB"/>
    <w:rsid w:val="00EB5253"/>
    <w:rsid w:val="00EB52A7"/>
    <w:rsid w:val="00EB52BC"/>
    <w:rsid w:val="00EB5555"/>
    <w:rsid w:val="00EB582F"/>
    <w:rsid w:val="00EB5857"/>
    <w:rsid w:val="00EB58FB"/>
    <w:rsid w:val="00EB59D2"/>
    <w:rsid w:val="00EB5AC6"/>
    <w:rsid w:val="00EB5BA3"/>
    <w:rsid w:val="00EB5C8D"/>
    <w:rsid w:val="00EB5D04"/>
    <w:rsid w:val="00EB6042"/>
    <w:rsid w:val="00EB6184"/>
    <w:rsid w:val="00EB63C5"/>
    <w:rsid w:val="00EB63E7"/>
    <w:rsid w:val="00EB6471"/>
    <w:rsid w:val="00EB6612"/>
    <w:rsid w:val="00EB66FA"/>
    <w:rsid w:val="00EB68FC"/>
    <w:rsid w:val="00EB6B4D"/>
    <w:rsid w:val="00EB6D6C"/>
    <w:rsid w:val="00EB6E16"/>
    <w:rsid w:val="00EB6E1A"/>
    <w:rsid w:val="00EB6FE9"/>
    <w:rsid w:val="00EB7117"/>
    <w:rsid w:val="00EB72C9"/>
    <w:rsid w:val="00EB7352"/>
    <w:rsid w:val="00EB73C7"/>
    <w:rsid w:val="00EB7538"/>
    <w:rsid w:val="00EB7627"/>
    <w:rsid w:val="00EB7649"/>
    <w:rsid w:val="00EB7E3E"/>
    <w:rsid w:val="00EB7E7C"/>
    <w:rsid w:val="00EB7EB3"/>
    <w:rsid w:val="00EB7EE0"/>
    <w:rsid w:val="00EB7EE6"/>
    <w:rsid w:val="00EB7F8A"/>
    <w:rsid w:val="00EB7FFD"/>
    <w:rsid w:val="00EB8217"/>
    <w:rsid w:val="00EC0306"/>
    <w:rsid w:val="00EC0431"/>
    <w:rsid w:val="00EC07F7"/>
    <w:rsid w:val="00EC0872"/>
    <w:rsid w:val="00EC0876"/>
    <w:rsid w:val="00EC0997"/>
    <w:rsid w:val="00EC0CC1"/>
    <w:rsid w:val="00EC0E6C"/>
    <w:rsid w:val="00EC0FBC"/>
    <w:rsid w:val="00EC0FD7"/>
    <w:rsid w:val="00EC10AB"/>
    <w:rsid w:val="00EC1186"/>
    <w:rsid w:val="00EC11F6"/>
    <w:rsid w:val="00EC1275"/>
    <w:rsid w:val="00EC12BA"/>
    <w:rsid w:val="00EC12F0"/>
    <w:rsid w:val="00EC141F"/>
    <w:rsid w:val="00EC14BD"/>
    <w:rsid w:val="00EC151C"/>
    <w:rsid w:val="00EC15F0"/>
    <w:rsid w:val="00EC168C"/>
    <w:rsid w:val="00EC172E"/>
    <w:rsid w:val="00EC1D43"/>
    <w:rsid w:val="00EC1DAD"/>
    <w:rsid w:val="00EC1DC5"/>
    <w:rsid w:val="00EC1F76"/>
    <w:rsid w:val="00EC1F9E"/>
    <w:rsid w:val="00EC2019"/>
    <w:rsid w:val="00EC204D"/>
    <w:rsid w:val="00EC210E"/>
    <w:rsid w:val="00EC2129"/>
    <w:rsid w:val="00EC23CB"/>
    <w:rsid w:val="00EC242F"/>
    <w:rsid w:val="00EC245E"/>
    <w:rsid w:val="00EC257F"/>
    <w:rsid w:val="00EC263B"/>
    <w:rsid w:val="00EC26E1"/>
    <w:rsid w:val="00EC2B9E"/>
    <w:rsid w:val="00EC3070"/>
    <w:rsid w:val="00EC31DD"/>
    <w:rsid w:val="00EC320A"/>
    <w:rsid w:val="00EC32F4"/>
    <w:rsid w:val="00EC33CE"/>
    <w:rsid w:val="00EC3807"/>
    <w:rsid w:val="00EC3893"/>
    <w:rsid w:val="00EC3A8D"/>
    <w:rsid w:val="00EC3B2E"/>
    <w:rsid w:val="00EC3B5F"/>
    <w:rsid w:val="00EC3B8B"/>
    <w:rsid w:val="00EC3BF8"/>
    <w:rsid w:val="00EC3E93"/>
    <w:rsid w:val="00EC3F20"/>
    <w:rsid w:val="00EC3F89"/>
    <w:rsid w:val="00EC4078"/>
    <w:rsid w:val="00EC4267"/>
    <w:rsid w:val="00EC4298"/>
    <w:rsid w:val="00EC430C"/>
    <w:rsid w:val="00EC4364"/>
    <w:rsid w:val="00EC4422"/>
    <w:rsid w:val="00EC4726"/>
    <w:rsid w:val="00EC49F0"/>
    <w:rsid w:val="00EC4CD6"/>
    <w:rsid w:val="00EC5560"/>
    <w:rsid w:val="00EC56BC"/>
    <w:rsid w:val="00EC5839"/>
    <w:rsid w:val="00EC584E"/>
    <w:rsid w:val="00EC5B4A"/>
    <w:rsid w:val="00EC5B5E"/>
    <w:rsid w:val="00EC5C00"/>
    <w:rsid w:val="00EC5D63"/>
    <w:rsid w:val="00EC605D"/>
    <w:rsid w:val="00EC60B8"/>
    <w:rsid w:val="00EC614D"/>
    <w:rsid w:val="00EC63CE"/>
    <w:rsid w:val="00EC663C"/>
    <w:rsid w:val="00EC666A"/>
    <w:rsid w:val="00EC68C8"/>
    <w:rsid w:val="00EC6925"/>
    <w:rsid w:val="00EC69F6"/>
    <w:rsid w:val="00EC6A3C"/>
    <w:rsid w:val="00EC6B3C"/>
    <w:rsid w:val="00EC6B72"/>
    <w:rsid w:val="00EC6CC4"/>
    <w:rsid w:val="00EC6D38"/>
    <w:rsid w:val="00EC6E62"/>
    <w:rsid w:val="00EC6E6C"/>
    <w:rsid w:val="00EC6EC2"/>
    <w:rsid w:val="00EC7117"/>
    <w:rsid w:val="00EC721E"/>
    <w:rsid w:val="00EC73E4"/>
    <w:rsid w:val="00EC7423"/>
    <w:rsid w:val="00EC7452"/>
    <w:rsid w:val="00EC7485"/>
    <w:rsid w:val="00EC7539"/>
    <w:rsid w:val="00EC76FE"/>
    <w:rsid w:val="00EC7758"/>
    <w:rsid w:val="00EC77D6"/>
    <w:rsid w:val="00EC7AAD"/>
    <w:rsid w:val="00EC7B90"/>
    <w:rsid w:val="00EC7C8E"/>
    <w:rsid w:val="00EC7CF3"/>
    <w:rsid w:val="00EC7F6E"/>
    <w:rsid w:val="00ED0244"/>
    <w:rsid w:val="00ED0327"/>
    <w:rsid w:val="00ED05C4"/>
    <w:rsid w:val="00ED06DC"/>
    <w:rsid w:val="00ED0776"/>
    <w:rsid w:val="00ED07BD"/>
    <w:rsid w:val="00ED0877"/>
    <w:rsid w:val="00ED088C"/>
    <w:rsid w:val="00ED0AB1"/>
    <w:rsid w:val="00ED0AD5"/>
    <w:rsid w:val="00ED0CD8"/>
    <w:rsid w:val="00ED0D80"/>
    <w:rsid w:val="00ED0DAD"/>
    <w:rsid w:val="00ED0DE3"/>
    <w:rsid w:val="00ED0E01"/>
    <w:rsid w:val="00ED0ED3"/>
    <w:rsid w:val="00ED0F00"/>
    <w:rsid w:val="00ED0F26"/>
    <w:rsid w:val="00ED0FEA"/>
    <w:rsid w:val="00ED11CA"/>
    <w:rsid w:val="00ED127B"/>
    <w:rsid w:val="00ED1526"/>
    <w:rsid w:val="00ED15DB"/>
    <w:rsid w:val="00ED16DA"/>
    <w:rsid w:val="00ED17D0"/>
    <w:rsid w:val="00ED1A03"/>
    <w:rsid w:val="00ED1A0A"/>
    <w:rsid w:val="00ED1B48"/>
    <w:rsid w:val="00ED1CCF"/>
    <w:rsid w:val="00ED1DBF"/>
    <w:rsid w:val="00ED1EC3"/>
    <w:rsid w:val="00ED2060"/>
    <w:rsid w:val="00ED22B5"/>
    <w:rsid w:val="00ED2383"/>
    <w:rsid w:val="00ED23FA"/>
    <w:rsid w:val="00ED246C"/>
    <w:rsid w:val="00ED24B2"/>
    <w:rsid w:val="00ED2617"/>
    <w:rsid w:val="00ED2AC3"/>
    <w:rsid w:val="00ED2BEE"/>
    <w:rsid w:val="00ED2DC5"/>
    <w:rsid w:val="00ED2F93"/>
    <w:rsid w:val="00ED31AD"/>
    <w:rsid w:val="00ED3291"/>
    <w:rsid w:val="00ED32F4"/>
    <w:rsid w:val="00ED355E"/>
    <w:rsid w:val="00ED3692"/>
    <w:rsid w:val="00ED3752"/>
    <w:rsid w:val="00ED3812"/>
    <w:rsid w:val="00ED3C28"/>
    <w:rsid w:val="00ED3C8B"/>
    <w:rsid w:val="00ED3CB2"/>
    <w:rsid w:val="00ED3DE4"/>
    <w:rsid w:val="00ED4099"/>
    <w:rsid w:val="00ED40FE"/>
    <w:rsid w:val="00ED4587"/>
    <w:rsid w:val="00ED45A0"/>
    <w:rsid w:val="00ED4885"/>
    <w:rsid w:val="00ED4BE6"/>
    <w:rsid w:val="00ED4E30"/>
    <w:rsid w:val="00ED51F8"/>
    <w:rsid w:val="00ED5665"/>
    <w:rsid w:val="00ED57A5"/>
    <w:rsid w:val="00ED5A6F"/>
    <w:rsid w:val="00ED5A97"/>
    <w:rsid w:val="00ED5B35"/>
    <w:rsid w:val="00ED5DED"/>
    <w:rsid w:val="00ED6073"/>
    <w:rsid w:val="00ED6216"/>
    <w:rsid w:val="00ED6431"/>
    <w:rsid w:val="00ED64B4"/>
    <w:rsid w:val="00ED65AF"/>
    <w:rsid w:val="00ED6991"/>
    <w:rsid w:val="00ED69C0"/>
    <w:rsid w:val="00ED6A97"/>
    <w:rsid w:val="00ED6BA3"/>
    <w:rsid w:val="00ED6D2E"/>
    <w:rsid w:val="00ED6D80"/>
    <w:rsid w:val="00ED6E47"/>
    <w:rsid w:val="00ED6FBA"/>
    <w:rsid w:val="00ED7086"/>
    <w:rsid w:val="00ED75AB"/>
    <w:rsid w:val="00ED75D5"/>
    <w:rsid w:val="00ED76CE"/>
    <w:rsid w:val="00ED7726"/>
    <w:rsid w:val="00ED772D"/>
    <w:rsid w:val="00ED7801"/>
    <w:rsid w:val="00ED79CA"/>
    <w:rsid w:val="00ED7A66"/>
    <w:rsid w:val="00ED7A67"/>
    <w:rsid w:val="00ED7B8F"/>
    <w:rsid w:val="00ED7DA2"/>
    <w:rsid w:val="00ED7E2E"/>
    <w:rsid w:val="00ED7EAA"/>
    <w:rsid w:val="00ED7ECA"/>
    <w:rsid w:val="00ED7FAC"/>
    <w:rsid w:val="00EE0061"/>
    <w:rsid w:val="00EE00C6"/>
    <w:rsid w:val="00EE017A"/>
    <w:rsid w:val="00EE0329"/>
    <w:rsid w:val="00EE0383"/>
    <w:rsid w:val="00EE049D"/>
    <w:rsid w:val="00EE04B5"/>
    <w:rsid w:val="00EE073B"/>
    <w:rsid w:val="00EE0AF8"/>
    <w:rsid w:val="00EE0BEA"/>
    <w:rsid w:val="00EE0D09"/>
    <w:rsid w:val="00EE0F6C"/>
    <w:rsid w:val="00EE0FA5"/>
    <w:rsid w:val="00EE1071"/>
    <w:rsid w:val="00EE10D1"/>
    <w:rsid w:val="00EE136A"/>
    <w:rsid w:val="00EE138E"/>
    <w:rsid w:val="00EE13F0"/>
    <w:rsid w:val="00EE1403"/>
    <w:rsid w:val="00EE1437"/>
    <w:rsid w:val="00EE155F"/>
    <w:rsid w:val="00EE168E"/>
    <w:rsid w:val="00EE175A"/>
    <w:rsid w:val="00EE180C"/>
    <w:rsid w:val="00EE18AF"/>
    <w:rsid w:val="00EE1A21"/>
    <w:rsid w:val="00EE1A70"/>
    <w:rsid w:val="00EE1C86"/>
    <w:rsid w:val="00EE1DA5"/>
    <w:rsid w:val="00EE200B"/>
    <w:rsid w:val="00EE205C"/>
    <w:rsid w:val="00EE20EE"/>
    <w:rsid w:val="00EE214A"/>
    <w:rsid w:val="00EE223D"/>
    <w:rsid w:val="00EE22B5"/>
    <w:rsid w:val="00EE23CD"/>
    <w:rsid w:val="00EE2539"/>
    <w:rsid w:val="00EE2611"/>
    <w:rsid w:val="00EE290E"/>
    <w:rsid w:val="00EE291E"/>
    <w:rsid w:val="00EE29DD"/>
    <w:rsid w:val="00EE2AAA"/>
    <w:rsid w:val="00EE2AC1"/>
    <w:rsid w:val="00EE2C45"/>
    <w:rsid w:val="00EE2DC8"/>
    <w:rsid w:val="00EE2E48"/>
    <w:rsid w:val="00EE3078"/>
    <w:rsid w:val="00EE3223"/>
    <w:rsid w:val="00EE32DF"/>
    <w:rsid w:val="00EE32F1"/>
    <w:rsid w:val="00EE35AE"/>
    <w:rsid w:val="00EE3659"/>
    <w:rsid w:val="00EE3729"/>
    <w:rsid w:val="00EE37E6"/>
    <w:rsid w:val="00EE37F7"/>
    <w:rsid w:val="00EE3800"/>
    <w:rsid w:val="00EE3AB8"/>
    <w:rsid w:val="00EE3B53"/>
    <w:rsid w:val="00EE3B7F"/>
    <w:rsid w:val="00EE3BC5"/>
    <w:rsid w:val="00EE3DEF"/>
    <w:rsid w:val="00EE4253"/>
    <w:rsid w:val="00EE4257"/>
    <w:rsid w:val="00EE4330"/>
    <w:rsid w:val="00EE4336"/>
    <w:rsid w:val="00EE4478"/>
    <w:rsid w:val="00EE44C7"/>
    <w:rsid w:val="00EE4569"/>
    <w:rsid w:val="00EE4609"/>
    <w:rsid w:val="00EE46D0"/>
    <w:rsid w:val="00EE4748"/>
    <w:rsid w:val="00EE49FA"/>
    <w:rsid w:val="00EE4A73"/>
    <w:rsid w:val="00EE4A9B"/>
    <w:rsid w:val="00EE4AA0"/>
    <w:rsid w:val="00EE4B49"/>
    <w:rsid w:val="00EE4D2B"/>
    <w:rsid w:val="00EE4D63"/>
    <w:rsid w:val="00EE4DE0"/>
    <w:rsid w:val="00EE4E88"/>
    <w:rsid w:val="00EE4F9C"/>
    <w:rsid w:val="00EE508A"/>
    <w:rsid w:val="00EE50A0"/>
    <w:rsid w:val="00EE51AD"/>
    <w:rsid w:val="00EE525D"/>
    <w:rsid w:val="00EE53BF"/>
    <w:rsid w:val="00EE53CA"/>
    <w:rsid w:val="00EE544C"/>
    <w:rsid w:val="00EE5497"/>
    <w:rsid w:val="00EE54E1"/>
    <w:rsid w:val="00EE5536"/>
    <w:rsid w:val="00EE5808"/>
    <w:rsid w:val="00EE5B96"/>
    <w:rsid w:val="00EE5BCF"/>
    <w:rsid w:val="00EE6190"/>
    <w:rsid w:val="00EE62EF"/>
    <w:rsid w:val="00EE6580"/>
    <w:rsid w:val="00EE66A0"/>
    <w:rsid w:val="00EE66D9"/>
    <w:rsid w:val="00EE6797"/>
    <w:rsid w:val="00EE6848"/>
    <w:rsid w:val="00EE69E9"/>
    <w:rsid w:val="00EE69EC"/>
    <w:rsid w:val="00EE6AAA"/>
    <w:rsid w:val="00EE6C1D"/>
    <w:rsid w:val="00EE6C3D"/>
    <w:rsid w:val="00EE6F36"/>
    <w:rsid w:val="00EE7010"/>
    <w:rsid w:val="00EE7230"/>
    <w:rsid w:val="00EE7625"/>
    <w:rsid w:val="00EE7733"/>
    <w:rsid w:val="00EE7863"/>
    <w:rsid w:val="00EE79E7"/>
    <w:rsid w:val="00EE7A8B"/>
    <w:rsid w:val="00EE7D88"/>
    <w:rsid w:val="00EE7E08"/>
    <w:rsid w:val="00EE7E60"/>
    <w:rsid w:val="00EF0605"/>
    <w:rsid w:val="00EF088F"/>
    <w:rsid w:val="00EF0906"/>
    <w:rsid w:val="00EF0986"/>
    <w:rsid w:val="00EF0ABD"/>
    <w:rsid w:val="00EF0B3E"/>
    <w:rsid w:val="00EF0D2F"/>
    <w:rsid w:val="00EF0E50"/>
    <w:rsid w:val="00EF1080"/>
    <w:rsid w:val="00EF115A"/>
    <w:rsid w:val="00EF1160"/>
    <w:rsid w:val="00EF1171"/>
    <w:rsid w:val="00EF133E"/>
    <w:rsid w:val="00EF184B"/>
    <w:rsid w:val="00EF19CB"/>
    <w:rsid w:val="00EF1ECD"/>
    <w:rsid w:val="00EF1EEB"/>
    <w:rsid w:val="00EF20E2"/>
    <w:rsid w:val="00EF212C"/>
    <w:rsid w:val="00EF21F5"/>
    <w:rsid w:val="00EF2488"/>
    <w:rsid w:val="00EF266E"/>
    <w:rsid w:val="00EF2827"/>
    <w:rsid w:val="00EF29D7"/>
    <w:rsid w:val="00EF2C31"/>
    <w:rsid w:val="00EF2D48"/>
    <w:rsid w:val="00EF2EE4"/>
    <w:rsid w:val="00EF2F6F"/>
    <w:rsid w:val="00EF303C"/>
    <w:rsid w:val="00EF3198"/>
    <w:rsid w:val="00EF343A"/>
    <w:rsid w:val="00EF36FC"/>
    <w:rsid w:val="00EF3874"/>
    <w:rsid w:val="00EF39FC"/>
    <w:rsid w:val="00EF3B46"/>
    <w:rsid w:val="00EF3F61"/>
    <w:rsid w:val="00EF3FC4"/>
    <w:rsid w:val="00EF40A8"/>
    <w:rsid w:val="00EF40C1"/>
    <w:rsid w:val="00EF4212"/>
    <w:rsid w:val="00EF449B"/>
    <w:rsid w:val="00EF472C"/>
    <w:rsid w:val="00EF48E6"/>
    <w:rsid w:val="00EF48FC"/>
    <w:rsid w:val="00EF4A2B"/>
    <w:rsid w:val="00EF4B53"/>
    <w:rsid w:val="00EF4BEF"/>
    <w:rsid w:val="00EF4D1F"/>
    <w:rsid w:val="00EF4D91"/>
    <w:rsid w:val="00EF4E17"/>
    <w:rsid w:val="00EF4E94"/>
    <w:rsid w:val="00EF4F55"/>
    <w:rsid w:val="00EF506D"/>
    <w:rsid w:val="00EF5116"/>
    <w:rsid w:val="00EF5286"/>
    <w:rsid w:val="00EF530D"/>
    <w:rsid w:val="00EF5420"/>
    <w:rsid w:val="00EF54B9"/>
    <w:rsid w:val="00EF5657"/>
    <w:rsid w:val="00EF567B"/>
    <w:rsid w:val="00EF59AE"/>
    <w:rsid w:val="00EF5BEA"/>
    <w:rsid w:val="00EF5D28"/>
    <w:rsid w:val="00EF5E2B"/>
    <w:rsid w:val="00EF5E98"/>
    <w:rsid w:val="00EF5EC6"/>
    <w:rsid w:val="00EF5F0B"/>
    <w:rsid w:val="00EF60E6"/>
    <w:rsid w:val="00EF6237"/>
    <w:rsid w:val="00EF6238"/>
    <w:rsid w:val="00EF663E"/>
    <w:rsid w:val="00EF685C"/>
    <w:rsid w:val="00EF6864"/>
    <w:rsid w:val="00EF689E"/>
    <w:rsid w:val="00EF693F"/>
    <w:rsid w:val="00EF6AB0"/>
    <w:rsid w:val="00EF6BB5"/>
    <w:rsid w:val="00EF6BDC"/>
    <w:rsid w:val="00EF6DA8"/>
    <w:rsid w:val="00EF6DBB"/>
    <w:rsid w:val="00EF6F4E"/>
    <w:rsid w:val="00EF706B"/>
    <w:rsid w:val="00EF70ED"/>
    <w:rsid w:val="00EF7260"/>
    <w:rsid w:val="00EF745B"/>
    <w:rsid w:val="00EF7727"/>
    <w:rsid w:val="00EF7883"/>
    <w:rsid w:val="00EF78AC"/>
    <w:rsid w:val="00EF798B"/>
    <w:rsid w:val="00EF7992"/>
    <w:rsid w:val="00EF7A83"/>
    <w:rsid w:val="00EF7D8D"/>
    <w:rsid w:val="00EF7E83"/>
    <w:rsid w:val="00F00536"/>
    <w:rsid w:val="00F00558"/>
    <w:rsid w:val="00F0091B"/>
    <w:rsid w:val="00F00B02"/>
    <w:rsid w:val="00F00BF8"/>
    <w:rsid w:val="00F00C5E"/>
    <w:rsid w:val="00F00CF6"/>
    <w:rsid w:val="00F00E7B"/>
    <w:rsid w:val="00F011E7"/>
    <w:rsid w:val="00F01354"/>
    <w:rsid w:val="00F014D0"/>
    <w:rsid w:val="00F015FB"/>
    <w:rsid w:val="00F0160D"/>
    <w:rsid w:val="00F0163C"/>
    <w:rsid w:val="00F01774"/>
    <w:rsid w:val="00F018E8"/>
    <w:rsid w:val="00F0191C"/>
    <w:rsid w:val="00F019B5"/>
    <w:rsid w:val="00F01C5A"/>
    <w:rsid w:val="00F02014"/>
    <w:rsid w:val="00F0204A"/>
    <w:rsid w:val="00F020C0"/>
    <w:rsid w:val="00F02168"/>
    <w:rsid w:val="00F02223"/>
    <w:rsid w:val="00F02450"/>
    <w:rsid w:val="00F02479"/>
    <w:rsid w:val="00F02876"/>
    <w:rsid w:val="00F02973"/>
    <w:rsid w:val="00F02B37"/>
    <w:rsid w:val="00F02CEF"/>
    <w:rsid w:val="00F02D15"/>
    <w:rsid w:val="00F02E47"/>
    <w:rsid w:val="00F0304B"/>
    <w:rsid w:val="00F03141"/>
    <w:rsid w:val="00F031E7"/>
    <w:rsid w:val="00F03B49"/>
    <w:rsid w:val="00F03BF9"/>
    <w:rsid w:val="00F03C46"/>
    <w:rsid w:val="00F03D9B"/>
    <w:rsid w:val="00F03DA5"/>
    <w:rsid w:val="00F03E19"/>
    <w:rsid w:val="00F04162"/>
    <w:rsid w:val="00F04441"/>
    <w:rsid w:val="00F045E9"/>
    <w:rsid w:val="00F04684"/>
    <w:rsid w:val="00F04A7C"/>
    <w:rsid w:val="00F04AA8"/>
    <w:rsid w:val="00F04B91"/>
    <w:rsid w:val="00F04CCB"/>
    <w:rsid w:val="00F04DAE"/>
    <w:rsid w:val="00F04DF0"/>
    <w:rsid w:val="00F05046"/>
    <w:rsid w:val="00F05069"/>
    <w:rsid w:val="00F052C0"/>
    <w:rsid w:val="00F053E2"/>
    <w:rsid w:val="00F05407"/>
    <w:rsid w:val="00F055D7"/>
    <w:rsid w:val="00F056B2"/>
    <w:rsid w:val="00F0587C"/>
    <w:rsid w:val="00F05991"/>
    <w:rsid w:val="00F05CAB"/>
    <w:rsid w:val="00F05DD8"/>
    <w:rsid w:val="00F05E40"/>
    <w:rsid w:val="00F06065"/>
    <w:rsid w:val="00F065AA"/>
    <w:rsid w:val="00F06686"/>
    <w:rsid w:val="00F066E0"/>
    <w:rsid w:val="00F066E8"/>
    <w:rsid w:val="00F06866"/>
    <w:rsid w:val="00F06CCD"/>
    <w:rsid w:val="00F06D4C"/>
    <w:rsid w:val="00F07184"/>
    <w:rsid w:val="00F07266"/>
    <w:rsid w:val="00F07295"/>
    <w:rsid w:val="00F0729E"/>
    <w:rsid w:val="00F073BD"/>
    <w:rsid w:val="00F07489"/>
    <w:rsid w:val="00F07A1D"/>
    <w:rsid w:val="00F07A2F"/>
    <w:rsid w:val="00F07B7D"/>
    <w:rsid w:val="00F07C21"/>
    <w:rsid w:val="00F07D66"/>
    <w:rsid w:val="00F07DDF"/>
    <w:rsid w:val="00F07ED7"/>
    <w:rsid w:val="00F10418"/>
    <w:rsid w:val="00F1046C"/>
    <w:rsid w:val="00F104BB"/>
    <w:rsid w:val="00F104E0"/>
    <w:rsid w:val="00F10562"/>
    <w:rsid w:val="00F105ED"/>
    <w:rsid w:val="00F10688"/>
    <w:rsid w:val="00F107A7"/>
    <w:rsid w:val="00F10849"/>
    <w:rsid w:val="00F109C0"/>
    <w:rsid w:val="00F10C08"/>
    <w:rsid w:val="00F10EDD"/>
    <w:rsid w:val="00F110AA"/>
    <w:rsid w:val="00F11209"/>
    <w:rsid w:val="00F1126B"/>
    <w:rsid w:val="00F11305"/>
    <w:rsid w:val="00F1138F"/>
    <w:rsid w:val="00F115A6"/>
    <w:rsid w:val="00F1173A"/>
    <w:rsid w:val="00F11871"/>
    <w:rsid w:val="00F118D4"/>
    <w:rsid w:val="00F11BCE"/>
    <w:rsid w:val="00F11CE3"/>
    <w:rsid w:val="00F11ECE"/>
    <w:rsid w:val="00F11EFF"/>
    <w:rsid w:val="00F11F73"/>
    <w:rsid w:val="00F12081"/>
    <w:rsid w:val="00F120AA"/>
    <w:rsid w:val="00F1222A"/>
    <w:rsid w:val="00F12356"/>
    <w:rsid w:val="00F1246E"/>
    <w:rsid w:val="00F125D7"/>
    <w:rsid w:val="00F127F2"/>
    <w:rsid w:val="00F12832"/>
    <w:rsid w:val="00F129D6"/>
    <w:rsid w:val="00F129DF"/>
    <w:rsid w:val="00F12AA6"/>
    <w:rsid w:val="00F12B3E"/>
    <w:rsid w:val="00F12C4F"/>
    <w:rsid w:val="00F12EE6"/>
    <w:rsid w:val="00F12EEB"/>
    <w:rsid w:val="00F12F72"/>
    <w:rsid w:val="00F1309D"/>
    <w:rsid w:val="00F1311C"/>
    <w:rsid w:val="00F131F3"/>
    <w:rsid w:val="00F13200"/>
    <w:rsid w:val="00F1320E"/>
    <w:rsid w:val="00F132B3"/>
    <w:rsid w:val="00F1338C"/>
    <w:rsid w:val="00F133B9"/>
    <w:rsid w:val="00F133EB"/>
    <w:rsid w:val="00F1359D"/>
    <w:rsid w:val="00F13803"/>
    <w:rsid w:val="00F13810"/>
    <w:rsid w:val="00F13827"/>
    <w:rsid w:val="00F13B44"/>
    <w:rsid w:val="00F13B85"/>
    <w:rsid w:val="00F13BC0"/>
    <w:rsid w:val="00F13CA2"/>
    <w:rsid w:val="00F13CBA"/>
    <w:rsid w:val="00F13D89"/>
    <w:rsid w:val="00F13DA7"/>
    <w:rsid w:val="00F13DC1"/>
    <w:rsid w:val="00F13E30"/>
    <w:rsid w:val="00F13E88"/>
    <w:rsid w:val="00F13F7F"/>
    <w:rsid w:val="00F13FAD"/>
    <w:rsid w:val="00F14197"/>
    <w:rsid w:val="00F141F8"/>
    <w:rsid w:val="00F1436C"/>
    <w:rsid w:val="00F1442C"/>
    <w:rsid w:val="00F14434"/>
    <w:rsid w:val="00F14521"/>
    <w:rsid w:val="00F14599"/>
    <w:rsid w:val="00F14610"/>
    <w:rsid w:val="00F1465E"/>
    <w:rsid w:val="00F146C1"/>
    <w:rsid w:val="00F1471C"/>
    <w:rsid w:val="00F147DC"/>
    <w:rsid w:val="00F148FA"/>
    <w:rsid w:val="00F14981"/>
    <w:rsid w:val="00F149DE"/>
    <w:rsid w:val="00F14C35"/>
    <w:rsid w:val="00F150E8"/>
    <w:rsid w:val="00F151C6"/>
    <w:rsid w:val="00F152B6"/>
    <w:rsid w:val="00F15507"/>
    <w:rsid w:val="00F15602"/>
    <w:rsid w:val="00F1594E"/>
    <w:rsid w:val="00F15ADC"/>
    <w:rsid w:val="00F15BDC"/>
    <w:rsid w:val="00F15F11"/>
    <w:rsid w:val="00F163D2"/>
    <w:rsid w:val="00F168FE"/>
    <w:rsid w:val="00F16B3B"/>
    <w:rsid w:val="00F16B90"/>
    <w:rsid w:val="00F16C47"/>
    <w:rsid w:val="00F16D05"/>
    <w:rsid w:val="00F1705C"/>
    <w:rsid w:val="00F172BC"/>
    <w:rsid w:val="00F17385"/>
    <w:rsid w:val="00F177A9"/>
    <w:rsid w:val="00F17821"/>
    <w:rsid w:val="00F1792A"/>
    <w:rsid w:val="00F17CD8"/>
    <w:rsid w:val="00F17DFB"/>
    <w:rsid w:val="00F17F24"/>
    <w:rsid w:val="00F17F8A"/>
    <w:rsid w:val="00F1B54F"/>
    <w:rsid w:val="00F20100"/>
    <w:rsid w:val="00F2017F"/>
    <w:rsid w:val="00F20180"/>
    <w:rsid w:val="00F20643"/>
    <w:rsid w:val="00F206A2"/>
    <w:rsid w:val="00F20A8C"/>
    <w:rsid w:val="00F20D4D"/>
    <w:rsid w:val="00F20D94"/>
    <w:rsid w:val="00F20D9C"/>
    <w:rsid w:val="00F20E27"/>
    <w:rsid w:val="00F20E75"/>
    <w:rsid w:val="00F21005"/>
    <w:rsid w:val="00F21173"/>
    <w:rsid w:val="00F212EC"/>
    <w:rsid w:val="00F214A9"/>
    <w:rsid w:val="00F21505"/>
    <w:rsid w:val="00F21513"/>
    <w:rsid w:val="00F2157A"/>
    <w:rsid w:val="00F21655"/>
    <w:rsid w:val="00F21660"/>
    <w:rsid w:val="00F216AB"/>
    <w:rsid w:val="00F21DA2"/>
    <w:rsid w:val="00F21E03"/>
    <w:rsid w:val="00F220C4"/>
    <w:rsid w:val="00F2213B"/>
    <w:rsid w:val="00F221B8"/>
    <w:rsid w:val="00F22236"/>
    <w:rsid w:val="00F22279"/>
    <w:rsid w:val="00F224D9"/>
    <w:rsid w:val="00F22520"/>
    <w:rsid w:val="00F226DF"/>
    <w:rsid w:val="00F2273E"/>
    <w:rsid w:val="00F228B8"/>
    <w:rsid w:val="00F22A42"/>
    <w:rsid w:val="00F22A96"/>
    <w:rsid w:val="00F22B35"/>
    <w:rsid w:val="00F22C36"/>
    <w:rsid w:val="00F22CEE"/>
    <w:rsid w:val="00F22DB5"/>
    <w:rsid w:val="00F2301A"/>
    <w:rsid w:val="00F230D7"/>
    <w:rsid w:val="00F231DA"/>
    <w:rsid w:val="00F2342A"/>
    <w:rsid w:val="00F235B8"/>
    <w:rsid w:val="00F2366B"/>
    <w:rsid w:val="00F236B5"/>
    <w:rsid w:val="00F2370E"/>
    <w:rsid w:val="00F2372F"/>
    <w:rsid w:val="00F2377F"/>
    <w:rsid w:val="00F237CA"/>
    <w:rsid w:val="00F2382E"/>
    <w:rsid w:val="00F238E4"/>
    <w:rsid w:val="00F23904"/>
    <w:rsid w:val="00F23981"/>
    <w:rsid w:val="00F23AFD"/>
    <w:rsid w:val="00F23BB8"/>
    <w:rsid w:val="00F23C78"/>
    <w:rsid w:val="00F23FE9"/>
    <w:rsid w:val="00F24015"/>
    <w:rsid w:val="00F24236"/>
    <w:rsid w:val="00F24284"/>
    <w:rsid w:val="00F246E4"/>
    <w:rsid w:val="00F24726"/>
    <w:rsid w:val="00F2499D"/>
    <w:rsid w:val="00F24B1F"/>
    <w:rsid w:val="00F24E4E"/>
    <w:rsid w:val="00F24FAA"/>
    <w:rsid w:val="00F25068"/>
    <w:rsid w:val="00F25119"/>
    <w:rsid w:val="00F2527A"/>
    <w:rsid w:val="00F2538D"/>
    <w:rsid w:val="00F25550"/>
    <w:rsid w:val="00F256EB"/>
    <w:rsid w:val="00F257E8"/>
    <w:rsid w:val="00F25812"/>
    <w:rsid w:val="00F25B08"/>
    <w:rsid w:val="00F25BB8"/>
    <w:rsid w:val="00F260BD"/>
    <w:rsid w:val="00F26161"/>
    <w:rsid w:val="00F2643E"/>
    <w:rsid w:val="00F265FE"/>
    <w:rsid w:val="00F26627"/>
    <w:rsid w:val="00F267D7"/>
    <w:rsid w:val="00F26A3A"/>
    <w:rsid w:val="00F26C5E"/>
    <w:rsid w:val="00F26CC5"/>
    <w:rsid w:val="00F26ECB"/>
    <w:rsid w:val="00F26F01"/>
    <w:rsid w:val="00F26FC5"/>
    <w:rsid w:val="00F27049"/>
    <w:rsid w:val="00F27184"/>
    <w:rsid w:val="00F271B8"/>
    <w:rsid w:val="00F2722B"/>
    <w:rsid w:val="00F27251"/>
    <w:rsid w:val="00F272FB"/>
    <w:rsid w:val="00F27545"/>
    <w:rsid w:val="00F276EE"/>
    <w:rsid w:val="00F2786A"/>
    <w:rsid w:val="00F27912"/>
    <w:rsid w:val="00F27C3A"/>
    <w:rsid w:val="00F27C69"/>
    <w:rsid w:val="00F27DDE"/>
    <w:rsid w:val="00F30073"/>
    <w:rsid w:val="00F302A0"/>
    <w:rsid w:val="00F30358"/>
    <w:rsid w:val="00F303BD"/>
    <w:rsid w:val="00F306FF"/>
    <w:rsid w:val="00F307AD"/>
    <w:rsid w:val="00F30A37"/>
    <w:rsid w:val="00F30A8B"/>
    <w:rsid w:val="00F30D88"/>
    <w:rsid w:val="00F30DC4"/>
    <w:rsid w:val="00F30F7B"/>
    <w:rsid w:val="00F31013"/>
    <w:rsid w:val="00F3137A"/>
    <w:rsid w:val="00F317CA"/>
    <w:rsid w:val="00F31917"/>
    <w:rsid w:val="00F319AC"/>
    <w:rsid w:val="00F31C8C"/>
    <w:rsid w:val="00F31DC5"/>
    <w:rsid w:val="00F31F80"/>
    <w:rsid w:val="00F31FF2"/>
    <w:rsid w:val="00F3233E"/>
    <w:rsid w:val="00F3257B"/>
    <w:rsid w:val="00F325ED"/>
    <w:rsid w:val="00F32615"/>
    <w:rsid w:val="00F326FF"/>
    <w:rsid w:val="00F32967"/>
    <w:rsid w:val="00F32BB5"/>
    <w:rsid w:val="00F33065"/>
    <w:rsid w:val="00F33073"/>
    <w:rsid w:val="00F33492"/>
    <w:rsid w:val="00F334F9"/>
    <w:rsid w:val="00F335CC"/>
    <w:rsid w:val="00F335D5"/>
    <w:rsid w:val="00F33663"/>
    <w:rsid w:val="00F33787"/>
    <w:rsid w:val="00F338FE"/>
    <w:rsid w:val="00F33AA8"/>
    <w:rsid w:val="00F33B17"/>
    <w:rsid w:val="00F33C7B"/>
    <w:rsid w:val="00F33D81"/>
    <w:rsid w:val="00F33E82"/>
    <w:rsid w:val="00F33F8B"/>
    <w:rsid w:val="00F341F9"/>
    <w:rsid w:val="00F34B64"/>
    <w:rsid w:val="00F34EC6"/>
    <w:rsid w:val="00F34ECD"/>
    <w:rsid w:val="00F34EE5"/>
    <w:rsid w:val="00F35243"/>
    <w:rsid w:val="00F3533F"/>
    <w:rsid w:val="00F355FC"/>
    <w:rsid w:val="00F35603"/>
    <w:rsid w:val="00F356E8"/>
    <w:rsid w:val="00F35772"/>
    <w:rsid w:val="00F35854"/>
    <w:rsid w:val="00F3589E"/>
    <w:rsid w:val="00F3596C"/>
    <w:rsid w:val="00F35AAC"/>
    <w:rsid w:val="00F35E86"/>
    <w:rsid w:val="00F35E95"/>
    <w:rsid w:val="00F35FBF"/>
    <w:rsid w:val="00F3618B"/>
    <w:rsid w:val="00F361C3"/>
    <w:rsid w:val="00F3621E"/>
    <w:rsid w:val="00F36350"/>
    <w:rsid w:val="00F3637C"/>
    <w:rsid w:val="00F36404"/>
    <w:rsid w:val="00F368BC"/>
    <w:rsid w:val="00F369A2"/>
    <w:rsid w:val="00F36EDF"/>
    <w:rsid w:val="00F3703F"/>
    <w:rsid w:val="00F3705F"/>
    <w:rsid w:val="00F37099"/>
    <w:rsid w:val="00F371DA"/>
    <w:rsid w:val="00F371E8"/>
    <w:rsid w:val="00F3725B"/>
    <w:rsid w:val="00F3741C"/>
    <w:rsid w:val="00F37487"/>
    <w:rsid w:val="00F3754C"/>
    <w:rsid w:val="00F3765C"/>
    <w:rsid w:val="00F37983"/>
    <w:rsid w:val="00F37A66"/>
    <w:rsid w:val="00F37BFA"/>
    <w:rsid w:val="00F37C05"/>
    <w:rsid w:val="00F37C52"/>
    <w:rsid w:val="00F37D37"/>
    <w:rsid w:val="00F37EBD"/>
    <w:rsid w:val="00F37EFE"/>
    <w:rsid w:val="00F37FD1"/>
    <w:rsid w:val="00F40231"/>
    <w:rsid w:val="00F40308"/>
    <w:rsid w:val="00F40954"/>
    <w:rsid w:val="00F409D4"/>
    <w:rsid w:val="00F40AA2"/>
    <w:rsid w:val="00F40AC8"/>
    <w:rsid w:val="00F40C26"/>
    <w:rsid w:val="00F40CBA"/>
    <w:rsid w:val="00F40E49"/>
    <w:rsid w:val="00F40EA2"/>
    <w:rsid w:val="00F40EB0"/>
    <w:rsid w:val="00F4105F"/>
    <w:rsid w:val="00F41171"/>
    <w:rsid w:val="00F411E0"/>
    <w:rsid w:val="00F411F2"/>
    <w:rsid w:val="00F412C9"/>
    <w:rsid w:val="00F417A0"/>
    <w:rsid w:val="00F418E0"/>
    <w:rsid w:val="00F41902"/>
    <w:rsid w:val="00F41A07"/>
    <w:rsid w:val="00F41BBF"/>
    <w:rsid w:val="00F41C52"/>
    <w:rsid w:val="00F41D43"/>
    <w:rsid w:val="00F41DD5"/>
    <w:rsid w:val="00F41FDF"/>
    <w:rsid w:val="00F42177"/>
    <w:rsid w:val="00F423A6"/>
    <w:rsid w:val="00F42435"/>
    <w:rsid w:val="00F424EF"/>
    <w:rsid w:val="00F42933"/>
    <w:rsid w:val="00F42C8B"/>
    <w:rsid w:val="00F42D5E"/>
    <w:rsid w:val="00F42F1B"/>
    <w:rsid w:val="00F4302A"/>
    <w:rsid w:val="00F434AF"/>
    <w:rsid w:val="00F43626"/>
    <w:rsid w:val="00F438F1"/>
    <w:rsid w:val="00F43965"/>
    <w:rsid w:val="00F43B96"/>
    <w:rsid w:val="00F43CBF"/>
    <w:rsid w:val="00F43CC8"/>
    <w:rsid w:val="00F43E30"/>
    <w:rsid w:val="00F43E3C"/>
    <w:rsid w:val="00F43F3E"/>
    <w:rsid w:val="00F4430A"/>
    <w:rsid w:val="00F44347"/>
    <w:rsid w:val="00F44545"/>
    <w:rsid w:val="00F44ABE"/>
    <w:rsid w:val="00F44D4D"/>
    <w:rsid w:val="00F44DC9"/>
    <w:rsid w:val="00F45027"/>
    <w:rsid w:val="00F45123"/>
    <w:rsid w:val="00F45145"/>
    <w:rsid w:val="00F452AE"/>
    <w:rsid w:val="00F4542A"/>
    <w:rsid w:val="00F45510"/>
    <w:rsid w:val="00F45526"/>
    <w:rsid w:val="00F457F3"/>
    <w:rsid w:val="00F45923"/>
    <w:rsid w:val="00F45A96"/>
    <w:rsid w:val="00F45BB1"/>
    <w:rsid w:val="00F45DD8"/>
    <w:rsid w:val="00F45FAC"/>
    <w:rsid w:val="00F46397"/>
    <w:rsid w:val="00F46516"/>
    <w:rsid w:val="00F467AE"/>
    <w:rsid w:val="00F46A85"/>
    <w:rsid w:val="00F46B23"/>
    <w:rsid w:val="00F46CE2"/>
    <w:rsid w:val="00F46D00"/>
    <w:rsid w:val="00F46F6C"/>
    <w:rsid w:val="00F4704C"/>
    <w:rsid w:val="00F470AB"/>
    <w:rsid w:val="00F470D6"/>
    <w:rsid w:val="00F47139"/>
    <w:rsid w:val="00F472B7"/>
    <w:rsid w:val="00F472C2"/>
    <w:rsid w:val="00F472CB"/>
    <w:rsid w:val="00F478A1"/>
    <w:rsid w:val="00F479D8"/>
    <w:rsid w:val="00F47A9C"/>
    <w:rsid w:val="00F47C61"/>
    <w:rsid w:val="00F47D2A"/>
    <w:rsid w:val="00F47E32"/>
    <w:rsid w:val="00F47FBE"/>
    <w:rsid w:val="00F50253"/>
    <w:rsid w:val="00F5035D"/>
    <w:rsid w:val="00F503CD"/>
    <w:rsid w:val="00F504F7"/>
    <w:rsid w:val="00F50546"/>
    <w:rsid w:val="00F5062C"/>
    <w:rsid w:val="00F50970"/>
    <w:rsid w:val="00F509F6"/>
    <w:rsid w:val="00F50A6D"/>
    <w:rsid w:val="00F50C0F"/>
    <w:rsid w:val="00F50CAE"/>
    <w:rsid w:val="00F50EAE"/>
    <w:rsid w:val="00F510CA"/>
    <w:rsid w:val="00F5117C"/>
    <w:rsid w:val="00F51195"/>
    <w:rsid w:val="00F511AE"/>
    <w:rsid w:val="00F51ABE"/>
    <w:rsid w:val="00F51B39"/>
    <w:rsid w:val="00F51D9C"/>
    <w:rsid w:val="00F51F89"/>
    <w:rsid w:val="00F521F4"/>
    <w:rsid w:val="00F52213"/>
    <w:rsid w:val="00F522DC"/>
    <w:rsid w:val="00F522F9"/>
    <w:rsid w:val="00F5237E"/>
    <w:rsid w:val="00F524E3"/>
    <w:rsid w:val="00F526D3"/>
    <w:rsid w:val="00F5289D"/>
    <w:rsid w:val="00F528BE"/>
    <w:rsid w:val="00F528EC"/>
    <w:rsid w:val="00F52B02"/>
    <w:rsid w:val="00F52B06"/>
    <w:rsid w:val="00F52C5D"/>
    <w:rsid w:val="00F52C6C"/>
    <w:rsid w:val="00F52D50"/>
    <w:rsid w:val="00F52DB5"/>
    <w:rsid w:val="00F52E13"/>
    <w:rsid w:val="00F532E0"/>
    <w:rsid w:val="00F5348D"/>
    <w:rsid w:val="00F53561"/>
    <w:rsid w:val="00F537B8"/>
    <w:rsid w:val="00F53AFE"/>
    <w:rsid w:val="00F53BCA"/>
    <w:rsid w:val="00F53D64"/>
    <w:rsid w:val="00F53DAA"/>
    <w:rsid w:val="00F53FD9"/>
    <w:rsid w:val="00F54122"/>
    <w:rsid w:val="00F543D6"/>
    <w:rsid w:val="00F5453F"/>
    <w:rsid w:val="00F54561"/>
    <w:rsid w:val="00F54592"/>
    <w:rsid w:val="00F5459D"/>
    <w:rsid w:val="00F546E4"/>
    <w:rsid w:val="00F546E5"/>
    <w:rsid w:val="00F54860"/>
    <w:rsid w:val="00F5512C"/>
    <w:rsid w:val="00F551F0"/>
    <w:rsid w:val="00F55289"/>
    <w:rsid w:val="00F552E8"/>
    <w:rsid w:val="00F5531D"/>
    <w:rsid w:val="00F55365"/>
    <w:rsid w:val="00F55422"/>
    <w:rsid w:val="00F555FA"/>
    <w:rsid w:val="00F5561E"/>
    <w:rsid w:val="00F5572B"/>
    <w:rsid w:val="00F55A6F"/>
    <w:rsid w:val="00F55A8F"/>
    <w:rsid w:val="00F55B79"/>
    <w:rsid w:val="00F55BBD"/>
    <w:rsid w:val="00F55D3A"/>
    <w:rsid w:val="00F55DD3"/>
    <w:rsid w:val="00F55F2C"/>
    <w:rsid w:val="00F56236"/>
    <w:rsid w:val="00F56282"/>
    <w:rsid w:val="00F5645A"/>
    <w:rsid w:val="00F564AF"/>
    <w:rsid w:val="00F5651E"/>
    <w:rsid w:val="00F5653B"/>
    <w:rsid w:val="00F565DD"/>
    <w:rsid w:val="00F566C2"/>
    <w:rsid w:val="00F5699C"/>
    <w:rsid w:val="00F56AB3"/>
    <w:rsid w:val="00F56B1A"/>
    <w:rsid w:val="00F56B94"/>
    <w:rsid w:val="00F56E74"/>
    <w:rsid w:val="00F56FC9"/>
    <w:rsid w:val="00F57033"/>
    <w:rsid w:val="00F570D7"/>
    <w:rsid w:val="00F57205"/>
    <w:rsid w:val="00F572AE"/>
    <w:rsid w:val="00F572D1"/>
    <w:rsid w:val="00F572F9"/>
    <w:rsid w:val="00F57630"/>
    <w:rsid w:val="00F57778"/>
    <w:rsid w:val="00F577DD"/>
    <w:rsid w:val="00F578AB"/>
    <w:rsid w:val="00F5790A"/>
    <w:rsid w:val="00F5790F"/>
    <w:rsid w:val="00F5793D"/>
    <w:rsid w:val="00F5797A"/>
    <w:rsid w:val="00F57AAC"/>
    <w:rsid w:val="00F57C3D"/>
    <w:rsid w:val="00F57DF6"/>
    <w:rsid w:val="00F57E39"/>
    <w:rsid w:val="00F600F6"/>
    <w:rsid w:val="00F6019C"/>
    <w:rsid w:val="00F60294"/>
    <w:rsid w:val="00F604F4"/>
    <w:rsid w:val="00F60553"/>
    <w:rsid w:val="00F605D9"/>
    <w:rsid w:val="00F60659"/>
    <w:rsid w:val="00F607A6"/>
    <w:rsid w:val="00F60950"/>
    <w:rsid w:val="00F60DD6"/>
    <w:rsid w:val="00F60DE6"/>
    <w:rsid w:val="00F613C9"/>
    <w:rsid w:val="00F61546"/>
    <w:rsid w:val="00F6163C"/>
    <w:rsid w:val="00F6186B"/>
    <w:rsid w:val="00F6192A"/>
    <w:rsid w:val="00F61974"/>
    <w:rsid w:val="00F619DC"/>
    <w:rsid w:val="00F619E2"/>
    <w:rsid w:val="00F61A71"/>
    <w:rsid w:val="00F61C23"/>
    <w:rsid w:val="00F61D01"/>
    <w:rsid w:val="00F61EC4"/>
    <w:rsid w:val="00F61F36"/>
    <w:rsid w:val="00F61F3D"/>
    <w:rsid w:val="00F61FFE"/>
    <w:rsid w:val="00F620A2"/>
    <w:rsid w:val="00F621B1"/>
    <w:rsid w:val="00F62351"/>
    <w:rsid w:val="00F62572"/>
    <w:rsid w:val="00F625D4"/>
    <w:rsid w:val="00F6271A"/>
    <w:rsid w:val="00F62811"/>
    <w:rsid w:val="00F62918"/>
    <w:rsid w:val="00F62939"/>
    <w:rsid w:val="00F62AD7"/>
    <w:rsid w:val="00F62DD8"/>
    <w:rsid w:val="00F62E25"/>
    <w:rsid w:val="00F62F1C"/>
    <w:rsid w:val="00F63005"/>
    <w:rsid w:val="00F632D0"/>
    <w:rsid w:val="00F6335B"/>
    <w:rsid w:val="00F63534"/>
    <w:rsid w:val="00F63FDE"/>
    <w:rsid w:val="00F642C4"/>
    <w:rsid w:val="00F642D5"/>
    <w:rsid w:val="00F642E1"/>
    <w:rsid w:val="00F64370"/>
    <w:rsid w:val="00F64669"/>
    <w:rsid w:val="00F6470B"/>
    <w:rsid w:val="00F64BE8"/>
    <w:rsid w:val="00F64CA4"/>
    <w:rsid w:val="00F64F9E"/>
    <w:rsid w:val="00F64FA2"/>
    <w:rsid w:val="00F650C9"/>
    <w:rsid w:val="00F652DA"/>
    <w:rsid w:val="00F65334"/>
    <w:rsid w:val="00F653AD"/>
    <w:rsid w:val="00F658D2"/>
    <w:rsid w:val="00F658DC"/>
    <w:rsid w:val="00F65972"/>
    <w:rsid w:val="00F659A7"/>
    <w:rsid w:val="00F65ACC"/>
    <w:rsid w:val="00F65B22"/>
    <w:rsid w:val="00F65F5A"/>
    <w:rsid w:val="00F6605A"/>
    <w:rsid w:val="00F66093"/>
    <w:rsid w:val="00F66150"/>
    <w:rsid w:val="00F6624D"/>
    <w:rsid w:val="00F6653F"/>
    <w:rsid w:val="00F66579"/>
    <w:rsid w:val="00F666D4"/>
    <w:rsid w:val="00F667A6"/>
    <w:rsid w:val="00F66927"/>
    <w:rsid w:val="00F669D2"/>
    <w:rsid w:val="00F66A46"/>
    <w:rsid w:val="00F66A83"/>
    <w:rsid w:val="00F66AC7"/>
    <w:rsid w:val="00F66C2A"/>
    <w:rsid w:val="00F66E31"/>
    <w:rsid w:val="00F66F9C"/>
    <w:rsid w:val="00F66FAA"/>
    <w:rsid w:val="00F67014"/>
    <w:rsid w:val="00F6721C"/>
    <w:rsid w:val="00F67360"/>
    <w:rsid w:val="00F6736C"/>
    <w:rsid w:val="00F67397"/>
    <w:rsid w:val="00F6792D"/>
    <w:rsid w:val="00F67B11"/>
    <w:rsid w:val="00F67D61"/>
    <w:rsid w:val="00F67EA6"/>
    <w:rsid w:val="00F67F45"/>
    <w:rsid w:val="00F7039B"/>
    <w:rsid w:val="00F70610"/>
    <w:rsid w:val="00F70644"/>
    <w:rsid w:val="00F70659"/>
    <w:rsid w:val="00F70A8D"/>
    <w:rsid w:val="00F70C9A"/>
    <w:rsid w:val="00F70CEC"/>
    <w:rsid w:val="00F70D5E"/>
    <w:rsid w:val="00F70E24"/>
    <w:rsid w:val="00F70F02"/>
    <w:rsid w:val="00F70F8C"/>
    <w:rsid w:val="00F70FE8"/>
    <w:rsid w:val="00F71061"/>
    <w:rsid w:val="00F71064"/>
    <w:rsid w:val="00F710B0"/>
    <w:rsid w:val="00F71488"/>
    <w:rsid w:val="00F714FB"/>
    <w:rsid w:val="00F715A4"/>
    <w:rsid w:val="00F7171D"/>
    <w:rsid w:val="00F71973"/>
    <w:rsid w:val="00F71A27"/>
    <w:rsid w:val="00F71B12"/>
    <w:rsid w:val="00F71C6C"/>
    <w:rsid w:val="00F71ED3"/>
    <w:rsid w:val="00F71F4F"/>
    <w:rsid w:val="00F71F68"/>
    <w:rsid w:val="00F72010"/>
    <w:rsid w:val="00F72018"/>
    <w:rsid w:val="00F722DA"/>
    <w:rsid w:val="00F72468"/>
    <w:rsid w:val="00F724B7"/>
    <w:rsid w:val="00F724BD"/>
    <w:rsid w:val="00F7282F"/>
    <w:rsid w:val="00F72959"/>
    <w:rsid w:val="00F72981"/>
    <w:rsid w:val="00F729EE"/>
    <w:rsid w:val="00F72C2D"/>
    <w:rsid w:val="00F72D02"/>
    <w:rsid w:val="00F72D29"/>
    <w:rsid w:val="00F72E39"/>
    <w:rsid w:val="00F72F11"/>
    <w:rsid w:val="00F72F7C"/>
    <w:rsid w:val="00F72F86"/>
    <w:rsid w:val="00F73056"/>
    <w:rsid w:val="00F731A9"/>
    <w:rsid w:val="00F7337A"/>
    <w:rsid w:val="00F73717"/>
    <w:rsid w:val="00F7372A"/>
    <w:rsid w:val="00F7380B"/>
    <w:rsid w:val="00F73899"/>
    <w:rsid w:val="00F738CA"/>
    <w:rsid w:val="00F73955"/>
    <w:rsid w:val="00F73975"/>
    <w:rsid w:val="00F73AAE"/>
    <w:rsid w:val="00F7406F"/>
    <w:rsid w:val="00F742DD"/>
    <w:rsid w:val="00F743FC"/>
    <w:rsid w:val="00F747EA"/>
    <w:rsid w:val="00F74819"/>
    <w:rsid w:val="00F74823"/>
    <w:rsid w:val="00F74982"/>
    <w:rsid w:val="00F74DAB"/>
    <w:rsid w:val="00F74DE9"/>
    <w:rsid w:val="00F74E6A"/>
    <w:rsid w:val="00F74F37"/>
    <w:rsid w:val="00F7516D"/>
    <w:rsid w:val="00F7519A"/>
    <w:rsid w:val="00F75481"/>
    <w:rsid w:val="00F75526"/>
    <w:rsid w:val="00F75771"/>
    <w:rsid w:val="00F757D2"/>
    <w:rsid w:val="00F758AA"/>
    <w:rsid w:val="00F75A3B"/>
    <w:rsid w:val="00F75A7E"/>
    <w:rsid w:val="00F75D18"/>
    <w:rsid w:val="00F75F78"/>
    <w:rsid w:val="00F76137"/>
    <w:rsid w:val="00F76347"/>
    <w:rsid w:val="00F76352"/>
    <w:rsid w:val="00F76436"/>
    <w:rsid w:val="00F765E0"/>
    <w:rsid w:val="00F76669"/>
    <w:rsid w:val="00F76735"/>
    <w:rsid w:val="00F7684B"/>
    <w:rsid w:val="00F76A18"/>
    <w:rsid w:val="00F76A4E"/>
    <w:rsid w:val="00F76AB6"/>
    <w:rsid w:val="00F76C0D"/>
    <w:rsid w:val="00F76C26"/>
    <w:rsid w:val="00F7703C"/>
    <w:rsid w:val="00F7711C"/>
    <w:rsid w:val="00F77251"/>
    <w:rsid w:val="00F77315"/>
    <w:rsid w:val="00F7767A"/>
    <w:rsid w:val="00F7778C"/>
    <w:rsid w:val="00F77934"/>
    <w:rsid w:val="00F77998"/>
    <w:rsid w:val="00F77A0B"/>
    <w:rsid w:val="00F77D97"/>
    <w:rsid w:val="00F77D9A"/>
    <w:rsid w:val="00F77FCF"/>
    <w:rsid w:val="00F80221"/>
    <w:rsid w:val="00F807FC"/>
    <w:rsid w:val="00F80921"/>
    <w:rsid w:val="00F80C98"/>
    <w:rsid w:val="00F80D48"/>
    <w:rsid w:val="00F80DEB"/>
    <w:rsid w:val="00F80F38"/>
    <w:rsid w:val="00F80F70"/>
    <w:rsid w:val="00F81061"/>
    <w:rsid w:val="00F810B2"/>
    <w:rsid w:val="00F810FB"/>
    <w:rsid w:val="00F8127B"/>
    <w:rsid w:val="00F81331"/>
    <w:rsid w:val="00F8152A"/>
    <w:rsid w:val="00F8157D"/>
    <w:rsid w:val="00F815B0"/>
    <w:rsid w:val="00F81639"/>
    <w:rsid w:val="00F81859"/>
    <w:rsid w:val="00F81A2E"/>
    <w:rsid w:val="00F81AC8"/>
    <w:rsid w:val="00F81B05"/>
    <w:rsid w:val="00F81C24"/>
    <w:rsid w:val="00F81D3F"/>
    <w:rsid w:val="00F82069"/>
    <w:rsid w:val="00F82297"/>
    <w:rsid w:val="00F82659"/>
    <w:rsid w:val="00F82694"/>
    <w:rsid w:val="00F8269D"/>
    <w:rsid w:val="00F82865"/>
    <w:rsid w:val="00F8290E"/>
    <w:rsid w:val="00F829B2"/>
    <w:rsid w:val="00F82ACA"/>
    <w:rsid w:val="00F82ED5"/>
    <w:rsid w:val="00F82F5D"/>
    <w:rsid w:val="00F8300A"/>
    <w:rsid w:val="00F83070"/>
    <w:rsid w:val="00F830B5"/>
    <w:rsid w:val="00F83317"/>
    <w:rsid w:val="00F833D0"/>
    <w:rsid w:val="00F8347F"/>
    <w:rsid w:val="00F835AB"/>
    <w:rsid w:val="00F835BB"/>
    <w:rsid w:val="00F83A44"/>
    <w:rsid w:val="00F83B6C"/>
    <w:rsid w:val="00F83F16"/>
    <w:rsid w:val="00F84029"/>
    <w:rsid w:val="00F8424D"/>
    <w:rsid w:val="00F84462"/>
    <w:rsid w:val="00F8458D"/>
    <w:rsid w:val="00F845AC"/>
    <w:rsid w:val="00F8460F"/>
    <w:rsid w:val="00F8476B"/>
    <w:rsid w:val="00F84AD6"/>
    <w:rsid w:val="00F84CCA"/>
    <w:rsid w:val="00F84CE1"/>
    <w:rsid w:val="00F84CEA"/>
    <w:rsid w:val="00F850B9"/>
    <w:rsid w:val="00F854D1"/>
    <w:rsid w:val="00F85688"/>
    <w:rsid w:val="00F85820"/>
    <w:rsid w:val="00F858E3"/>
    <w:rsid w:val="00F8595B"/>
    <w:rsid w:val="00F85B28"/>
    <w:rsid w:val="00F85CB6"/>
    <w:rsid w:val="00F85CED"/>
    <w:rsid w:val="00F85DC2"/>
    <w:rsid w:val="00F85DE6"/>
    <w:rsid w:val="00F85F41"/>
    <w:rsid w:val="00F85F83"/>
    <w:rsid w:val="00F85FAA"/>
    <w:rsid w:val="00F85FBA"/>
    <w:rsid w:val="00F85FC5"/>
    <w:rsid w:val="00F8600E"/>
    <w:rsid w:val="00F86029"/>
    <w:rsid w:val="00F8641C"/>
    <w:rsid w:val="00F8652E"/>
    <w:rsid w:val="00F86554"/>
    <w:rsid w:val="00F86627"/>
    <w:rsid w:val="00F8662D"/>
    <w:rsid w:val="00F8664E"/>
    <w:rsid w:val="00F8667E"/>
    <w:rsid w:val="00F867EA"/>
    <w:rsid w:val="00F868E1"/>
    <w:rsid w:val="00F869F1"/>
    <w:rsid w:val="00F86BA7"/>
    <w:rsid w:val="00F86BBF"/>
    <w:rsid w:val="00F86BC6"/>
    <w:rsid w:val="00F86C78"/>
    <w:rsid w:val="00F86E24"/>
    <w:rsid w:val="00F86F9C"/>
    <w:rsid w:val="00F87056"/>
    <w:rsid w:val="00F870AE"/>
    <w:rsid w:val="00F870E2"/>
    <w:rsid w:val="00F8712E"/>
    <w:rsid w:val="00F8716B"/>
    <w:rsid w:val="00F8728D"/>
    <w:rsid w:val="00F87330"/>
    <w:rsid w:val="00F875B0"/>
    <w:rsid w:val="00F8762D"/>
    <w:rsid w:val="00F876B4"/>
    <w:rsid w:val="00F876F1"/>
    <w:rsid w:val="00F877AB"/>
    <w:rsid w:val="00F877D5"/>
    <w:rsid w:val="00F8785D"/>
    <w:rsid w:val="00F87A69"/>
    <w:rsid w:val="00F87B6F"/>
    <w:rsid w:val="00F90074"/>
    <w:rsid w:val="00F9023C"/>
    <w:rsid w:val="00F90321"/>
    <w:rsid w:val="00F90523"/>
    <w:rsid w:val="00F9076C"/>
    <w:rsid w:val="00F907B2"/>
    <w:rsid w:val="00F90905"/>
    <w:rsid w:val="00F90A4F"/>
    <w:rsid w:val="00F90ABB"/>
    <w:rsid w:val="00F90B89"/>
    <w:rsid w:val="00F90F05"/>
    <w:rsid w:val="00F90F70"/>
    <w:rsid w:val="00F91090"/>
    <w:rsid w:val="00F910E4"/>
    <w:rsid w:val="00F91104"/>
    <w:rsid w:val="00F911ED"/>
    <w:rsid w:val="00F911FB"/>
    <w:rsid w:val="00F9143B"/>
    <w:rsid w:val="00F91A46"/>
    <w:rsid w:val="00F91A55"/>
    <w:rsid w:val="00F91BF6"/>
    <w:rsid w:val="00F91C0B"/>
    <w:rsid w:val="00F91D11"/>
    <w:rsid w:val="00F91E93"/>
    <w:rsid w:val="00F91EF7"/>
    <w:rsid w:val="00F9211D"/>
    <w:rsid w:val="00F9212A"/>
    <w:rsid w:val="00F92264"/>
    <w:rsid w:val="00F927D7"/>
    <w:rsid w:val="00F92C64"/>
    <w:rsid w:val="00F92CEA"/>
    <w:rsid w:val="00F92F0C"/>
    <w:rsid w:val="00F92FDF"/>
    <w:rsid w:val="00F93002"/>
    <w:rsid w:val="00F9322C"/>
    <w:rsid w:val="00F934A4"/>
    <w:rsid w:val="00F935DA"/>
    <w:rsid w:val="00F936C3"/>
    <w:rsid w:val="00F937CA"/>
    <w:rsid w:val="00F93844"/>
    <w:rsid w:val="00F93881"/>
    <w:rsid w:val="00F93A80"/>
    <w:rsid w:val="00F943D9"/>
    <w:rsid w:val="00F945F7"/>
    <w:rsid w:val="00F946F5"/>
    <w:rsid w:val="00F94846"/>
    <w:rsid w:val="00F9489F"/>
    <w:rsid w:val="00F948FC"/>
    <w:rsid w:val="00F94A2D"/>
    <w:rsid w:val="00F94A9F"/>
    <w:rsid w:val="00F94AF3"/>
    <w:rsid w:val="00F94BA0"/>
    <w:rsid w:val="00F94C56"/>
    <w:rsid w:val="00F94E38"/>
    <w:rsid w:val="00F94E76"/>
    <w:rsid w:val="00F94E9E"/>
    <w:rsid w:val="00F94EE8"/>
    <w:rsid w:val="00F950E9"/>
    <w:rsid w:val="00F950F2"/>
    <w:rsid w:val="00F9527A"/>
    <w:rsid w:val="00F953DB"/>
    <w:rsid w:val="00F95430"/>
    <w:rsid w:val="00F9547C"/>
    <w:rsid w:val="00F95544"/>
    <w:rsid w:val="00F957A6"/>
    <w:rsid w:val="00F957FA"/>
    <w:rsid w:val="00F957FB"/>
    <w:rsid w:val="00F9585F"/>
    <w:rsid w:val="00F958F9"/>
    <w:rsid w:val="00F958FF"/>
    <w:rsid w:val="00F9598E"/>
    <w:rsid w:val="00F95A15"/>
    <w:rsid w:val="00F95B04"/>
    <w:rsid w:val="00F95DCA"/>
    <w:rsid w:val="00F95E0A"/>
    <w:rsid w:val="00F95E20"/>
    <w:rsid w:val="00F95F2F"/>
    <w:rsid w:val="00F95F40"/>
    <w:rsid w:val="00F95F99"/>
    <w:rsid w:val="00F960B8"/>
    <w:rsid w:val="00F9624E"/>
    <w:rsid w:val="00F962A2"/>
    <w:rsid w:val="00F96426"/>
    <w:rsid w:val="00F966EE"/>
    <w:rsid w:val="00F96843"/>
    <w:rsid w:val="00F968D5"/>
    <w:rsid w:val="00F968F7"/>
    <w:rsid w:val="00F969B9"/>
    <w:rsid w:val="00F96B70"/>
    <w:rsid w:val="00F96E9A"/>
    <w:rsid w:val="00F96FEC"/>
    <w:rsid w:val="00F970A2"/>
    <w:rsid w:val="00F97135"/>
    <w:rsid w:val="00F976F3"/>
    <w:rsid w:val="00F976F7"/>
    <w:rsid w:val="00F977C3"/>
    <w:rsid w:val="00F977ED"/>
    <w:rsid w:val="00F977F1"/>
    <w:rsid w:val="00F97995"/>
    <w:rsid w:val="00F97A5D"/>
    <w:rsid w:val="00F97B97"/>
    <w:rsid w:val="00F97BA5"/>
    <w:rsid w:val="00F97C2C"/>
    <w:rsid w:val="00F97D23"/>
    <w:rsid w:val="00F97E44"/>
    <w:rsid w:val="00F97E6A"/>
    <w:rsid w:val="00F97EC7"/>
    <w:rsid w:val="00F97FB2"/>
    <w:rsid w:val="00F97FFC"/>
    <w:rsid w:val="00FA0066"/>
    <w:rsid w:val="00FA01CB"/>
    <w:rsid w:val="00FA0285"/>
    <w:rsid w:val="00FA0497"/>
    <w:rsid w:val="00FA049A"/>
    <w:rsid w:val="00FA04A5"/>
    <w:rsid w:val="00FA076F"/>
    <w:rsid w:val="00FA0AA3"/>
    <w:rsid w:val="00FA0C06"/>
    <w:rsid w:val="00FA0C59"/>
    <w:rsid w:val="00FA0F5E"/>
    <w:rsid w:val="00FA0F89"/>
    <w:rsid w:val="00FA0FFF"/>
    <w:rsid w:val="00FA10FE"/>
    <w:rsid w:val="00FA129B"/>
    <w:rsid w:val="00FA1320"/>
    <w:rsid w:val="00FA13F5"/>
    <w:rsid w:val="00FA1627"/>
    <w:rsid w:val="00FA16E4"/>
    <w:rsid w:val="00FA1766"/>
    <w:rsid w:val="00FA178E"/>
    <w:rsid w:val="00FA1997"/>
    <w:rsid w:val="00FA19F2"/>
    <w:rsid w:val="00FA1A43"/>
    <w:rsid w:val="00FA1C48"/>
    <w:rsid w:val="00FA1C55"/>
    <w:rsid w:val="00FA1C9E"/>
    <w:rsid w:val="00FA2022"/>
    <w:rsid w:val="00FA20AC"/>
    <w:rsid w:val="00FA2418"/>
    <w:rsid w:val="00FA2507"/>
    <w:rsid w:val="00FA25D9"/>
    <w:rsid w:val="00FA277D"/>
    <w:rsid w:val="00FA27B4"/>
    <w:rsid w:val="00FA2982"/>
    <w:rsid w:val="00FA2DCE"/>
    <w:rsid w:val="00FA30EC"/>
    <w:rsid w:val="00FA31D3"/>
    <w:rsid w:val="00FA334F"/>
    <w:rsid w:val="00FA339F"/>
    <w:rsid w:val="00FA34A6"/>
    <w:rsid w:val="00FA353B"/>
    <w:rsid w:val="00FA35F7"/>
    <w:rsid w:val="00FA36AF"/>
    <w:rsid w:val="00FA36DC"/>
    <w:rsid w:val="00FA36EE"/>
    <w:rsid w:val="00FA3759"/>
    <w:rsid w:val="00FA3943"/>
    <w:rsid w:val="00FA3A59"/>
    <w:rsid w:val="00FA3C9E"/>
    <w:rsid w:val="00FA3CE9"/>
    <w:rsid w:val="00FA3E70"/>
    <w:rsid w:val="00FA4289"/>
    <w:rsid w:val="00FA4408"/>
    <w:rsid w:val="00FA4761"/>
    <w:rsid w:val="00FA4847"/>
    <w:rsid w:val="00FA4894"/>
    <w:rsid w:val="00FA4B30"/>
    <w:rsid w:val="00FA4B4F"/>
    <w:rsid w:val="00FA4BA7"/>
    <w:rsid w:val="00FA4CB4"/>
    <w:rsid w:val="00FA4CBF"/>
    <w:rsid w:val="00FA4CCD"/>
    <w:rsid w:val="00FA4CDB"/>
    <w:rsid w:val="00FA4E4B"/>
    <w:rsid w:val="00FA4E7A"/>
    <w:rsid w:val="00FA4EAF"/>
    <w:rsid w:val="00FA4EC0"/>
    <w:rsid w:val="00FA5312"/>
    <w:rsid w:val="00FA53B1"/>
    <w:rsid w:val="00FA54B9"/>
    <w:rsid w:val="00FA5551"/>
    <w:rsid w:val="00FA5911"/>
    <w:rsid w:val="00FA5934"/>
    <w:rsid w:val="00FA5B3B"/>
    <w:rsid w:val="00FA5CBA"/>
    <w:rsid w:val="00FA5D04"/>
    <w:rsid w:val="00FA609C"/>
    <w:rsid w:val="00FA632C"/>
    <w:rsid w:val="00FA63C7"/>
    <w:rsid w:val="00FA63C8"/>
    <w:rsid w:val="00FA63FA"/>
    <w:rsid w:val="00FA6638"/>
    <w:rsid w:val="00FA66D6"/>
    <w:rsid w:val="00FA6737"/>
    <w:rsid w:val="00FA6A21"/>
    <w:rsid w:val="00FA6AF2"/>
    <w:rsid w:val="00FA6BAA"/>
    <w:rsid w:val="00FA6BCD"/>
    <w:rsid w:val="00FA6D9F"/>
    <w:rsid w:val="00FA6E04"/>
    <w:rsid w:val="00FA6E1E"/>
    <w:rsid w:val="00FA7085"/>
    <w:rsid w:val="00FA70CF"/>
    <w:rsid w:val="00FA73EB"/>
    <w:rsid w:val="00FA7561"/>
    <w:rsid w:val="00FA77E6"/>
    <w:rsid w:val="00FA7AA7"/>
    <w:rsid w:val="00FA7C59"/>
    <w:rsid w:val="00FA7D64"/>
    <w:rsid w:val="00FA7E1D"/>
    <w:rsid w:val="00FA7F47"/>
    <w:rsid w:val="00FB006B"/>
    <w:rsid w:val="00FB0124"/>
    <w:rsid w:val="00FB034B"/>
    <w:rsid w:val="00FB0388"/>
    <w:rsid w:val="00FB0450"/>
    <w:rsid w:val="00FB0581"/>
    <w:rsid w:val="00FB06F9"/>
    <w:rsid w:val="00FB07FA"/>
    <w:rsid w:val="00FB0932"/>
    <w:rsid w:val="00FB0980"/>
    <w:rsid w:val="00FB0A21"/>
    <w:rsid w:val="00FB0CFC"/>
    <w:rsid w:val="00FB0D21"/>
    <w:rsid w:val="00FB0DE3"/>
    <w:rsid w:val="00FB0F0D"/>
    <w:rsid w:val="00FB0FED"/>
    <w:rsid w:val="00FB1060"/>
    <w:rsid w:val="00FB1098"/>
    <w:rsid w:val="00FB117D"/>
    <w:rsid w:val="00FB139B"/>
    <w:rsid w:val="00FB1417"/>
    <w:rsid w:val="00FB1500"/>
    <w:rsid w:val="00FB153C"/>
    <w:rsid w:val="00FB1661"/>
    <w:rsid w:val="00FB1886"/>
    <w:rsid w:val="00FB1B29"/>
    <w:rsid w:val="00FB1C0D"/>
    <w:rsid w:val="00FB1E00"/>
    <w:rsid w:val="00FB1EF2"/>
    <w:rsid w:val="00FB1F9C"/>
    <w:rsid w:val="00FB2116"/>
    <w:rsid w:val="00FB2230"/>
    <w:rsid w:val="00FB2522"/>
    <w:rsid w:val="00FB2686"/>
    <w:rsid w:val="00FB2A0D"/>
    <w:rsid w:val="00FB2A88"/>
    <w:rsid w:val="00FB2B4B"/>
    <w:rsid w:val="00FB2EF4"/>
    <w:rsid w:val="00FB30DD"/>
    <w:rsid w:val="00FB3261"/>
    <w:rsid w:val="00FB3611"/>
    <w:rsid w:val="00FB3669"/>
    <w:rsid w:val="00FB3799"/>
    <w:rsid w:val="00FB3A5E"/>
    <w:rsid w:val="00FB3A87"/>
    <w:rsid w:val="00FB3C15"/>
    <w:rsid w:val="00FB3C62"/>
    <w:rsid w:val="00FB3E4C"/>
    <w:rsid w:val="00FB3F41"/>
    <w:rsid w:val="00FB4048"/>
    <w:rsid w:val="00FB404A"/>
    <w:rsid w:val="00FB41F4"/>
    <w:rsid w:val="00FB4201"/>
    <w:rsid w:val="00FB4521"/>
    <w:rsid w:val="00FB4548"/>
    <w:rsid w:val="00FB45B7"/>
    <w:rsid w:val="00FB481C"/>
    <w:rsid w:val="00FB48AA"/>
    <w:rsid w:val="00FB48D4"/>
    <w:rsid w:val="00FB4960"/>
    <w:rsid w:val="00FB4A29"/>
    <w:rsid w:val="00FB4B4C"/>
    <w:rsid w:val="00FB4BB2"/>
    <w:rsid w:val="00FB4C22"/>
    <w:rsid w:val="00FB4E00"/>
    <w:rsid w:val="00FB4E81"/>
    <w:rsid w:val="00FB51B3"/>
    <w:rsid w:val="00FB5514"/>
    <w:rsid w:val="00FB56A5"/>
    <w:rsid w:val="00FB58F9"/>
    <w:rsid w:val="00FB596B"/>
    <w:rsid w:val="00FB5B42"/>
    <w:rsid w:val="00FB5C2F"/>
    <w:rsid w:val="00FB5E80"/>
    <w:rsid w:val="00FB6279"/>
    <w:rsid w:val="00FB62BD"/>
    <w:rsid w:val="00FB6354"/>
    <w:rsid w:val="00FB6384"/>
    <w:rsid w:val="00FB6797"/>
    <w:rsid w:val="00FB67DB"/>
    <w:rsid w:val="00FB6906"/>
    <w:rsid w:val="00FB6A2C"/>
    <w:rsid w:val="00FB6E26"/>
    <w:rsid w:val="00FB705A"/>
    <w:rsid w:val="00FB759E"/>
    <w:rsid w:val="00FB7724"/>
    <w:rsid w:val="00FB7819"/>
    <w:rsid w:val="00FB799F"/>
    <w:rsid w:val="00FB79E4"/>
    <w:rsid w:val="00FB7A58"/>
    <w:rsid w:val="00FB7C63"/>
    <w:rsid w:val="00FB7CB7"/>
    <w:rsid w:val="00FB7D00"/>
    <w:rsid w:val="00FB7D57"/>
    <w:rsid w:val="00FC0102"/>
    <w:rsid w:val="00FC029A"/>
    <w:rsid w:val="00FC0786"/>
    <w:rsid w:val="00FC0874"/>
    <w:rsid w:val="00FC09A6"/>
    <w:rsid w:val="00FC0AD4"/>
    <w:rsid w:val="00FC0CFB"/>
    <w:rsid w:val="00FC0DD2"/>
    <w:rsid w:val="00FC0E29"/>
    <w:rsid w:val="00FC0E3D"/>
    <w:rsid w:val="00FC11A6"/>
    <w:rsid w:val="00FC12A7"/>
    <w:rsid w:val="00FC1317"/>
    <w:rsid w:val="00FC1567"/>
    <w:rsid w:val="00FC15FB"/>
    <w:rsid w:val="00FC176B"/>
    <w:rsid w:val="00FC17AA"/>
    <w:rsid w:val="00FC180E"/>
    <w:rsid w:val="00FC1A76"/>
    <w:rsid w:val="00FC1B09"/>
    <w:rsid w:val="00FC1B19"/>
    <w:rsid w:val="00FC1BC5"/>
    <w:rsid w:val="00FC1CAC"/>
    <w:rsid w:val="00FC1DCC"/>
    <w:rsid w:val="00FC20B4"/>
    <w:rsid w:val="00FC21BB"/>
    <w:rsid w:val="00FC2250"/>
    <w:rsid w:val="00FC24BD"/>
    <w:rsid w:val="00FC25A9"/>
    <w:rsid w:val="00FC273C"/>
    <w:rsid w:val="00FC27EB"/>
    <w:rsid w:val="00FC288A"/>
    <w:rsid w:val="00FC28D2"/>
    <w:rsid w:val="00FC298D"/>
    <w:rsid w:val="00FC29B0"/>
    <w:rsid w:val="00FC2ACE"/>
    <w:rsid w:val="00FC2B15"/>
    <w:rsid w:val="00FC2B37"/>
    <w:rsid w:val="00FC2B45"/>
    <w:rsid w:val="00FC2BE2"/>
    <w:rsid w:val="00FC2C8C"/>
    <w:rsid w:val="00FC2DB3"/>
    <w:rsid w:val="00FC2DF2"/>
    <w:rsid w:val="00FC2ED7"/>
    <w:rsid w:val="00FC2F28"/>
    <w:rsid w:val="00FC304D"/>
    <w:rsid w:val="00FC309B"/>
    <w:rsid w:val="00FC311E"/>
    <w:rsid w:val="00FC31EC"/>
    <w:rsid w:val="00FC33DB"/>
    <w:rsid w:val="00FC341E"/>
    <w:rsid w:val="00FC3682"/>
    <w:rsid w:val="00FC376E"/>
    <w:rsid w:val="00FC387A"/>
    <w:rsid w:val="00FC388D"/>
    <w:rsid w:val="00FC3900"/>
    <w:rsid w:val="00FC396E"/>
    <w:rsid w:val="00FC3A8E"/>
    <w:rsid w:val="00FC3B9E"/>
    <w:rsid w:val="00FC3BEA"/>
    <w:rsid w:val="00FC3CCA"/>
    <w:rsid w:val="00FC3CE8"/>
    <w:rsid w:val="00FC403A"/>
    <w:rsid w:val="00FC41C1"/>
    <w:rsid w:val="00FC4331"/>
    <w:rsid w:val="00FC463C"/>
    <w:rsid w:val="00FC46CF"/>
    <w:rsid w:val="00FC46D5"/>
    <w:rsid w:val="00FC482C"/>
    <w:rsid w:val="00FC4869"/>
    <w:rsid w:val="00FC48C9"/>
    <w:rsid w:val="00FC4950"/>
    <w:rsid w:val="00FC496C"/>
    <w:rsid w:val="00FC4A53"/>
    <w:rsid w:val="00FC4BBB"/>
    <w:rsid w:val="00FC4CCA"/>
    <w:rsid w:val="00FC5139"/>
    <w:rsid w:val="00FC51A5"/>
    <w:rsid w:val="00FC51A8"/>
    <w:rsid w:val="00FC5209"/>
    <w:rsid w:val="00FC5476"/>
    <w:rsid w:val="00FC573A"/>
    <w:rsid w:val="00FC58A0"/>
    <w:rsid w:val="00FC59A2"/>
    <w:rsid w:val="00FC5B7C"/>
    <w:rsid w:val="00FC5C7A"/>
    <w:rsid w:val="00FC5C7E"/>
    <w:rsid w:val="00FC5DE0"/>
    <w:rsid w:val="00FC5E68"/>
    <w:rsid w:val="00FC5F73"/>
    <w:rsid w:val="00FC5FDE"/>
    <w:rsid w:val="00FC61C2"/>
    <w:rsid w:val="00FC62CC"/>
    <w:rsid w:val="00FC657C"/>
    <w:rsid w:val="00FC66A8"/>
    <w:rsid w:val="00FC6750"/>
    <w:rsid w:val="00FC6835"/>
    <w:rsid w:val="00FC6844"/>
    <w:rsid w:val="00FC6855"/>
    <w:rsid w:val="00FC6992"/>
    <w:rsid w:val="00FC6F2B"/>
    <w:rsid w:val="00FC6F6E"/>
    <w:rsid w:val="00FC73B1"/>
    <w:rsid w:val="00FC744F"/>
    <w:rsid w:val="00FC75AB"/>
    <w:rsid w:val="00FC7692"/>
    <w:rsid w:val="00FC7898"/>
    <w:rsid w:val="00FC796A"/>
    <w:rsid w:val="00FC7A99"/>
    <w:rsid w:val="00FC7AA2"/>
    <w:rsid w:val="00FC7BFA"/>
    <w:rsid w:val="00FC7E46"/>
    <w:rsid w:val="00FC7E64"/>
    <w:rsid w:val="00FC7FF9"/>
    <w:rsid w:val="00FD01BB"/>
    <w:rsid w:val="00FD0242"/>
    <w:rsid w:val="00FD0261"/>
    <w:rsid w:val="00FD028A"/>
    <w:rsid w:val="00FD06C9"/>
    <w:rsid w:val="00FD0782"/>
    <w:rsid w:val="00FD07DF"/>
    <w:rsid w:val="00FD0888"/>
    <w:rsid w:val="00FD0899"/>
    <w:rsid w:val="00FD09B8"/>
    <w:rsid w:val="00FD0A4A"/>
    <w:rsid w:val="00FD0D5F"/>
    <w:rsid w:val="00FD0DDC"/>
    <w:rsid w:val="00FD0E6D"/>
    <w:rsid w:val="00FD0E94"/>
    <w:rsid w:val="00FD19DB"/>
    <w:rsid w:val="00FD1B16"/>
    <w:rsid w:val="00FD1D79"/>
    <w:rsid w:val="00FD1EDF"/>
    <w:rsid w:val="00FD1FA4"/>
    <w:rsid w:val="00FD202C"/>
    <w:rsid w:val="00FD203A"/>
    <w:rsid w:val="00FD23E1"/>
    <w:rsid w:val="00FD254C"/>
    <w:rsid w:val="00FD27B2"/>
    <w:rsid w:val="00FD285E"/>
    <w:rsid w:val="00FD288B"/>
    <w:rsid w:val="00FD2BAA"/>
    <w:rsid w:val="00FD2BCA"/>
    <w:rsid w:val="00FD2E28"/>
    <w:rsid w:val="00FD2FFC"/>
    <w:rsid w:val="00FD31CA"/>
    <w:rsid w:val="00FD338C"/>
    <w:rsid w:val="00FD3455"/>
    <w:rsid w:val="00FD3462"/>
    <w:rsid w:val="00FD3692"/>
    <w:rsid w:val="00FD37F5"/>
    <w:rsid w:val="00FD385F"/>
    <w:rsid w:val="00FD3A79"/>
    <w:rsid w:val="00FD3A9A"/>
    <w:rsid w:val="00FD3BA0"/>
    <w:rsid w:val="00FD3C98"/>
    <w:rsid w:val="00FD3E87"/>
    <w:rsid w:val="00FD3F4F"/>
    <w:rsid w:val="00FD40FB"/>
    <w:rsid w:val="00FD42A0"/>
    <w:rsid w:val="00FD42DA"/>
    <w:rsid w:val="00FD44BE"/>
    <w:rsid w:val="00FD44C6"/>
    <w:rsid w:val="00FD46AA"/>
    <w:rsid w:val="00FD4820"/>
    <w:rsid w:val="00FD4B41"/>
    <w:rsid w:val="00FD4C8D"/>
    <w:rsid w:val="00FD4CAE"/>
    <w:rsid w:val="00FD4CDC"/>
    <w:rsid w:val="00FD4D05"/>
    <w:rsid w:val="00FD4F08"/>
    <w:rsid w:val="00FD505B"/>
    <w:rsid w:val="00FD5168"/>
    <w:rsid w:val="00FD521B"/>
    <w:rsid w:val="00FD524A"/>
    <w:rsid w:val="00FD52EF"/>
    <w:rsid w:val="00FD5354"/>
    <w:rsid w:val="00FD5394"/>
    <w:rsid w:val="00FD5511"/>
    <w:rsid w:val="00FD5895"/>
    <w:rsid w:val="00FD58F4"/>
    <w:rsid w:val="00FD5A00"/>
    <w:rsid w:val="00FD5D13"/>
    <w:rsid w:val="00FD5D6A"/>
    <w:rsid w:val="00FD5E8F"/>
    <w:rsid w:val="00FD5ECE"/>
    <w:rsid w:val="00FD5F6D"/>
    <w:rsid w:val="00FD5FB0"/>
    <w:rsid w:val="00FD5FDE"/>
    <w:rsid w:val="00FD6051"/>
    <w:rsid w:val="00FD606D"/>
    <w:rsid w:val="00FD619C"/>
    <w:rsid w:val="00FD63DD"/>
    <w:rsid w:val="00FD64C0"/>
    <w:rsid w:val="00FD6563"/>
    <w:rsid w:val="00FD6658"/>
    <w:rsid w:val="00FD6677"/>
    <w:rsid w:val="00FD682B"/>
    <w:rsid w:val="00FD68A6"/>
    <w:rsid w:val="00FD68F9"/>
    <w:rsid w:val="00FD692F"/>
    <w:rsid w:val="00FD694D"/>
    <w:rsid w:val="00FD6A70"/>
    <w:rsid w:val="00FD6AC5"/>
    <w:rsid w:val="00FD6AF7"/>
    <w:rsid w:val="00FD6C45"/>
    <w:rsid w:val="00FD6CFF"/>
    <w:rsid w:val="00FD6F61"/>
    <w:rsid w:val="00FD7156"/>
    <w:rsid w:val="00FD7267"/>
    <w:rsid w:val="00FD749A"/>
    <w:rsid w:val="00FD7767"/>
    <w:rsid w:val="00FD7AAD"/>
    <w:rsid w:val="00FD7C10"/>
    <w:rsid w:val="00FD7D24"/>
    <w:rsid w:val="00FD7D76"/>
    <w:rsid w:val="00FD7DA2"/>
    <w:rsid w:val="00FD7DD0"/>
    <w:rsid w:val="00FD7EC7"/>
    <w:rsid w:val="00FD7F3A"/>
    <w:rsid w:val="00FE02F9"/>
    <w:rsid w:val="00FE03B6"/>
    <w:rsid w:val="00FE04D3"/>
    <w:rsid w:val="00FE053E"/>
    <w:rsid w:val="00FE0546"/>
    <w:rsid w:val="00FE05A6"/>
    <w:rsid w:val="00FE0677"/>
    <w:rsid w:val="00FE0B35"/>
    <w:rsid w:val="00FE0B70"/>
    <w:rsid w:val="00FE0BCD"/>
    <w:rsid w:val="00FE0BF2"/>
    <w:rsid w:val="00FE0E12"/>
    <w:rsid w:val="00FE0FDF"/>
    <w:rsid w:val="00FE1109"/>
    <w:rsid w:val="00FE1278"/>
    <w:rsid w:val="00FE12E4"/>
    <w:rsid w:val="00FE12E6"/>
    <w:rsid w:val="00FE14B7"/>
    <w:rsid w:val="00FE1737"/>
    <w:rsid w:val="00FE1822"/>
    <w:rsid w:val="00FE18F9"/>
    <w:rsid w:val="00FE1935"/>
    <w:rsid w:val="00FE1BE6"/>
    <w:rsid w:val="00FE1C68"/>
    <w:rsid w:val="00FE1CE6"/>
    <w:rsid w:val="00FE1D16"/>
    <w:rsid w:val="00FE1D75"/>
    <w:rsid w:val="00FE1DBC"/>
    <w:rsid w:val="00FE2064"/>
    <w:rsid w:val="00FE20FB"/>
    <w:rsid w:val="00FE2268"/>
    <w:rsid w:val="00FE226E"/>
    <w:rsid w:val="00FE252F"/>
    <w:rsid w:val="00FE255B"/>
    <w:rsid w:val="00FE278A"/>
    <w:rsid w:val="00FE27C7"/>
    <w:rsid w:val="00FE2BAC"/>
    <w:rsid w:val="00FE343D"/>
    <w:rsid w:val="00FE3582"/>
    <w:rsid w:val="00FE36C0"/>
    <w:rsid w:val="00FE3836"/>
    <w:rsid w:val="00FE38BA"/>
    <w:rsid w:val="00FE3A4D"/>
    <w:rsid w:val="00FE3B7B"/>
    <w:rsid w:val="00FE3BBC"/>
    <w:rsid w:val="00FE3EE8"/>
    <w:rsid w:val="00FE406E"/>
    <w:rsid w:val="00FE437B"/>
    <w:rsid w:val="00FE4425"/>
    <w:rsid w:val="00FE46DF"/>
    <w:rsid w:val="00FE46EB"/>
    <w:rsid w:val="00FE4C72"/>
    <w:rsid w:val="00FE55B5"/>
    <w:rsid w:val="00FE560B"/>
    <w:rsid w:val="00FE580F"/>
    <w:rsid w:val="00FE58BF"/>
    <w:rsid w:val="00FE5B23"/>
    <w:rsid w:val="00FE5F46"/>
    <w:rsid w:val="00FE5F78"/>
    <w:rsid w:val="00FE6081"/>
    <w:rsid w:val="00FE6229"/>
    <w:rsid w:val="00FE623E"/>
    <w:rsid w:val="00FE6363"/>
    <w:rsid w:val="00FE63CD"/>
    <w:rsid w:val="00FE64E3"/>
    <w:rsid w:val="00FE6522"/>
    <w:rsid w:val="00FE65A0"/>
    <w:rsid w:val="00FE6733"/>
    <w:rsid w:val="00FE692B"/>
    <w:rsid w:val="00FE69FE"/>
    <w:rsid w:val="00FE7184"/>
    <w:rsid w:val="00FE7681"/>
    <w:rsid w:val="00FE76AE"/>
    <w:rsid w:val="00FE7769"/>
    <w:rsid w:val="00FE798A"/>
    <w:rsid w:val="00FE79D6"/>
    <w:rsid w:val="00FE7AB9"/>
    <w:rsid w:val="00FE7AE3"/>
    <w:rsid w:val="00FE7C9C"/>
    <w:rsid w:val="00FE7D43"/>
    <w:rsid w:val="00FE7EC4"/>
    <w:rsid w:val="00FF0106"/>
    <w:rsid w:val="00FF0115"/>
    <w:rsid w:val="00FF02ED"/>
    <w:rsid w:val="00FF041C"/>
    <w:rsid w:val="00FF0449"/>
    <w:rsid w:val="00FF049D"/>
    <w:rsid w:val="00FF04FA"/>
    <w:rsid w:val="00FF07DD"/>
    <w:rsid w:val="00FF08F0"/>
    <w:rsid w:val="00FF0918"/>
    <w:rsid w:val="00FF09A5"/>
    <w:rsid w:val="00FF0A52"/>
    <w:rsid w:val="00FF0C2D"/>
    <w:rsid w:val="00FF0C6C"/>
    <w:rsid w:val="00FF0FA3"/>
    <w:rsid w:val="00FF0FE9"/>
    <w:rsid w:val="00FF1038"/>
    <w:rsid w:val="00FF108F"/>
    <w:rsid w:val="00FF10FA"/>
    <w:rsid w:val="00FF11C1"/>
    <w:rsid w:val="00FF1375"/>
    <w:rsid w:val="00FF155A"/>
    <w:rsid w:val="00FF176F"/>
    <w:rsid w:val="00FF1783"/>
    <w:rsid w:val="00FF17CE"/>
    <w:rsid w:val="00FF1A7E"/>
    <w:rsid w:val="00FF1AAA"/>
    <w:rsid w:val="00FF1B52"/>
    <w:rsid w:val="00FF1CC5"/>
    <w:rsid w:val="00FF1CFA"/>
    <w:rsid w:val="00FF1E76"/>
    <w:rsid w:val="00FF1F41"/>
    <w:rsid w:val="00FF2059"/>
    <w:rsid w:val="00FF2859"/>
    <w:rsid w:val="00FF2882"/>
    <w:rsid w:val="00FF2A57"/>
    <w:rsid w:val="00FF2A64"/>
    <w:rsid w:val="00FF2BE1"/>
    <w:rsid w:val="00FF2D9E"/>
    <w:rsid w:val="00FF2EBA"/>
    <w:rsid w:val="00FF2FDD"/>
    <w:rsid w:val="00FF30AA"/>
    <w:rsid w:val="00FF3106"/>
    <w:rsid w:val="00FF318A"/>
    <w:rsid w:val="00FF32D4"/>
    <w:rsid w:val="00FF350F"/>
    <w:rsid w:val="00FF354A"/>
    <w:rsid w:val="00FF36EB"/>
    <w:rsid w:val="00FF36EC"/>
    <w:rsid w:val="00FF3731"/>
    <w:rsid w:val="00FF3785"/>
    <w:rsid w:val="00FF3943"/>
    <w:rsid w:val="00FF398F"/>
    <w:rsid w:val="00FF39BD"/>
    <w:rsid w:val="00FF3C34"/>
    <w:rsid w:val="00FF3CC1"/>
    <w:rsid w:val="00FF3E3B"/>
    <w:rsid w:val="00FF3FBD"/>
    <w:rsid w:val="00FF3FF4"/>
    <w:rsid w:val="00FF3FF6"/>
    <w:rsid w:val="00FF42CD"/>
    <w:rsid w:val="00FF43D2"/>
    <w:rsid w:val="00FF4429"/>
    <w:rsid w:val="00FF4445"/>
    <w:rsid w:val="00FF4495"/>
    <w:rsid w:val="00FF45B6"/>
    <w:rsid w:val="00FF45C6"/>
    <w:rsid w:val="00FF45D3"/>
    <w:rsid w:val="00FF466D"/>
    <w:rsid w:val="00FF46AD"/>
    <w:rsid w:val="00FF47E9"/>
    <w:rsid w:val="00FF4B4F"/>
    <w:rsid w:val="00FF4C11"/>
    <w:rsid w:val="00FF4C7B"/>
    <w:rsid w:val="00FF4D21"/>
    <w:rsid w:val="00FF4D3F"/>
    <w:rsid w:val="00FF503B"/>
    <w:rsid w:val="00FF521E"/>
    <w:rsid w:val="00FF52FF"/>
    <w:rsid w:val="00FF547B"/>
    <w:rsid w:val="00FF5677"/>
    <w:rsid w:val="00FF5AAB"/>
    <w:rsid w:val="00FF5BB9"/>
    <w:rsid w:val="00FF5F6B"/>
    <w:rsid w:val="00FF6127"/>
    <w:rsid w:val="00FF6135"/>
    <w:rsid w:val="00FF63B3"/>
    <w:rsid w:val="00FF63E7"/>
    <w:rsid w:val="00FF6464"/>
    <w:rsid w:val="00FF6643"/>
    <w:rsid w:val="00FF675F"/>
    <w:rsid w:val="00FF689A"/>
    <w:rsid w:val="00FF68C7"/>
    <w:rsid w:val="00FF6A42"/>
    <w:rsid w:val="00FF6AE2"/>
    <w:rsid w:val="00FF6B14"/>
    <w:rsid w:val="00FF6CB4"/>
    <w:rsid w:val="00FF7136"/>
    <w:rsid w:val="00FF735D"/>
    <w:rsid w:val="00FF7465"/>
    <w:rsid w:val="00FF76AD"/>
    <w:rsid w:val="00FF7811"/>
    <w:rsid w:val="00FF7967"/>
    <w:rsid w:val="00FF7A41"/>
    <w:rsid w:val="00FF7AFA"/>
    <w:rsid w:val="00FF7B85"/>
    <w:rsid w:val="00FF7E12"/>
    <w:rsid w:val="01016488"/>
    <w:rsid w:val="010B33E1"/>
    <w:rsid w:val="010F733E"/>
    <w:rsid w:val="011257EB"/>
    <w:rsid w:val="0112B1B0"/>
    <w:rsid w:val="0113311E"/>
    <w:rsid w:val="011B1315"/>
    <w:rsid w:val="0125B4F0"/>
    <w:rsid w:val="012767E3"/>
    <w:rsid w:val="0127C4B1"/>
    <w:rsid w:val="01284319"/>
    <w:rsid w:val="01285006"/>
    <w:rsid w:val="012BF7AB"/>
    <w:rsid w:val="012F605A"/>
    <w:rsid w:val="01356AA3"/>
    <w:rsid w:val="01361118"/>
    <w:rsid w:val="013A6CA7"/>
    <w:rsid w:val="013B6EB9"/>
    <w:rsid w:val="013E67A8"/>
    <w:rsid w:val="0140B899"/>
    <w:rsid w:val="01419947"/>
    <w:rsid w:val="0145CCA9"/>
    <w:rsid w:val="01477217"/>
    <w:rsid w:val="014C64BB"/>
    <w:rsid w:val="014D7CF2"/>
    <w:rsid w:val="0152128B"/>
    <w:rsid w:val="0155B003"/>
    <w:rsid w:val="0159FF5E"/>
    <w:rsid w:val="015B6316"/>
    <w:rsid w:val="015E51FE"/>
    <w:rsid w:val="015E72A7"/>
    <w:rsid w:val="015EF592"/>
    <w:rsid w:val="0160CDCF"/>
    <w:rsid w:val="016235E1"/>
    <w:rsid w:val="0167AF0C"/>
    <w:rsid w:val="0167D25B"/>
    <w:rsid w:val="016AB5D0"/>
    <w:rsid w:val="016D9259"/>
    <w:rsid w:val="0173FCBC"/>
    <w:rsid w:val="017A5F90"/>
    <w:rsid w:val="017E041E"/>
    <w:rsid w:val="0186EB4B"/>
    <w:rsid w:val="018D2DEC"/>
    <w:rsid w:val="0192CB35"/>
    <w:rsid w:val="01949410"/>
    <w:rsid w:val="019AA7C5"/>
    <w:rsid w:val="019AC516"/>
    <w:rsid w:val="019C5586"/>
    <w:rsid w:val="01A239BE"/>
    <w:rsid w:val="01AA5AFD"/>
    <w:rsid w:val="01ABD67B"/>
    <w:rsid w:val="01ACE0D9"/>
    <w:rsid w:val="01AE804F"/>
    <w:rsid w:val="01B6CB39"/>
    <w:rsid w:val="01B90E20"/>
    <w:rsid w:val="01BC0AFA"/>
    <w:rsid w:val="01BF9B9B"/>
    <w:rsid w:val="01C18B94"/>
    <w:rsid w:val="01C55CB3"/>
    <w:rsid w:val="01D50FF0"/>
    <w:rsid w:val="01D6E362"/>
    <w:rsid w:val="01D9F39F"/>
    <w:rsid w:val="01E2A914"/>
    <w:rsid w:val="01E66FB8"/>
    <w:rsid w:val="01E89038"/>
    <w:rsid w:val="01EA1601"/>
    <w:rsid w:val="01F0D8A1"/>
    <w:rsid w:val="01F3A14D"/>
    <w:rsid w:val="01F75A02"/>
    <w:rsid w:val="01F9D924"/>
    <w:rsid w:val="01FCA818"/>
    <w:rsid w:val="0203DA4D"/>
    <w:rsid w:val="02052CD8"/>
    <w:rsid w:val="0208BE28"/>
    <w:rsid w:val="020F10CF"/>
    <w:rsid w:val="0213748C"/>
    <w:rsid w:val="02194BA0"/>
    <w:rsid w:val="0223FA1C"/>
    <w:rsid w:val="022CDA5B"/>
    <w:rsid w:val="02319B01"/>
    <w:rsid w:val="02322453"/>
    <w:rsid w:val="0232F73A"/>
    <w:rsid w:val="0233443D"/>
    <w:rsid w:val="02367395"/>
    <w:rsid w:val="023B95F5"/>
    <w:rsid w:val="023D4DD3"/>
    <w:rsid w:val="0244334A"/>
    <w:rsid w:val="024608A6"/>
    <w:rsid w:val="024B590B"/>
    <w:rsid w:val="024E8B07"/>
    <w:rsid w:val="025157E2"/>
    <w:rsid w:val="02534B77"/>
    <w:rsid w:val="025852E0"/>
    <w:rsid w:val="025A5B69"/>
    <w:rsid w:val="026493D8"/>
    <w:rsid w:val="026828DB"/>
    <w:rsid w:val="0269E93B"/>
    <w:rsid w:val="026FF71A"/>
    <w:rsid w:val="0273F133"/>
    <w:rsid w:val="028FDEE7"/>
    <w:rsid w:val="029927D9"/>
    <w:rsid w:val="029B8DD3"/>
    <w:rsid w:val="02A7E2EC"/>
    <w:rsid w:val="02AD2649"/>
    <w:rsid w:val="02B0606F"/>
    <w:rsid w:val="02BCDC69"/>
    <w:rsid w:val="02BE75C2"/>
    <w:rsid w:val="02C27F3D"/>
    <w:rsid w:val="02CBE178"/>
    <w:rsid w:val="02D39765"/>
    <w:rsid w:val="02D554AE"/>
    <w:rsid w:val="02D7D225"/>
    <w:rsid w:val="02DCB9F1"/>
    <w:rsid w:val="02DCED4F"/>
    <w:rsid w:val="02E059C9"/>
    <w:rsid w:val="02E1B919"/>
    <w:rsid w:val="02E83855"/>
    <w:rsid w:val="02EDFCB6"/>
    <w:rsid w:val="02F3F62B"/>
    <w:rsid w:val="02FFE37E"/>
    <w:rsid w:val="03059677"/>
    <w:rsid w:val="0308F8B7"/>
    <w:rsid w:val="03174064"/>
    <w:rsid w:val="031C8F37"/>
    <w:rsid w:val="0329A17E"/>
    <w:rsid w:val="032BACF6"/>
    <w:rsid w:val="03319FEA"/>
    <w:rsid w:val="0332505B"/>
    <w:rsid w:val="03331D2D"/>
    <w:rsid w:val="033CCC99"/>
    <w:rsid w:val="0344BA89"/>
    <w:rsid w:val="0346DEB7"/>
    <w:rsid w:val="034E0B7C"/>
    <w:rsid w:val="03563C01"/>
    <w:rsid w:val="0356F3F9"/>
    <w:rsid w:val="035CE873"/>
    <w:rsid w:val="035FA00C"/>
    <w:rsid w:val="03620D0C"/>
    <w:rsid w:val="036629CB"/>
    <w:rsid w:val="0369A52A"/>
    <w:rsid w:val="03716EC2"/>
    <w:rsid w:val="037A6F9C"/>
    <w:rsid w:val="037CFED5"/>
    <w:rsid w:val="038274DA"/>
    <w:rsid w:val="038521C1"/>
    <w:rsid w:val="038A6DC3"/>
    <w:rsid w:val="038B8E65"/>
    <w:rsid w:val="0393DF55"/>
    <w:rsid w:val="03981B85"/>
    <w:rsid w:val="0398EC8B"/>
    <w:rsid w:val="039D69DA"/>
    <w:rsid w:val="039E5D0A"/>
    <w:rsid w:val="03A52601"/>
    <w:rsid w:val="03AE3503"/>
    <w:rsid w:val="03AE634E"/>
    <w:rsid w:val="03B72F8C"/>
    <w:rsid w:val="03BB0B99"/>
    <w:rsid w:val="03BFFB21"/>
    <w:rsid w:val="03C416C2"/>
    <w:rsid w:val="03D285DD"/>
    <w:rsid w:val="03D6F181"/>
    <w:rsid w:val="03DA945B"/>
    <w:rsid w:val="03DFA82B"/>
    <w:rsid w:val="03E2B75F"/>
    <w:rsid w:val="03EB8908"/>
    <w:rsid w:val="03EEA471"/>
    <w:rsid w:val="03EFB26E"/>
    <w:rsid w:val="03FC2A4F"/>
    <w:rsid w:val="03FDD72D"/>
    <w:rsid w:val="0402566A"/>
    <w:rsid w:val="0406ACAE"/>
    <w:rsid w:val="0406CA34"/>
    <w:rsid w:val="040A5B11"/>
    <w:rsid w:val="0416CCCA"/>
    <w:rsid w:val="0417F679"/>
    <w:rsid w:val="04184988"/>
    <w:rsid w:val="041B0848"/>
    <w:rsid w:val="042252FA"/>
    <w:rsid w:val="042500C3"/>
    <w:rsid w:val="04346C51"/>
    <w:rsid w:val="04382DA1"/>
    <w:rsid w:val="043FAB25"/>
    <w:rsid w:val="0440534F"/>
    <w:rsid w:val="04448BFC"/>
    <w:rsid w:val="044787C6"/>
    <w:rsid w:val="04479AE7"/>
    <w:rsid w:val="044D89AF"/>
    <w:rsid w:val="044D9FC5"/>
    <w:rsid w:val="044FA5A2"/>
    <w:rsid w:val="0469CE81"/>
    <w:rsid w:val="046FBEE1"/>
    <w:rsid w:val="047393D2"/>
    <w:rsid w:val="04762DEC"/>
    <w:rsid w:val="04766E74"/>
    <w:rsid w:val="047B0DC6"/>
    <w:rsid w:val="047F7D23"/>
    <w:rsid w:val="048DF3C2"/>
    <w:rsid w:val="048E7CF1"/>
    <w:rsid w:val="048EF2A3"/>
    <w:rsid w:val="0494B58A"/>
    <w:rsid w:val="04956F9E"/>
    <w:rsid w:val="04981002"/>
    <w:rsid w:val="049A7706"/>
    <w:rsid w:val="049A8832"/>
    <w:rsid w:val="049FD97E"/>
    <w:rsid w:val="04A200CA"/>
    <w:rsid w:val="04BAB928"/>
    <w:rsid w:val="04BE610C"/>
    <w:rsid w:val="04BE9057"/>
    <w:rsid w:val="04C3B0CF"/>
    <w:rsid w:val="04C88190"/>
    <w:rsid w:val="04CD5778"/>
    <w:rsid w:val="04D2F1BD"/>
    <w:rsid w:val="04D3CD28"/>
    <w:rsid w:val="04D9DBA1"/>
    <w:rsid w:val="04DD83ED"/>
    <w:rsid w:val="04E32FC5"/>
    <w:rsid w:val="04E96A10"/>
    <w:rsid w:val="04EB792E"/>
    <w:rsid w:val="04EC5CC6"/>
    <w:rsid w:val="04ECF263"/>
    <w:rsid w:val="04EDEE66"/>
    <w:rsid w:val="04EFA370"/>
    <w:rsid w:val="04F2DF57"/>
    <w:rsid w:val="04FAACCB"/>
    <w:rsid w:val="050104EF"/>
    <w:rsid w:val="0503092C"/>
    <w:rsid w:val="0507273D"/>
    <w:rsid w:val="0507A96E"/>
    <w:rsid w:val="05080754"/>
    <w:rsid w:val="05092566"/>
    <w:rsid w:val="0509855C"/>
    <w:rsid w:val="050E07DA"/>
    <w:rsid w:val="05101A9C"/>
    <w:rsid w:val="0512C381"/>
    <w:rsid w:val="0512FEC5"/>
    <w:rsid w:val="0516B992"/>
    <w:rsid w:val="051B1CE9"/>
    <w:rsid w:val="051DABD3"/>
    <w:rsid w:val="051FAC7A"/>
    <w:rsid w:val="053D87BF"/>
    <w:rsid w:val="053EB211"/>
    <w:rsid w:val="05467618"/>
    <w:rsid w:val="054C78DC"/>
    <w:rsid w:val="054CBC58"/>
    <w:rsid w:val="054D2085"/>
    <w:rsid w:val="054D7C9E"/>
    <w:rsid w:val="0550941F"/>
    <w:rsid w:val="0552B8C5"/>
    <w:rsid w:val="0557883C"/>
    <w:rsid w:val="055CE755"/>
    <w:rsid w:val="055E493E"/>
    <w:rsid w:val="05656549"/>
    <w:rsid w:val="0566F35B"/>
    <w:rsid w:val="056A11D1"/>
    <w:rsid w:val="056ECC4B"/>
    <w:rsid w:val="056F055D"/>
    <w:rsid w:val="05735297"/>
    <w:rsid w:val="05768FE9"/>
    <w:rsid w:val="057B1028"/>
    <w:rsid w:val="0583791C"/>
    <w:rsid w:val="05885D36"/>
    <w:rsid w:val="059068E2"/>
    <w:rsid w:val="05966CBD"/>
    <w:rsid w:val="05972FA7"/>
    <w:rsid w:val="05975574"/>
    <w:rsid w:val="0599BFC1"/>
    <w:rsid w:val="059B144F"/>
    <w:rsid w:val="059F1BDC"/>
    <w:rsid w:val="05A30957"/>
    <w:rsid w:val="05A3F702"/>
    <w:rsid w:val="05A5B04C"/>
    <w:rsid w:val="05A5C481"/>
    <w:rsid w:val="05A6FA2C"/>
    <w:rsid w:val="05AB89C0"/>
    <w:rsid w:val="05B1F09C"/>
    <w:rsid w:val="05B4AD84"/>
    <w:rsid w:val="05B54D13"/>
    <w:rsid w:val="05B5A85F"/>
    <w:rsid w:val="05B65F42"/>
    <w:rsid w:val="05CF1478"/>
    <w:rsid w:val="05D19BA8"/>
    <w:rsid w:val="05D234C9"/>
    <w:rsid w:val="05D76452"/>
    <w:rsid w:val="05D9472E"/>
    <w:rsid w:val="05DA1593"/>
    <w:rsid w:val="05DBF18F"/>
    <w:rsid w:val="05DD2DA5"/>
    <w:rsid w:val="05E33D05"/>
    <w:rsid w:val="05E4D390"/>
    <w:rsid w:val="05E6718C"/>
    <w:rsid w:val="05F3F665"/>
    <w:rsid w:val="05F8D4EB"/>
    <w:rsid w:val="0603162C"/>
    <w:rsid w:val="0603E3C0"/>
    <w:rsid w:val="06084725"/>
    <w:rsid w:val="060A2B4B"/>
    <w:rsid w:val="060D5847"/>
    <w:rsid w:val="060DDFF2"/>
    <w:rsid w:val="061014F7"/>
    <w:rsid w:val="0610D245"/>
    <w:rsid w:val="0615BF30"/>
    <w:rsid w:val="06171CFE"/>
    <w:rsid w:val="0617FA69"/>
    <w:rsid w:val="06199AAB"/>
    <w:rsid w:val="0620B126"/>
    <w:rsid w:val="0625D97A"/>
    <w:rsid w:val="062E0897"/>
    <w:rsid w:val="06328B18"/>
    <w:rsid w:val="06345871"/>
    <w:rsid w:val="0635965D"/>
    <w:rsid w:val="063BF3CC"/>
    <w:rsid w:val="06438648"/>
    <w:rsid w:val="064B76FC"/>
    <w:rsid w:val="064C3620"/>
    <w:rsid w:val="064E036B"/>
    <w:rsid w:val="0651CBB3"/>
    <w:rsid w:val="066B9652"/>
    <w:rsid w:val="066EE6ED"/>
    <w:rsid w:val="067029D7"/>
    <w:rsid w:val="0681CC36"/>
    <w:rsid w:val="0685B93B"/>
    <w:rsid w:val="068E0080"/>
    <w:rsid w:val="06918662"/>
    <w:rsid w:val="0694C0E9"/>
    <w:rsid w:val="069728C0"/>
    <w:rsid w:val="069A24DE"/>
    <w:rsid w:val="069B7576"/>
    <w:rsid w:val="069D4CC1"/>
    <w:rsid w:val="06AB03E4"/>
    <w:rsid w:val="06AC6D59"/>
    <w:rsid w:val="06ACEFF9"/>
    <w:rsid w:val="06ADD693"/>
    <w:rsid w:val="06B3730E"/>
    <w:rsid w:val="06B37B7A"/>
    <w:rsid w:val="06B442FD"/>
    <w:rsid w:val="06B53DA0"/>
    <w:rsid w:val="06B60803"/>
    <w:rsid w:val="06B62C43"/>
    <w:rsid w:val="06B83D79"/>
    <w:rsid w:val="06B9675B"/>
    <w:rsid w:val="06C04FEC"/>
    <w:rsid w:val="06C802EA"/>
    <w:rsid w:val="06C936BA"/>
    <w:rsid w:val="06CA2780"/>
    <w:rsid w:val="06CEF518"/>
    <w:rsid w:val="06D26C3B"/>
    <w:rsid w:val="06DA8E59"/>
    <w:rsid w:val="06DED32A"/>
    <w:rsid w:val="06E31BC8"/>
    <w:rsid w:val="06EA3207"/>
    <w:rsid w:val="06F2913D"/>
    <w:rsid w:val="06FDC642"/>
    <w:rsid w:val="0702849E"/>
    <w:rsid w:val="070402C9"/>
    <w:rsid w:val="070435BE"/>
    <w:rsid w:val="07053E6F"/>
    <w:rsid w:val="070A0619"/>
    <w:rsid w:val="070D9DEB"/>
    <w:rsid w:val="070EDF27"/>
    <w:rsid w:val="0718D6E9"/>
    <w:rsid w:val="071A52D8"/>
    <w:rsid w:val="072164B2"/>
    <w:rsid w:val="0722E71D"/>
    <w:rsid w:val="0722F9E3"/>
    <w:rsid w:val="072A5C8D"/>
    <w:rsid w:val="072DAB3D"/>
    <w:rsid w:val="072E6CE5"/>
    <w:rsid w:val="072ED2E1"/>
    <w:rsid w:val="0731D19B"/>
    <w:rsid w:val="073267BF"/>
    <w:rsid w:val="07475720"/>
    <w:rsid w:val="074C7920"/>
    <w:rsid w:val="074E54BA"/>
    <w:rsid w:val="074E895E"/>
    <w:rsid w:val="0750087A"/>
    <w:rsid w:val="075215C5"/>
    <w:rsid w:val="0758CE44"/>
    <w:rsid w:val="0761486E"/>
    <w:rsid w:val="0763AD40"/>
    <w:rsid w:val="076426DF"/>
    <w:rsid w:val="076A93BF"/>
    <w:rsid w:val="076B1273"/>
    <w:rsid w:val="077178D1"/>
    <w:rsid w:val="07730985"/>
    <w:rsid w:val="0773CC05"/>
    <w:rsid w:val="07742CF8"/>
    <w:rsid w:val="0775E915"/>
    <w:rsid w:val="0777874C"/>
    <w:rsid w:val="077ADAF2"/>
    <w:rsid w:val="077BE7B0"/>
    <w:rsid w:val="07807A3C"/>
    <w:rsid w:val="0780A3F1"/>
    <w:rsid w:val="07814FE4"/>
    <w:rsid w:val="0786C240"/>
    <w:rsid w:val="07897CD1"/>
    <w:rsid w:val="07898E71"/>
    <w:rsid w:val="078C917A"/>
    <w:rsid w:val="079282E6"/>
    <w:rsid w:val="07947387"/>
    <w:rsid w:val="079650E2"/>
    <w:rsid w:val="079672FF"/>
    <w:rsid w:val="079E2F5F"/>
    <w:rsid w:val="07A2015D"/>
    <w:rsid w:val="07A52799"/>
    <w:rsid w:val="07A89AEA"/>
    <w:rsid w:val="07A9F995"/>
    <w:rsid w:val="07AB0838"/>
    <w:rsid w:val="07B0A44A"/>
    <w:rsid w:val="07B2DA74"/>
    <w:rsid w:val="07B989D4"/>
    <w:rsid w:val="07BAC6FF"/>
    <w:rsid w:val="07BC4874"/>
    <w:rsid w:val="07BDDFE2"/>
    <w:rsid w:val="07C03880"/>
    <w:rsid w:val="07C13787"/>
    <w:rsid w:val="07CA9569"/>
    <w:rsid w:val="07CAD3F3"/>
    <w:rsid w:val="07CDEF68"/>
    <w:rsid w:val="07D20F4B"/>
    <w:rsid w:val="07D2D340"/>
    <w:rsid w:val="07D6CF7F"/>
    <w:rsid w:val="07D7686B"/>
    <w:rsid w:val="07D80634"/>
    <w:rsid w:val="07D91086"/>
    <w:rsid w:val="07DB06F2"/>
    <w:rsid w:val="07DB0D22"/>
    <w:rsid w:val="07DE0FA1"/>
    <w:rsid w:val="07DFD8EE"/>
    <w:rsid w:val="07E08599"/>
    <w:rsid w:val="07E3DAC3"/>
    <w:rsid w:val="07E4116E"/>
    <w:rsid w:val="07EC44D5"/>
    <w:rsid w:val="07F2D061"/>
    <w:rsid w:val="07FD1192"/>
    <w:rsid w:val="07FF9037"/>
    <w:rsid w:val="0800DB27"/>
    <w:rsid w:val="08076530"/>
    <w:rsid w:val="080D5199"/>
    <w:rsid w:val="080DABD4"/>
    <w:rsid w:val="081042F2"/>
    <w:rsid w:val="081B403B"/>
    <w:rsid w:val="081D1DF5"/>
    <w:rsid w:val="082578A6"/>
    <w:rsid w:val="082AC2E7"/>
    <w:rsid w:val="0834DA89"/>
    <w:rsid w:val="083B35F1"/>
    <w:rsid w:val="083B3611"/>
    <w:rsid w:val="08461591"/>
    <w:rsid w:val="08508E52"/>
    <w:rsid w:val="08586C46"/>
    <w:rsid w:val="085953A2"/>
    <w:rsid w:val="085E0239"/>
    <w:rsid w:val="086302EA"/>
    <w:rsid w:val="086C5DEC"/>
    <w:rsid w:val="086E9E5D"/>
    <w:rsid w:val="0872DE4B"/>
    <w:rsid w:val="0883FBA5"/>
    <w:rsid w:val="088CA4FE"/>
    <w:rsid w:val="088CD793"/>
    <w:rsid w:val="08908C73"/>
    <w:rsid w:val="08939325"/>
    <w:rsid w:val="08993FAB"/>
    <w:rsid w:val="08A0A91A"/>
    <w:rsid w:val="08A780CE"/>
    <w:rsid w:val="08AA4485"/>
    <w:rsid w:val="08AB5D1B"/>
    <w:rsid w:val="08ADD277"/>
    <w:rsid w:val="08B4A3C9"/>
    <w:rsid w:val="08BA681C"/>
    <w:rsid w:val="08BB24EB"/>
    <w:rsid w:val="08C0CA67"/>
    <w:rsid w:val="08C0F586"/>
    <w:rsid w:val="08C3BA8A"/>
    <w:rsid w:val="08C40BB0"/>
    <w:rsid w:val="08CBC3AA"/>
    <w:rsid w:val="08E18BB7"/>
    <w:rsid w:val="08E4EB4A"/>
    <w:rsid w:val="08EC59AD"/>
    <w:rsid w:val="08FDDC75"/>
    <w:rsid w:val="09002352"/>
    <w:rsid w:val="0905A0C9"/>
    <w:rsid w:val="09090CF0"/>
    <w:rsid w:val="090DC511"/>
    <w:rsid w:val="090F66F5"/>
    <w:rsid w:val="09145A77"/>
    <w:rsid w:val="09156B62"/>
    <w:rsid w:val="091CB366"/>
    <w:rsid w:val="091F769D"/>
    <w:rsid w:val="092008A0"/>
    <w:rsid w:val="0923F720"/>
    <w:rsid w:val="09244F99"/>
    <w:rsid w:val="09297B7C"/>
    <w:rsid w:val="092CB257"/>
    <w:rsid w:val="09301F82"/>
    <w:rsid w:val="09312003"/>
    <w:rsid w:val="0932E634"/>
    <w:rsid w:val="093DF363"/>
    <w:rsid w:val="094181CB"/>
    <w:rsid w:val="09513176"/>
    <w:rsid w:val="0954C3F1"/>
    <w:rsid w:val="095B8D61"/>
    <w:rsid w:val="09660E5F"/>
    <w:rsid w:val="0967D2EF"/>
    <w:rsid w:val="0975E700"/>
    <w:rsid w:val="0976D88A"/>
    <w:rsid w:val="097A49BC"/>
    <w:rsid w:val="097A8F92"/>
    <w:rsid w:val="097AA4F1"/>
    <w:rsid w:val="097CF9DC"/>
    <w:rsid w:val="09816661"/>
    <w:rsid w:val="09838672"/>
    <w:rsid w:val="099137B7"/>
    <w:rsid w:val="09936280"/>
    <w:rsid w:val="09949C39"/>
    <w:rsid w:val="09A5A675"/>
    <w:rsid w:val="09BB9950"/>
    <w:rsid w:val="09CBB32C"/>
    <w:rsid w:val="09CC1888"/>
    <w:rsid w:val="09D24624"/>
    <w:rsid w:val="09D29964"/>
    <w:rsid w:val="09D565AF"/>
    <w:rsid w:val="09E0D2B6"/>
    <w:rsid w:val="09E50E3E"/>
    <w:rsid w:val="09EB1183"/>
    <w:rsid w:val="09ED0D3A"/>
    <w:rsid w:val="09ED1BD4"/>
    <w:rsid w:val="09EF0A93"/>
    <w:rsid w:val="09EF2A5E"/>
    <w:rsid w:val="09EF8050"/>
    <w:rsid w:val="09EFE825"/>
    <w:rsid w:val="09F96AD2"/>
    <w:rsid w:val="09FA297C"/>
    <w:rsid w:val="09FD8062"/>
    <w:rsid w:val="09FF79E8"/>
    <w:rsid w:val="0A04B2BC"/>
    <w:rsid w:val="0A0938C4"/>
    <w:rsid w:val="0A0B399B"/>
    <w:rsid w:val="0A126F47"/>
    <w:rsid w:val="0A177AA8"/>
    <w:rsid w:val="0A199E43"/>
    <w:rsid w:val="0A1BBCE1"/>
    <w:rsid w:val="0A1E2546"/>
    <w:rsid w:val="0A20DE38"/>
    <w:rsid w:val="0A2BC385"/>
    <w:rsid w:val="0A3F1825"/>
    <w:rsid w:val="0A443348"/>
    <w:rsid w:val="0A4451F3"/>
    <w:rsid w:val="0A4DDA81"/>
    <w:rsid w:val="0A556E83"/>
    <w:rsid w:val="0A57AFC3"/>
    <w:rsid w:val="0A5F2396"/>
    <w:rsid w:val="0A61D091"/>
    <w:rsid w:val="0A633EB3"/>
    <w:rsid w:val="0A681028"/>
    <w:rsid w:val="0A688CF4"/>
    <w:rsid w:val="0A6E62A4"/>
    <w:rsid w:val="0A6FCCF9"/>
    <w:rsid w:val="0A72ECD9"/>
    <w:rsid w:val="0A75BB3B"/>
    <w:rsid w:val="0A77AF4D"/>
    <w:rsid w:val="0A795C95"/>
    <w:rsid w:val="0A7D2FC7"/>
    <w:rsid w:val="0A7F000F"/>
    <w:rsid w:val="0A814D79"/>
    <w:rsid w:val="0A82A813"/>
    <w:rsid w:val="0A8B7E99"/>
    <w:rsid w:val="0A9041BA"/>
    <w:rsid w:val="0A92029D"/>
    <w:rsid w:val="0AA66FF7"/>
    <w:rsid w:val="0AA95CAF"/>
    <w:rsid w:val="0ABC7069"/>
    <w:rsid w:val="0ABF441C"/>
    <w:rsid w:val="0AC05075"/>
    <w:rsid w:val="0AC66D3E"/>
    <w:rsid w:val="0ACCAF9A"/>
    <w:rsid w:val="0ACE81E6"/>
    <w:rsid w:val="0AD152C5"/>
    <w:rsid w:val="0ADC4626"/>
    <w:rsid w:val="0ADCE6DE"/>
    <w:rsid w:val="0ADDF15D"/>
    <w:rsid w:val="0ADFE7D3"/>
    <w:rsid w:val="0AE4B637"/>
    <w:rsid w:val="0AEAF65C"/>
    <w:rsid w:val="0AF1C865"/>
    <w:rsid w:val="0AFE424C"/>
    <w:rsid w:val="0AFEE11D"/>
    <w:rsid w:val="0AFFAD31"/>
    <w:rsid w:val="0B005767"/>
    <w:rsid w:val="0B037897"/>
    <w:rsid w:val="0B03D281"/>
    <w:rsid w:val="0B065904"/>
    <w:rsid w:val="0B0A13C1"/>
    <w:rsid w:val="0B0D619B"/>
    <w:rsid w:val="0B1622DD"/>
    <w:rsid w:val="0B19FCC7"/>
    <w:rsid w:val="0B1EFC56"/>
    <w:rsid w:val="0B20BB99"/>
    <w:rsid w:val="0B2922BA"/>
    <w:rsid w:val="0B2D97A6"/>
    <w:rsid w:val="0B2E98A7"/>
    <w:rsid w:val="0B35C49F"/>
    <w:rsid w:val="0B3B2B1B"/>
    <w:rsid w:val="0B3C6B1D"/>
    <w:rsid w:val="0B46F3CE"/>
    <w:rsid w:val="0B4FA767"/>
    <w:rsid w:val="0B565B15"/>
    <w:rsid w:val="0B5D3389"/>
    <w:rsid w:val="0B5DD202"/>
    <w:rsid w:val="0B5F87AB"/>
    <w:rsid w:val="0B5FC7A3"/>
    <w:rsid w:val="0B64C892"/>
    <w:rsid w:val="0B6C993D"/>
    <w:rsid w:val="0B75C617"/>
    <w:rsid w:val="0B761DC6"/>
    <w:rsid w:val="0B77A21E"/>
    <w:rsid w:val="0B80D5E3"/>
    <w:rsid w:val="0B840CE2"/>
    <w:rsid w:val="0B892110"/>
    <w:rsid w:val="0B900AF2"/>
    <w:rsid w:val="0B98B680"/>
    <w:rsid w:val="0B9D4B88"/>
    <w:rsid w:val="0B9E09B0"/>
    <w:rsid w:val="0BA6D776"/>
    <w:rsid w:val="0BAA7FE1"/>
    <w:rsid w:val="0BAC59CF"/>
    <w:rsid w:val="0BAD8E22"/>
    <w:rsid w:val="0BAFD33F"/>
    <w:rsid w:val="0BB1636C"/>
    <w:rsid w:val="0BBD42BA"/>
    <w:rsid w:val="0BBE3CC4"/>
    <w:rsid w:val="0BC42FBF"/>
    <w:rsid w:val="0BC6CEE2"/>
    <w:rsid w:val="0BC8FFFC"/>
    <w:rsid w:val="0BCEB35D"/>
    <w:rsid w:val="0BDF8143"/>
    <w:rsid w:val="0BE53263"/>
    <w:rsid w:val="0BE57887"/>
    <w:rsid w:val="0BEAD910"/>
    <w:rsid w:val="0BEB76DA"/>
    <w:rsid w:val="0BEFEFF8"/>
    <w:rsid w:val="0BF063F3"/>
    <w:rsid w:val="0BF2BE43"/>
    <w:rsid w:val="0BF96ECC"/>
    <w:rsid w:val="0BFC4670"/>
    <w:rsid w:val="0BFE68D5"/>
    <w:rsid w:val="0BFEA118"/>
    <w:rsid w:val="0C03EAD9"/>
    <w:rsid w:val="0C0547B2"/>
    <w:rsid w:val="0C064CBE"/>
    <w:rsid w:val="0C0CEABD"/>
    <w:rsid w:val="0C123865"/>
    <w:rsid w:val="0C126B89"/>
    <w:rsid w:val="0C164513"/>
    <w:rsid w:val="0C179FF9"/>
    <w:rsid w:val="0C1B6DAE"/>
    <w:rsid w:val="0C22185A"/>
    <w:rsid w:val="0C24B12A"/>
    <w:rsid w:val="0C2CD121"/>
    <w:rsid w:val="0C3857D8"/>
    <w:rsid w:val="0C3FA87F"/>
    <w:rsid w:val="0C443654"/>
    <w:rsid w:val="0C4B95A2"/>
    <w:rsid w:val="0C5439BC"/>
    <w:rsid w:val="0C574885"/>
    <w:rsid w:val="0C5D36FC"/>
    <w:rsid w:val="0C612974"/>
    <w:rsid w:val="0C63585D"/>
    <w:rsid w:val="0C63DCC1"/>
    <w:rsid w:val="0C6514E1"/>
    <w:rsid w:val="0C706A92"/>
    <w:rsid w:val="0C732EC1"/>
    <w:rsid w:val="0C7D5BA6"/>
    <w:rsid w:val="0C7FABBF"/>
    <w:rsid w:val="0C7FB2EC"/>
    <w:rsid w:val="0C833393"/>
    <w:rsid w:val="0C8D2F0F"/>
    <w:rsid w:val="0C92B012"/>
    <w:rsid w:val="0C9660C8"/>
    <w:rsid w:val="0C97437D"/>
    <w:rsid w:val="0C97D1DC"/>
    <w:rsid w:val="0C9F46CD"/>
    <w:rsid w:val="0C9FA909"/>
    <w:rsid w:val="0CA2494B"/>
    <w:rsid w:val="0CA80401"/>
    <w:rsid w:val="0CAECB6B"/>
    <w:rsid w:val="0CB103DB"/>
    <w:rsid w:val="0CB9518C"/>
    <w:rsid w:val="0CBC80AA"/>
    <w:rsid w:val="0CBE3D99"/>
    <w:rsid w:val="0CD64C5A"/>
    <w:rsid w:val="0CE624A9"/>
    <w:rsid w:val="0CE9EEE2"/>
    <w:rsid w:val="0CF3A853"/>
    <w:rsid w:val="0CF4414F"/>
    <w:rsid w:val="0CF676A8"/>
    <w:rsid w:val="0CF84E04"/>
    <w:rsid w:val="0CF95361"/>
    <w:rsid w:val="0CFCE2CE"/>
    <w:rsid w:val="0CFD42BE"/>
    <w:rsid w:val="0CFEEE9C"/>
    <w:rsid w:val="0D0214A0"/>
    <w:rsid w:val="0D06418F"/>
    <w:rsid w:val="0D08E046"/>
    <w:rsid w:val="0D0D2916"/>
    <w:rsid w:val="0D0DA8E1"/>
    <w:rsid w:val="0D0EE347"/>
    <w:rsid w:val="0D101FAB"/>
    <w:rsid w:val="0D1319BF"/>
    <w:rsid w:val="0D16BFA3"/>
    <w:rsid w:val="0D1BC484"/>
    <w:rsid w:val="0D2B1B98"/>
    <w:rsid w:val="0D2D6EF5"/>
    <w:rsid w:val="0D31F72B"/>
    <w:rsid w:val="0D352DC6"/>
    <w:rsid w:val="0D3657F1"/>
    <w:rsid w:val="0D376D57"/>
    <w:rsid w:val="0D455DC5"/>
    <w:rsid w:val="0D45E04F"/>
    <w:rsid w:val="0D467863"/>
    <w:rsid w:val="0D471CDE"/>
    <w:rsid w:val="0D48389D"/>
    <w:rsid w:val="0D49C0D4"/>
    <w:rsid w:val="0D4A0C59"/>
    <w:rsid w:val="0D4D184C"/>
    <w:rsid w:val="0D4D45DB"/>
    <w:rsid w:val="0D515803"/>
    <w:rsid w:val="0D546332"/>
    <w:rsid w:val="0D549AC1"/>
    <w:rsid w:val="0D5BF2C1"/>
    <w:rsid w:val="0D5E0CA9"/>
    <w:rsid w:val="0D5F44FC"/>
    <w:rsid w:val="0D661B82"/>
    <w:rsid w:val="0D71767C"/>
    <w:rsid w:val="0D754643"/>
    <w:rsid w:val="0D75AE91"/>
    <w:rsid w:val="0D828BF9"/>
    <w:rsid w:val="0D83ED81"/>
    <w:rsid w:val="0D84E3CB"/>
    <w:rsid w:val="0D899C2D"/>
    <w:rsid w:val="0D8E3E2C"/>
    <w:rsid w:val="0D904A39"/>
    <w:rsid w:val="0D931DD9"/>
    <w:rsid w:val="0D953B39"/>
    <w:rsid w:val="0D961731"/>
    <w:rsid w:val="0D9D2407"/>
    <w:rsid w:val="0D9DF917"/>
    <w:rsid w:val="0DA0E598"/>
    <w:rsid w:val="0DA3A47D"/>
    <w:rsid w:val="0DACE5FF"/>
    <w:rsid w:val="0DB5A72E"/>
    <w:rsid w:val="0DBB1F95"/>
    <w:rsid w:val="0DC1F428"/>
    <w:rsid w:val="0DC8AA94"/>
    <w:rsid w:val="0DCDB46A"/>
    <w:rsid w:val="0DD27688"/>
    <w:rsid w:val="0DD32CD9"/>
    <w:rsid w:val="0DD61D09"/>
    <w:rsid w:val="0DD7C9C9"/>
    <w:rsid w:val="0DDEDE28"/>
    <w:rsid w:val="0DE36D27"/>
    <w:rsid w:val="0DE6DAC9"/>
    <w:rsid w:val="0DEC2AA7"/>
    <w:rsid w:val="0DF216FC"/>
    <w:rsid w:val="0DF48FE6"/>
    <w:rsid w:val="0DFBAFF1"/>
    <w:rsid w:val="0DFBE082"/>
    <w:rsid w:val="0DFE1971"/>
    <w:rsid w:val="0DFE6020"/>
    <w:rsid w:val="0E008A16"/>
    <w:rsid w:val="0E00A72B"/>
    <w:rsid w:val="0E08F1DC"/>
    <w:rsid w:val="0E0A2E06"/>
    <w:rsid w:val="0E0BC649"/>
    <w:rsid w:val="0E0C4E5B"/>
    <w:rsid w:val="0E0C969C"/>
    <w:rsid w:val="0E0DF614"/>
    <w:rsid w:val="0E10CDD0"/>
    <w:rsid w:val="0E124E12"/>
    <w:rsid w:val="0E126378"/>
    <w:rsid w:val="0E12AF7A"/>
    <w:rsid w:val="0E1A9A2F"/>
    <w:rsid w:val="0E2228D2"/>
    <w:rsid w:val="0E26E52B"/>
    <w:rsid w:val="0E2C97E6"/>
    <w:rsid w:val="0E2F6855"/>
    <w:rsid w:val="0E30369A"/>
    <w:rsid w:val="0E3B8754"/>
    <w:rsid w:val="0E3FDE25"/>
    <w:rsid w:val="0E4A22E1"/>
    <w:rsid w:val="0E5EE25F"/>
    <w:rsid w:val="0E6B2EAA"/>
    <w:rsid w:val="0E6D000B"/>
    <w:rsid w:val="0E6FE664"/>
    <w:rsid w:val="0E7164E5"/>
    <w:rsid w:val="0E753C33"/>
    <w:rsid w:val="0E7572C7"/>
    <w:rsid w:val="0E77DE22"/>
    <w:rsid w:val="0E78C58A"/>
    <w:rsid w:val="0E7914D6"/>
    <w:rsid w:val="0E7BA8D3"/>
    <w:rsid w:val="0E7FDBF4"/>
    <w:rsid w:val="0E84F725"/>
    <w:rsid w:val="0E853B63"/>
    <w:rsid w:val="0E8AD65C"/>
    <w:rsid w:val="0E8EFA01"/>
    <w:rsid w:val="0E8F3D83"/>
    <w:rsid w:val="0E9B74E1"/>
    <w:rsid w:val="0E9F6047"/>
    <w:rsid w:val="0EA3E06E"/>
    <w:rsid w:val="0EAF57F0"/>
    <w:rsid w:val="0EAFD20D"/>
    <w:rsid w:val="0EBB603A"/>
    <w:rsid w:val="0EC6EF35"/>
    <w:rsid w:val="0ECF7DC3"/>
    <w:rsid w:val="0ED0311F"/>
    <w:rsid w:val="0ED30C8F"/>
    <w:rsid w:val="0ED69B76"/>
    <w:rsid w:val="0ED86D98"/>
    <w:rsid w:val="0EDFF14E"/>
    <w:rsid w:val="0EE18940"/>
    <w:rsid w:val="0EE20253"/>
    <w:rsid w:val="0EE5CFDD"/>
    <w:rsid w:val="0EED0224"/>
    <w:rsid w:val="0EF0B3B8"/>
    <w:rsid w:val="0EF40773"/>
    <w:rsid w:val="0EFC7D71"/>
    <w:rsid w:val="0EFF2DBE"/>
    <w:rsid w:val="0F047ED8"/>
    <w:rsid w:val="0F073903"/>
    <w:rsid w:val="0F0A3496"/>
    <w:rsid w:val="0F0B6EA0"/>
    <w:rsid w:val="0F0BCE0F"/>
    <w:rsid w:val="0F0E08A1"/>
    <w:rsid w:val="0F103829"/>
    <w:rsid w:val="0F104CDE"/>
    <w:rsid w:val="0F10609B"/>
    <w:rsid w:val="0F151E9D"/>
    <w:rsid w:val="0F1AED8A"/>
    <w:rsid w:val="0F20489C"/>
    <w:rsid w:val="0F27A690"/>
    <w:rsid w:val="0F29CB1D"/>
    <w:rsid w:val="0F29D4A8"/>
    <w:rsid w:val="0F2C6786"/>
    <w:rsid w:val="0F2EC7D5"/>
    <w:rsid w:val="0F30733F"/>
    <w:rsid w:val="0F32FD1C"/>
    <w:rsid w:val="0F339257"/>
    <w:rsid w:val="0F37863E"/>
    <w:rsid w:val="0F386E4A"/>
    <w:rsid w:val="0F38D2BA"/>
    <w:rsid w:val="0F3D0D9F"/>
    <w:rsid w:val="0F3D64F4"/>
    <w:rsid w:val="0F3E202F"/>
    <w:rsid w:val="0F40C2D0"/>
    <w:rsid w:val="0F44CFBC"/>
    <w:rsid w:val="0F49EAA4"/>
    <w:rsid w:val="0F572D46"/>
    <w:rsid w:val="0F57B228"/>
    <w:rsid w:val="0F57B68C"/>
    <w:rsid w:val="0F57DF73"/>
    <w:rsid w:val="0F5811C4"/>
    <w:rsid w:val="0F66CECD"/>
    <w:rsid w:val="0F689ECB"/>
    <w:rsid w:val="0F6D9349"/>
    <w:rsid w:val="0F708EFC"/>
    <w:rsid w:val="0F7543F7"/>
    <w:rsid w:val="0F8B50F5"/>
    <w:rsid w:val="0F8CA227"/>
    <w:rsid w:val="0F92F966"/>
    <w:rsid w:val="0F9A8D27"/>
    <w:rsid w:val="0FA0F426"/>
    <w:rsid w:val="0FA1DD48"/>
    <w:rsid w:val="0FA7094B"/>
    <w:rsid w:val="0FB2B364"/>
    <w:rsid w:val="0FB2C0DB"/>
    <w:rsid w:val="0FB47F1C"/>
    <w:rsid w:val="0FB5F7CF"/>
    <w:rsid w:val="0FB92D01"/>
    <w:rsid w:val="0FBB9580"/>
    <w:rsid w:val="0FBCE115"/>
    <w:rsid w:val="0FBD5DB6"/>
    <w:rsid w:val="0FC19C27"/>
    <w:rsid w:val="0FCE6CEE"/>
    <w:rsid w:val="0FD0C48B"/>
    <w:rsid w:val="0FD441BC"/>
    <w:rsid w:val="0FDBFBF3"/>
    <w:rsid w:val="0FDE54BF"/>
    <w:rsid w:val="0FE08D41"/>
    <w:rsid w:val="0FE6A05F"/>
    <w:rsid w:val="0FE93557"/>
    <w:rsid w:val="0FEA743A"/>
    <w:rsid w:val="0FEB0208"/>
    <w:rsid w:val="0FEB737B"/>
    <w:rsid w:val="0FF0F707"/>
    <w:rsid w:val="0FF52FA3"/>
    <w:rsid w:val="0FF636DD"/>
    <w:rsid w:val="0FF9AB27"/>
    <w:rsid w:val="0FFAE1C9"/>
    <w:rsid w:val="1000F7A8"/>
    <w:rsid w:val="1012C8B7"/>
    <w:rsid w:val="1017FC09"/>
    <w:rsid w:val="101C2930"/>
    <w:rsid w:val="101DA514"/>
    <w:rsid w:val="1025D662"/>
    <w:rsid w:val="10293D06"/>
    <w:rsid w:val="102942C8"/>
    <w:rsid w:val="102DC1C9"/>
    <w:rsid w:val="103768AE"/>
    <w:rsid w:val="103FEC6E"/>
    <w:rsid w:val="104476DC"/>
    <w:rsid w:val="10459566"/>
    <w:rsid w:val="10461646"/>
    <w:rsid w:val="104CCE72"/>
    <w:rsid w:val="104FA440"/>
    <w:rsid w:val="10502C25"/>
    <w:rsid w:val="105180A7"/>
    <w:rsid w:val="105A9697"/>
    <w:rsid w:val="105C5466"/>
    <w:rsid w:val="105CCF32"/>
    <w:rsid w:val="105F38A9"/>
    <w:rsid w:val="106029E9"/>
    <w:rsid w:val="1060DBF5"/>
    <w:rsid w:val="1061BA21"/>
    <w:rsid w:val="1065F358"/>
    <w:rsid w:val="106C9E78"/>
    <w:rsid w:val="10709FB5"/>
    <w:rsid w:val="10733BFC"/>
    <w:rsid w:val="1078FDD4"/>
    <w:rsid w:val="10796B7E"/>
    <w:rsid w:val="107E0B61"/>
    <w:rsid w:val="107E77A9"/>
    <w:rsid w:val="107EB98A"/>
    <w:rsid w:val="108187E2"/>
    <w:rsid w:val="1084731C"/>
    <w:rsid w:val="1086A546"/>
    <w:rsid w:val="10896BCD"/>
    <w:rsid w:val="108BBAB2"/>
    <w:rsid w:val="109320E3"/>
    <w:rsid w:val="1093633C"/>
    <w:rsid w:val="1094D948"/>
    <w:rsid w:val="10958F5C"/>
    <w:rsid w:val="10986942"/>
    <w:rsid w:val="109EB981"/>
    <w:rsid w:val="10A01C0F"/>
    <w:rsid w:val="10A39AFA"/>
    <w:rsid w:val="10A899E2"/>
    <w:rsid w:val="10A8F4D8"/>
    <w:rsid w:val="10AF00EB"/>
    <w:rsid w:val="10B5BA85"/>
    <w:rsid w:val="10B74ECC"/>
    <w:rsid w:val="10C43B52"/>
    <w:rsid w:val="10CB7F7E"/>
    <w:rsid w:val="10D11674"/>
    <w:rsid w:val="10D11E93"/>
    <w:rsid w:val="10D40B51"/>
    <w:rsid w:val="10D62442"/>
    <w:rsid w:val="10D8229E"/>
    <w:rsid w:val="10DC97D1"/>
    <w:rsid w:val="10E6C931"/>
    <w:rsid w:val="10E9F70E"/>
    <w:rsid w:val="10EE8815"/>
    <w:rsid w:val="10F03B60"/>
    <w:rsid w:val="10F06FA3"/>
    <w:rsid w:val="10F2CBDB"/>
    <w:rsid w:val="10F43791"/>
    <w:rsid w:val="10F5A2D5"/>
    <w:rsid w:val="10F846F5"/>
    <w:rsid w:val="10FABA1B"/>
    <w:rsid w:val="10FB463C"/>
    <w:rsid w:val="10FC1DE3"/>
    <w:rsid w:val="10FC8D48"/>
    <w:rsid w:val="10FD6B5D"/>
    <w:rsid w:val="10FDBCD6"/>
    <w:rsid w:val="10FE89D0"/>
    <w:rsid w:val="1108957F"/>
    <w:rsid w:val="110AC213"/>
    <w:rsid w:val="110FE61A"/>
    <w:rsid w:val="11111F36"/>
    <w:rsid w:val="11160CE8"/>
    <w:rsid w:val="111750B5"/>
    <w:rsid w:val="1119A55F"/>
    <w:rsid w:val="1119C6A5"/>
    <w:rsid w:val="111CF5CD"/>
    <w:rsid w:val="112119FC"/>
    <w:rsid w:val="1121901E"/>
    <w:rsid w:val="112BC3B6"/>
    <w:rsid w:val="1137A6F2"/>
    <w:rsid w:val="11396683"/>
    <w:rsid w:val="11398DB2"/>
    <w:rsid w:val="113AEB0E"/>
    <w:rsid w:val="113EEB01"/>
    <w:rsid w:val="1142DC2B"/>
    <w:rsid w:val="11430868"/>
    <w:rsid w:val="114474A8"/>
    <w:rsid w:val="114A9A21"/>
    <w:rsid w:val="115AB71A"/>
    <w:rsid w:val="115F59B3"/>
    <w:rsid w:val="11633C7D"/>
    <w:rsid w:val="11714F41"/>
    <w:rsid w:val="1176C494"/>
    <w:rsid w:val="118B33D4"/>
    <w:rsid w:val="118C64C9"/>
    <w:rsid w:val="1194B221"/>
    <w:rsid w:val="1194E07C"/>
    <w:rsid w:val="119E65E0"/>
    <w:rsid w:val="119E8E5D"/>
    <w:rsid w:val="11AAF51B"/>
    <w:rsid w:val="11AF2EA5"/>
    <w:rsid w:val="11B2527C"/>
    <w:rsid w:val="11BD22EC"/>
    <w:rsid w:val="11C079CB"/>
    <w:rsid w:val="11CF1823"/>
    <w:rsid w:val="11DA9D4C"/>
    <w:rsid w:val="11DB83F5"/>
    <w:rsid w:val="11DFE9E2"/>
    <w:rsid w:val="11E46709"/>
    <w:rsid w:val="11E9111A"/>
    <w:rsid w:val="11EC158C"/>
    <w:rsid w:val="11ECB72D"/>
    <w:rsid w:val="11ED9699"/>
    <w:rsid w:val="11F53A4C"/>
    <w:rsid w:val="11F894F6"/>
    <w:rsid w:val="11FAA1E9"/>
    <w:rsid w:val="12019BD4"/>
    <w:rsid w:val="12030212"/>
    <w:rsid w:val="1203EF35"/>
    <w:rsid w:val="120B88A7"/>
    <w:rsid w:val="120C7ACF"/>
    <w:rsid w:val="120D0388"/>
    <w:rsid w:val="121477F8"/>
    <w:rsid w:val="121A06AC"/>
    <w:rsid w:val="122611F0"/>
    <w:rsid w:val="12313DB7"/>
    <w:rsid w:val="12314448"/>
    <w:rsid w:val="1234AAB3"/>
    <w:rsid w:val="12358676"/>
    <w:rsid w:val="12375712"/>
    <w:rsid w:val="123F0A6B"/>
    <w:rsid w:val="124B7373"/>
    <w:rsid w:val="1251C929"/>
    <w:rsid w:val="12521869"/>
    <w:rsid w:val="12597C6D"/>
    <w:rsid w:val="125DC90D"/>
    <w:rsid w:val="12647049"/>
    <w:rsid w:val="1269587C"/>
    <w:rsid w:val="126D61B2"/>
    <w:rsid w:val="126E6A92"/>
    <w:rsid w:val="1271315A"/>
    <w:rsid w:val="1273721F"/>
    <w:rsid w:val="12741F38"/>
    <w:rsid w:val="12800A1B"/>
    <w:rsid w:val="128AA023"/>
    <w:rsid w:val="128AED66"/>
    <w:rsid w:val="128C08B2"/>
    <w:rsid w:val="128EF7F3"/>
    <w:rsid w:val="1296ABB7"/>
    <w:rsid w:val="129DA362"/>
    <w:rsid w:val="129FD42E"/>
    <w:rsid w:val="12A3868A"/>
    <w:rsid w:val="12A8CA4B"/>
    <w:rsid w:val="12AA3110"/>
    <w:rsid w:val="12AD47C0"/>
    <w:rsid w:val="12ADC142"/>
    <w:rsid w:val="12AF9C31"/>
    <w:rsid w:val="12B015C1"/>
    <w:rsid w:val="12B76AED"/>
    <w:rsid w:val="12BDD23A"/>
    <w:rsid w:val="12C0C9E0"/>
    <w:rsid w:val="12C3EBC5"/>
    <w:rsid w:val="12C52F36"/>
    <w:rsid w:val="12CC284A"/>
    <w:rsid w:val="12D268BB"/>
    <w:rsid w:val="12D808DD"/>
    <w:rsid w:val="12DA2C28"/>
    <w:rsid w:val="12DAB00C"/>
    <w:rsid w:val="12DBB4DD"/>
    <w:rsid w:val="12DFF059"/>
    <w:rsid w:val="12E19846"/>
    <w:rsid w:val="12E38FB4"/>
    <w:rsid w:val="12FAE2F9"/>
    <w:rsid w:val="12FC4D27"/>
    <w:rsid w:val="12FD9715"/>
    <w:rsid w:val="1303AD77"/>
    <w:rsid w:val="1316046A"/>
    <w:rsid w:val="131AED37"/>
    <w:rsid w:val="1322273F"/>
    <w:rsid w:val="132346B1"/>
    <w:rsid w:val="1324DAA5"/>
    <w:rsid w:val="13295F72"/>
    <w:rsid w:val="133088D4"/>
    <w:rsid w:val="133351BC"/>
    <w:rsid w:val="13474AF9"/>
    <w:rsid w:val="13481892"/>
    <w:rsid w:val="134E4145"/>
    <w:rsid w:val="134E64E9"/>
    <w:rsid w:val="134EC025"/>
    <w:rsid w:val="13557EFF"/>
    <w:rsid w:val="135C55E9"/>
    <w:rsid w:val="136305AC"/>
    <w:rsid w:val="13693BDF"/>
    <w:rsid w:val="13696021"/>
    <w:rsid w:val="136A760C"/>
    <w:rsid w:val="136A978E"/>
    <w:rsid w:val="136AFA49"/>
    <w:rsid w:val="136B20AD"/>
    <w:rsid w:val="136F39A1"/>
    <w:rsid w:val="13727132"/>
    <w:rsid w:val="137A9E28"/>
    <w:rsid w:val="137AE861"/>
    <w:rsid w:val="137F7FA7"/>
    <w:rsid w:val="1380CF77"/>
    <w:rsid w:val="138832DC"/>
    <w:rsid w:val="138B2EA5"/>
    <w:rsid w:val="138D9E01"/>
    <w:rsid w:val="138E27AF"/>
    <w:rsid w:val="139604CD"/>
    <w:rsid w:val="1396092B"/>
    <w:rsid w:val="1398FB5B"/>
    <w:rsid w:val="139D51DD"/>
    <w:rsid w:val="13A0133E"/>
    <w:rsid w:val="13A2396E"/>
    <w:rsid w:val="13A53B5C"/>
    <w:rsid w:val="13ADF444"/>
    <w:rsid w:val="13AF306F"/>
    <w:rsid w:val="13B5F0F1"/>
    <w:rsid w:val="13B89BBA"/>
    <w:rsid w:val="13B8BC06"/>
    <w:rsid w:val="13C52638"/>
    <w:rsid w:val="13CDB392"/>
    <w:rsid w:val="13CDB74B"/>
    <w:rsid w:val="13D066C8"/>
    <w:rsid w:val="13D22B5A"/>
    <w:rsid w:val="13D409D1"/>
    <w:rsid w:val="13DD0E9C"/>
    <w:rsid w:val="13DD2EB2"/>
    <w:rsid w:val="13DFC958"/>
    <w:rsid w:val="13E06669"/>
    <w:rsid w:val="13E5D9B4"/>
    <w:rsid w:val="13E5DFD0"/>
    <w:rsid w:val="13EBDC2F"/>
    <w:rsid w:val="13ECB6A4"/>
    <w:rsid w:val="13ECEE34"/>
    <w:rsid w:val="13EE0026"/>
    <w:rsid w:val="13F7C4DE"/>
    <w:rsid w:val="13F918F3"/>
    <w:rsid w:val="14025D22"/>
    <w:rsid w:val="140442E8"/>
    <w:rsid w:val="14076F9E"/>
    <w:rsid w:val="1419937C"/>
    <w:rsid w:val="141EA551"/>
    <w:rsid w:val="1421A106"/>
    <w:rsid w:val="1423211D"/>
    <w:rsid w:val="142671A4"/>
    <w:rsid w:val="142EC775"/>
    <w:rsid w:val="1438DF17"/>
    <w:rsid w:val="143947C5"/>
    <w:rsid w:val="143A29CF"/>
    <w:rsid w:val="143A83E4"/>
    <w:rsid w:val="14428A70"/>
    <w:rsid w:val="1448555B"/>
    <w:rsid w:val="144B4330"/>
    <w:rsid w:val="1450ECC2"/>
    <w:rsid w:val="1451B8BD"/>
    <w:rsid w:val="1452C7E1"/>
    <w:rsid w:val="14553DBD"/>
    <w:rsid w:val="145874A6"/>
    <w:rsid w:val="145D9697"/>
    <w:rsid w:val="14617635"/>
    <w:rsid w:val="1464C4C1"/>
    <w:rsid w:val="14710E7C"/>
    <w:rsid w:val="147ACA86"/>
    <w:rsid w:val="1489919B"/>
    <w:rsid w:val="14960742"/>
    <w:rsid w:val="149978A3"/>
    <w:rsid w:val="14A1201E"/>
    <w:rsid w:val="14A229F1"/>
    <w:rsid w:val="14A6712E"/>
    <w:rsid w:val="14ACC706"/>
    <w:rsid w:val="14B9AC5A"/>
    <w:rsid w:val="14C4A882"/>
    <w:rsid w:val="14C94E0A"/>
    <w:rsid w:val="14CAEAB2"/>
    <w:rsid w:val="14D10F71"/>
    <w:rsid w:val="14D29681"/>
    <w:rsid w:val="14D45DEE"/>
    <w:rsid w:val="14D78318"/>
    <w:rsid w:val="14D90A50"/>
    <w:rsid w:val="14DCD2DB"/>
    <w:rsid w:val="14E17AFB"/>
    <w:rsid w:val="14E17D94"/>
    <w:rsid w:val="14E392D2"/>
    <w:rsid w:val="14F010D7"/>
    <w:rsid w:val="14F37C2E"/>
    <w:rsid w:val="14F95065"/>
    <w:rsid w:val="14F9ED62"/>
    <w:rsid w:val="14FFF94B"/>
    <w:rsid w:val="150FBF4E"/>
    <w:rsid w:val="1515D798"/>
    <w:rsid w:val="15194310"/>
    <w:rsid w:val="151EE189"/>
    <w:rsid w:val="1520F4BC"/>
    <w:rsid w:val="15224FFD"/>
    <w:rsid w:val="15226BDD"/>
    <w:rsid w:val="15234B49"/>
    <w:rsid w:val="1524AEF6"/>
    <w:rsid w:val="15270538"/>
    <w:rsid w:val="15292DC7"/>
    <w:rsid w:val="152EF3B1"/>
    <w:rsid w:val="153A5907"/>
    <w:rsid w:val="153B64D2"/>
    <w:rsid w:val="153BB0F7"/>
    <w:rsid w:val="153EF628"/>
    <w:rsid w:val="153F3549"/>
    <w:rsid w:val="15442C4D"/>
    <w:rsid w:val="1546307E"/>
    <w:rsid w:val="154E60A3"/>
    <w:rsid w:val="1567837C"/>
    <w:rsid w:val="15681432"/>
    <w:rsid w:val="156C6BFC"/>
    <w:rsid w:val="156EC583"/>
    <w:rsid w:val="157B04AD"/>
    <w:rsid w:val="15880925"/>
    <w:rsid w:val="15883BF6"/>
    <w:rsid w:val="158945F3"/>
    <w:rsid w:val="158A916A"/>
    <w:rsid w:val="158FB38C"/>
    <w:rsid w:val="1590F4F6"/>
    <w:rsid w:val="159CD00B"/>
    <w:rsid w:val="159FBE70"/>
    <w:rsid w:val="15A669D1"/>
    <w:rsid w:val="15A7330B"/>
    <w:rsid w:val="15A787ED"/>
    <w:rsid w:val="15AE10E3"/>
    <w:rsid w:val="15AEE63E"/>
    <w:rsid w:val="15AFC492"/>
    <w:rsid w:val="15B34912"/>
    <w:rsid w:val="15B61B7C"/>
    <w:rsid w:val="15B6D6FA"/>
    <w:rsid w:val="15B76082"/>
    <w:rsid w:val="15BB9011"/>
    <w:rsid w:val="15BE8E95"/>
    <w:rsid w:val="15BFE20F"/>
    <w:rsid w:val="15C275A5"/>
    <w:rsid w:val="15C4C446"/>
    <w:rsid w:val="15C6664D"/>
    <w:rsid w:val="15CBF452"/>
    <w:rsid w:val="15D569FC"/>
    <w:rsid w:val="15DC7483"/>
    <w:rsid w:val="15DC7B44"/>
    <w:rsid w:val="15E5FD6F"/>
    <w:rsid w:val="15EC07D0"/>
    <w:rsid w:val="15EC26B9"/>
    <w:rsid w:val="15EF43F3"/>
    <w:rsid w:val="15EF50AD"/>
    <w:rsid w:val="15F9F8C8"/>
    <w:rsid w:val="15FEC2F3"/>
    <w:rsid w:val="1607C28C"/>
    <w:rsid w:val="160BE57B"/>
    <w:rsid w:val="160D1EB9"/>
    <w:rsid w:val="160DBD62"/>
    <w:rsid w:val="160E4298"/>
    <w:rsid w:val="161700A3"/>
    <w:rsid w:val="16194691"/>
    <w:rsid w:val="16196E81"/>
    <w:rsid w:val="1622A1D6"/>
    <w:rsid w:val="16240FBB"/>
    <w:rsid w:val="162A2CE5"/>
    <w:rsid w:val="162AE7D4"/>
    <w:rsid w:val="16317854"/>
    <w:rsid w:val="16324C3A"/>
    <w:rsid w:val="1639B490"/>
    <w:rsid w:val="164133BF"/>
    <w:rsid w:val="164A4EDB"/>
    <w:rsid w:val="165158F4"/>
    <w:rsid w:val="1652C520"/>
    <w:rsid w:val="165913A9"/>
    <w:rsid w:val="165C1FE4"/>
    <w:rsid w:val="165C2115"/>
    <w:rsid w:val="166924BD"/>
    <w:rsid w:val="1670F98F"/>
    <w:rsid w:val="167101C0"/>
    <w:rsid w:val="1675DE8C"/>
    <w:rsid w:val="16777075"/>
    <w:rsid w:val="1680312E"/>
    <w:rsid w:val="1681B3FD"/>
    <w:rsid w:val="1685C616"/>
    <w:rsid w:val="168877EA"/>
    <w:rsid w:val="16892539"/>
    <w:rsid w:val="168B8E3E"/>
    <w:rsid w:val="168BA5A2"/>
    <w:rsid w:val="16926757"/>
    <w:rsid w:val="16959A32"/>
    <w:rsid w:val="169674CB"/>
    <w:rsid w:val="169D76CD"/>
    <w:rsid w:val="169F8C31"/>
    <w:rsid w:val="16A03694"/>
    <w:rsid w:val="16A362FF"/>
    <w:rsid w:val="16A39DF5"/>
    <w:rsid w:val="16A9CD1D"/>
    <w:rsid w:val="16AD23D5"/>
    <w:rsid w:val="16AD4442"/>
    <w:rsid w:val="16AD5EFF"/>
    <w:rsid w:val="16B2EB03"/>
    <w:rsid w:val="16B502B8"/>
    <w:rsid w:val="16B6F0EF"/>
    <w:rsid w:val="16B98019"/>
    <w:rsid w:val="16BA1936"/>
    <w:rsid w:val="16BC26C8"/>
    <w:rsid w:val="16BCF680"/>
    <w:rsid w:val="16C12603"/>
    <w:rsid w:val="16C161A2"/>
    <w:rsid w:val="16C5C871"/>
    <w:rsid w:val="16C8A785"/>
    <w:rsid w:val="16CCEBA1"/>
    <w:rsid w:val="16DB798A"/>
    <w:rsid w:val="16DBB7FF"/>
    <w:rsid w:val="16E1D928"/>
    <w:rsid w:val="16E3E8D4"/>
    <w:rsid w:val="16E4723D"/>
    <w:rsid w:val="16E58B71"/>
    <w:rsid w:val="16E5E1E7"/>
    <w:rsid w:val="16ED322A"/>
    <w:rsid w:val="16EF556E"/>
    <w:rsid w:val="16F46132"/>
    <w:rsid w:val="16FDDE98"/>
    <w:rsid w:val="1700C667"/>
    <w:rsid w:val="170369EE"/>
    <w:rsid w:val="1708C627"/>
    <w:rsid w:val="170C5AB8"/>
    <w:rsid w:val="170CB785"/>
    <w:rsid w:val="17165BAA"/>
    <w:rsid w:val="17178664"/>
    <w:rsid w:val="171AA95A"/>
    <w:rsid w:val="171AC19D"/>
    <w:rsid w:val="171D4C16"/>
    <w:rsid w:val="1724E1C1"/>
    <w:rsid w:val="1731F088"/>
    <w:rsid w:val="1733A550"/>
    <w:rsid w:val="1734A9C1"/>
    <w:rsid w:val="17368C5D"/>
    <w:rsid w:val="173CCF12"/>
    <w:rsid w:val="17442E0D"/>
    <w:rsid w:val="174689D7"/>
    <w:rsid w:val="1747A522"/>
    <w:rsid w:val="17497DEB"/>
    <w:rsid w:val="174C8999"/>
    <w:rsid w:val="1753207F"/>
    <w:rsid w:val="1753A3FC"/>
    <w:rsid w:val="1754192D"/>
    <w:rsid w:val="1756F5BA"/>
    <w:rsid w:val="17611C81"/>
    <w:rsid w:val="1767C3F0"/>
    <w:rsid w:val="176C126C"/>
    <w:rsid w:val="17711A36"/>
    <w:rsid w:val="17713E14"/>
    <w:rsid w:val="1772F2A7"/>
    <w:rsid w:val="1774059C"/>
    <w:rsid w:val="17778C9A"/>
    <w:rsid w:val="177CB6DD"/>
    <w:rsid w:val="177F5562"/>
    <w:rsid w:val="177FC557"/>
    <w:rsid w:val="178828B2"/>
    <w:rsid w:val="178913A3"/>
    <w:rsid w:val="178EBB22"/>
    <w:rsid w:val="1790D9DF"/>
    <w:rsid w:val="17911A71"/>
    <w:rsid w:val="1792942A"/>
    <w:rsid w:val="179378C6"/>
    <w:rsid w:val="17942A70"/>
    <w:rsid w:val="179D6D15"/>
    <w:rsid w:val="17A06FFD"/>
    <w:rsid w:val="17A1B6BD"/>
    <w:rsid w:val="17A5B5B8"/>
    <w:rsid w:val="17ADDA12"/>
    <w:rsid w:val="17AFDB39"/>
    <w:rsid w:val="17B18020"/>
    <w:rsid w:val="17B2F72B"/>
    <w:rsid w:val="17B37D6A"/>
    <w:rsid w:val="17B786C7"/>
    <w:rsid w:val="17BA65F6"/>
    <w:rsid w:val="17BFE315"/>
    <w:rsid w:val="17C589E1"/>
    <w:rsid w:val="17C84DE3"/>
    <w:rsid w:val="17CE272C"/>
    <w:rsid w:val="17CE446F"/>
    <w:rsid w:val="17CE4E40"/>
    <w:rsid w:val="17D96880"/>
    <w:rsid w:val="17DD29AE"/>
    <w:rsid w:val="17E1F27A"/>
    <w:rsid w:val="17F15475"/>
    <w:rsid w:val="17F2CD4B"/>
    <w:rsid w:val="17F92E92"/>
    <w:rsid w:val="17FA7A33"/>
    <w:rsid w:val="1800958B"/>
    <w:rsid w:val="1808DBEC"/>
    <w:rsid w:val="1812934C"/>
    <w:rsid w:val="181BA42F"/>
    <w:rsid w:val="181D7E02"/>
    <w:rsid w:val="181DA44C"/>
    <w:rsid w:val="18215701"/>
    <w:rsid w:val="1829CF12"/>
    <w:rsid w:val="182F4AF2"/>
    <w:rsid w:val="182FCF56"/>
    <w:rsid w:val="1832A28A"/>
    <w:rsid w:val="1837F727"/>
    <w:rsid w:val="1838E718"/>
    <w:rsid w:val="183E06F2"/>
    <w:rsid w:val="183F9C17"/>
    <w:rsid w:val="184C7D9F"/>
    <w:rsid w:val="184CD912"/>
    <w:rsid w:val="184FA689"/>
    <w:rsid w:val="1850B44F"/>
    <w:rsid w:val="18560EBB"/>
    <w:rsid w:val="185847E4"/>
    <w:rsid w:val="185AEED2"/>
    <w:rsid w:val="18619358"/>
    <w:rsid w:val="18662C40"/>
    <w:rsid w:val="187E1DE1"/>
    <w:rsid w:val="187F44F7"/>
    <w:rsid w:val="18814190"/>
    <w:rsid w:val="188CB223"/>
    <w:rsid w:val="18912D21"/>
    <w:rsid w:val="189EA195"/>
    <w:rsid w:val="18A51A8E"/>
    <w:rsid w:val="18A6D300"/>
    <w:rsid w:val="18A759AB"/>
    <w:rsid w:val="18A7BB34"/>
    <w:rsid w:val="18A97DA3"/>
    <w:rsid w:val="18AD0F8C"/>
    <w:rsid w:val="18AF9479"/>
    <w:rsid w:val="18B1DCAD"/>
    <w:rsid w:val="18B26ED1"/>
    <w:rsid w:val="18B37C3E"/>
    <w:rsid w:val="18B43DC8"/>
    <w:rsid w:val="18C231E8"/>
    <w:rsid w:val="18C4F80A"/>
    <w:rsid w:val="18C62845"/>
    <w:rsid w:val="18C7B943"/>
    <w:rsid w:val="18CAF66E"/>
    <w:rsid w:val="18CCFACA"/>
    <w:rsid w:val="18E54157"/>
    <w:rsid w:val="18EB210E"/>
    <w:rsid w:val="18F29631"/>
    <w:rsid w:val="18F74000"/>
    <w:rsid w:val="18F9541A"/>
    <w:rsid w:val="18FA939C"/>
    <w:rsid w:val="19028303"/>
    <w:rsid w:val="1905E281"/>
    <w:rsid w:val="1906404A"/>
    <w:rsid w:val="190C30E4"/>
    <w:rsid w:val="190D425B"/>
    <w:rsid w:val="191C9277"/>
    <w:rsid w:val="192047F1"/>
    <w:rsid w:val="192947A1"/>
    <w:rsid w:val="192B1740"/>
    <w:rsid w:val="192D8DEA"/>
    <w:rsid w:val="1935CC3D"/>
    <w:rsid w:val="1936357A"/>
    <w:rsid w:val="19384815"/>
    <w:rsid w:val="193BACAE"/>
    <w:rsid w:val="193DC943"/>
    <w:rsid w:val="193E2BA6"/>
    <w:rsid w:val="1943B9F8"/>
    <w:rsid w:val="1946DFD6"/>
    <w:rsid w:val="1946EA6D"/>
    <w:rsid w:val="194835C6"/>
    <w:rsid w:val="19499BE5"/>
    <w:rsid w:val="194F9723"/>
    <w:rsid w:val="19532B2E"/>
    <w:rsid w:val="195753F2"/>
    <w:rsid w:val="1957E9CD"/>
    <w:rsid w:val="195D4140"/>
    <w:rsid w:val="195FE692"/>
    <w:rsid w:val="1961F7DB"/>
    <w:rsid w:val="196F4F6F"/>
    <w:rsid w:val="1973F62A"/>
    <w:rsid w:val="197E89C1"/>
    <w:rsid w:val="197ED87F"/>
    <w:rsid w:val="198259C4"/>
    <w:rsid w:val="19861A46"/>
    <w:rsid w:val="19863979"/>
    <w:rsid w:val="198940D7"/>
    <w:rsid w:val="198DA0BB"/>
    <w:rsid w:val="198E5B8B"/>
    <w:rsid w:val="198FC122"/>
    <w:rsid w:val="1995B664"/>
    <w:rsid w:val="19991FF5"/>
    <w:rsid w:val="199B9691"/>
    <w:rsid w:val="199EF140"/>
    <w:rsid w:val="199F01BE"/>
    <w:rsid w:val="19A820CB"/>
    <w:rsid w:val="19AA56DA"/>
    <w:rsid w:val="19AAF43B"/>
    <w:rsid w:val="19AAFC2D"/>
    <w:rsid w:val="19AD7308"/>
    <w:rsid w:val="19AF6F72"/>
    <w:rsid w:val="19AFFDA7"/>
    <w:rsid w:val="19B32530"/>
    <w:rsid w:val="19B5FC90"/>
    <w:rsid w:val="19C3D90B"/>
    <w:rsid w:val="19C577D6"/>
    <w:rsid w:val="19D2F150"/>
    <w:rsid w:val="19D621E6"/>
    <w:rsid w:val="19D80662"/>
    <w:rsid w:val="19D8A1A5"/>
    <w:rsid w:val="19DA96E0"/>
    <w:rsid w:val="19DE81A9"/>
    <w:rsid w:val="19E2B543"/>
    <w:rsid w:val="19E2C691"/>
    <w:rsid w:val="19E5C768"/>
    <w:rsid w:val="19E61F70"/>
    <w:rsid w:val="19EAEB31"/>
    <w:rsid w:val="19EC512C"/>
    <w:rsid w:val="19ED92D4"/>
    <w:rsid w:val="19EE658A"/>
    <w:rsid w:val="19F08464"/>
    <w:rsid w:val="19F14166"/>
    <w:rsid w:val="19F49658"/>
    <w:rsid w:val="19F60446"/>
    <w:rsid w:val="19F6D60D"/>
    <w:rsid w:val="19F9AD8A"/>
    <w:rsid w:val="19FB900A"/>
    <w:rsid w:val="19FEF3BA"/>
    <w:rsid w:val="1A0024DF"/>
    <w:rsid w:val="1A005672"/>
    <w:rsid w:val="1A0138C3"/>
    <w:rsid w:val="1A03CD7C"/>
    <w:rsid w:val="1A0AF978"/>
    <w:rsid w:val="1A0D32B2"/>
    <w:rsid w:val="1A1497F4"/>
    <w:rsid w:val="1A168C08"/>
    <w:rsid w:val="1A18ED72"/>
    <w:rsid w:val="1A1C0A93"/>
    <w:rsid w:val="1A1F57A8"/>
    <w:rsid w:val="1A2040E4"/>
    <w:rsid w:val="1A23EF0A"/>
    <w:rsid w:val="1A268AE3"/>
    <w:rsid w:val="1A277761"/>
    <w:rsid w:val="1A278B64"/>
    <w:rsid w:val="1A2827C1"/>
    <w:rsid w:val="1A2B0DEE"/>
    <w:rsid w:val="1A33EFC6"/>
    <w:rsid w:val="1A3A04D7"/>
    <w:rsid w:val="1A3C6535"/>
    <w:rsid w:val="1A3EE8F7"/>
    <w:rsid w:val="1A497EF8"/>
    <w:rsid w:val="1A4EF7C6"/>
    <w:rsid w:val="1A532EDC"/>
    <w:rsid w:val="1A537DC7"/>
    <w:rsid w:val="1A54D9AA"/>
    <w:rsid w:val="1A56B30E"/>
    <w:rsid w:val="1A5BD781"/>
    <w:rsid w:val="1A5DDDF7"/>
    <w:rsid w:val="1A61AEA2"/>
    <w:rsid w:val="1A6BA3FA"/>
    <w:rsid w:val="1A73C965"/>
    <w:rsid w:val="1A75548F"/>
    <w:rsid w:val="1A79A921"/>
    <w:rsid w:val="1A7D73DA"/>
    <w:rsid w:val="1A81E255"/>
    <w:rsid w:val="1A84DFF8"/>
    <w:rsid w:val="1A880224"/>
    <w:rsid w:val="1A88EE31"/>
    <w:rsid w:val="1A893E59"/>
    <w:rsid w:val="1A89F26A"/>
    <w:rsid w:val="1A933352"/>
    <w:rsid w:val="1A96C9A8"/>
    <w:rsid w:val="1AA3CE05"/>
    <w:rsid w:val="1AA4BB05"/>
    <w:rsid w:val="1AA4E418"/>
    <w:rsid w:val="1AA6CB3E"/>
    <w:rsid w:val="1AA72F61"/>
    <w:rsid w:val="1AA88569"/>
    <w:rsid w:val="1AA8D190"/>
    <w:rsid w:val="1AABDEFF"/>
    <w:rsid w:val="1AB6A6B7"/>
    <w:rsid w:val="1ABD966A"/>
    <w:rsid w:val="1AC6A6FD"/>
    <w:rsid w:val="1AC9C341"/>
    <w:rsid w:val="1ACD6A75"/>
    <w:rsid w:val="1AD06847"/>
    <w:rsid w:val="1AD2F883"/>
    <w:rsid w:val="1AD6E325"/>
    <w:rsid w:val="1AE550ED"/>
    <w:rsid w:val="1AE6D49E"/>
    <w:rsid w:val="1AE9057B"/>
    <w:rsid w:val="1AEAEB35"/>
    <w:rsid w:val="1AEBC8B2"/>
    <w:rsid w:val="1AF0FBB2"/>
    <w:rsid w:val="1AF8232D"/>
    <w:rsid w:val="1AFC795C"/>
    <w:rsid w:val="1AFEDA51"/>
    <w:rsid w:val="1B017A9F"/>
    <w:rsid w:val="1B028A65"/>
    <w:rsid w:val="1B0380D2"/>
    <w:rsid w:val="1B04CCE8"/>
    <w:rsid w:val="1B05E815"/>
    <w:rsid w:val="1B061D7A"/>
    <w:rsid w:val="1B098B1E"/>
    <w:rsid w:val="1B0A2B43"/>
    <w:rsid w:val="1B0DCC1E"/>
    <w:rsid w:val="1B0F546E"/>
    <w:rsid w:val="1B106374"/>
    <w:rsid w:val="1B11A220"/>
    <w:rsid w:val="1B143236"/>
    <w:rsid w:val="1B16B755"/>
    <w:rsid w:val="1B1BAE9C"/>
    <w:rsid w:val="1B1C0DA0"/>
    <w:rsid w:val="1B1CC493"/>
    <w:rsid w:val="1B2346A1"/>
    <w:rsid w:val="1B284ECE"/>
    <w:rsid w:val="1B296E9D"/>
    <w:rsid w:val="1B2BE763"/>
    <w:rsid w:val="1B2C85C6"/>
    <w:rsid w:val="1B2F2F0A"/>
    <w:rsid w:val="1B37D274"/>
    <w:rsid w:val="1B3827D0"/>
    <w:rsid w:val="1B47686B"/>
    <w:rsid w:val="1B4AE91B"/>
    <w:rsid w:val="1B4C1C5B"/>
    <w:rsid w:val="1B4C3A13"/>
    <w:rsid w:val="1B4EF866"/>
    <w:rsid w:val="1B527912"/>
    <w:rsid w:val="1B58093F"/>
    <w:rsid w:val="1B58A191"/>
    <w:rsid w:val="1B596CA9"/>
    <w:rsid w:val="1B5D8184"/>
    <w:rsid w:val="1B640AC1"/>
    <w:rsid w:val="1B65AC08"/>
    <w:rsid w:val="1B72CFCB"/>
    <w:rsid w:val="1B731F42"/>
    <w:rsid w:val="1B73A0B9"/>
    <w:rsid w:val="1B822FFA"/>
    <w:rsid w:val="1B826F04"/>
    <w:rsid w:val="1B82AE4F"/>
    <w:rsid w:val="1B83DF71"/>
    <w:rsid w:val="1B84408A"/>
    <w:rsid w:val="1B873F99"/>
    <w:rsid w:val="1B87BC90"/>
    <w:rsid w:val="1B8991DB"/>
    <w:rsid w:val="1B8A0C0E"/>
    <w:rsid w:val="1B8F90E4"/>
    <w:rsid w:val="1B9711AC"/>
    <w:rsid w:val="1B978913"/>
    <w:rsid w:val="1B9A53D2"/>
    <w:rsid w:val="1BA4C284"/>
    <w:rsid w:val="1BA73BD6"/>
    <w:rsid w:val="1BB3202F"/>
    <w:rsid w:val="1BBB66A2"/>
    <w:rsid w:val="1BBC5F18"/>
    <w:rsid w:val="1BBD969F"/>
    <w:rsid w:val="1BC6F0CB"/>
    <w:rsid w:val="1BC78B96"/>
    <w:rsid w:val="1BC980E8"/>
    <w:rsid w:val="1BCDEE8F"/>
    <w:rsid w:val="1BCF7486"/>
    <w:rsid w:val="1BCFCDD0"/>
    <w:rsid w:val="1BD23902"/>
    <w:rsid w:val="1BD46388"/>
    <w:rsid w:val="1BD9BA25"/>
    <w:rsid w:val="1BDC4D5D"/>
    <w:rsid w:val="1BDDD096"/>
    <w:rsid w:val="1BE6D496"/>
    <w:rsid w:val="1BEB9D02"/>
    <w:rsid w:val="1BEFE099"/>
    <w:rsid w:val="1BF13890"/>
    <w:rsid w:val="1BF3AA07"/>
    <w:rsid w:val="1BFD204E"/>
    <w:rsid w:val="1C044AEC"/>
    <w:rsid w:val="1C04B8AA"/>
    <w:rsid w:val="1C04F864"/>
    <w:rsid w:val="1C07157F"/>
    <w:rsid w:val="1C08EB31"/>
    <w:rsid w:val="1C0CBABC"/>
    <w:rsid w:val="1C0E8A7A"/>
    <w:rsid w:val="1C112137"/>
    <w:rsid w:val="1C1EB528"/>
    <w:rsid w:val="1C1ECD05"/>
    <w:rsid w:val="1C2198BD"/>
    <w:rsid w:val="1C22ADA0"/>
    <w:rsid w:val="1C2397AD"/>
    <w:rsid w:val="1C29736E"/>
    <w:rsid w:val="1C2AF959"/>
    <w:rsid w:val="1C2B15A0"/>
    <w:rsid w:val="1C2BBF21"/>
    <w:rsid w:val="1C2F7DB6"/>
    <w:rsid w:val="1C307F80"/>
    <w:rsid w:val="1C37D123"/>
    <w:rsid w:val="1C3AAEB9"/>
    <w:rsid w:val="1C3AB091"/>
    <w:rsid w:val="1C43C8C2"/>
    <w:rsid w:val="1C4AA9E4"/>
    <w:rsid w:val="1C4E93B4"/>
    <w:rsid w:val="1C50A47B"/>
    <w:rsid w:val="1C579EA6"/>
    <w:rsid w:val="1C57D172"/>
    <w:rsid w:val="1C59FD0A"/>
    <w:rsid w:val="1C664074"/>
    <w:rsid w:val="1C6D17E8"/>
    <w:rsid w:val="1C6E0AD7"/>
    <w:rsid w:val="1C6F2268"/>
    <w:rsid w:val="1C78E5AA"/>
    <w:rsid w:val="1C7D06AD"/>
    <w:rsid w:val="1C7FB5FE"/>
    <w:rsid w:val="1C8312C1"/>
    <w:rsid w:val="1C833350"/>
    <w:rsid w:val="1C880B17"/>
    <w:rsid w:val="1C887ECC"/>
    <w:rsid w:val="1C89C342"/>
    <w:rsid w:val="1C8D6657"/>
    <w:rsid w:val="1C91C4C2"/>
    <w:rsid w:val="1C985DE5"/>
    <w:rsid w:val="1C9C76E8"/>
    <w:rsid w:val="1CA0EAFE"/>
    <w:rsid w:val="1CAB1A65"/>
    <w:rsid w:val="1CAC5927"/>
    <w:rsid w:val="1CB3921B"/>
    <w:rsid w:val="1CB52957"/>
    <w:rsid w:val="1CB9249D"/>
    <w:rsid w:val="1CCE94F0"/>
    <w:rsid w:val="1CCFE3E3"/>
    <w:rsid w:val="1CD0C4EC"/>
    <w:rsid w:val="1CD23088"/>
    <w:rsid w:val="1CDB4B63"/>
    <w:rsid w:val="1CE24840"/>
    <w:rsid w:val="1CE26B1B"/>
    <w:rsid w:val="1CE4AF23"/>
    <w:rsid w:val="1CEDE2B1"/>
    <w:rsid w:val="1CF04C95"/>
    <w:rsid w:val="1CF1DB00"/>
    <w:rsid w:val="1CF69D36"/>
    <w:rsid w:val="1CF7649F"/>
    <w:rsid w:val="1CF96744"/>
    <w:rsid w:val="1CFED2BD"/>
    <w:rsid w:val="1D09C2E7"/>
    <w:rsid w:val="1D156B4B"/>
    <w:rsid w:val="1D198913"/>
    <w:rsid w:val="1D21C685"/>
    <w:rsid w:val="1D28F389"/>
    <w:rsid w:val="1D2C45E5"/>
    <w:rsid w:val="1D30CB11"/>
    <w:rsid w:val="1D35D9AB"/>
    <w:rsid w:val="1D44D374"/>
    <w:rsid w:val="1D471F8B"/>
    <w:rsid w:val="1D473204"/>
    <w:rsid w:val="1D4A49BF"/>
    <w:rsid w:val="1D4BC8AF"/>
    <w:rsid w:val="1D515F39"/>
    <w:rsid w:val="1D5761EB"/>
    <w:rsid w:val="1D57CF9D"/>
    <w:rsid w:val="1D581452"/>
    <w:rsid w:val="1D59D8AE"/>
    <w:rsid w:val="1D5E2FA4"/>
    <w:rsid w:val="1D665B0A"/>
    <w:rsid w:val="1D6F8278"/>
    <w:rsid w:val="1D739D18"/>
    <w:rsid w:val="1D77D185"/>
    <w:rsid w:val="1D7A1D57"/>
    <w:rsid w:val="1D7A6F11"/>
    <w:rsid w:val="1D7A8A25"/>
    <w:rsid w:val="1D7E6686"/>
    <w:rsid w:val="1D7E7B9C"/>
    <w:rsid w:val="1D827FC8"/>
    <w:rsid w:val="1D84EA14"/>
    <w:rsid w:val="1D8A0B2A"/>
    <w:rsid w:val="1D8C6BCB"/>
    <w:rsid w:val="1D8E0947"/>
    <w:rsid w:val="1D937344"/>
    <w:rsid w:val="1D9F6676"/>
    <w:rsid w:val="1DABB5C4"/>
    <w:rsid w:val="1DAC22DC"/>
    <w:rsid w:val="1DB4D524"/>
    <w:rsid w:val="1DC09B2B"/>
    <w:rsid w:val="1DC8AF87"/>
    <w:rsid w:val="1DCA9043"/>
    <w:rsid w:val="1DD142AB"/>
    <w:rsid w:val="1DD720CC"/>
    <w:rsid w:val="1DD79C68"/>
    <w:rsid w:val="1DDFAFAC"/>
    <w:rsid w:val="1DE0A094"/>
    <w:rsid w:val="1DE5E120"/>
    <w:rsid w:val="1DE60C1A"/>
    <w:rsid w:val="1DE69CD5"/>
    <w:rsid w:val="1DE83696"/>
    <w:rsid w:val="1DE9C97A"/>
    <w:rsid w:val="1DEAD183"/>
    <w:rsid w:val="1DF50430"/>
    <w:rsid w:val="1DF5B9D8"/>
    <w:rsid w:val="1DF7706C"/>
    <w:rsid w:val="1DF77955"/>
    <w:rsid w:val="1DFEE8FC"/>
    <w:rsid w:val="1E01FC39"/>
    <w:rsid w:val="1E077F67"/>
    <w:rsid w:val="1E0A4313"/>
    <w:rsid w:val="1E0E1D3B"/>
    <w:rsid w:val="1E0EC458"/>
    <w:rsid w:val="1E11422F"/>
    <w:rsid w:val="1E186FF5"/>
    <w:rsid w:val="1E1CAA07"/>
    <w:rsid w:val="1E1E79A5"/>
    <w:rsid w:val="1E2684AD"/>
    <w:rsid w:val="1E28EB7A"/>
    <w:rsid w:val="1E33CF6C"/>
    <w:rsid w:val="1E394665"/>
    <w:rsid w:val="1E3A4F5A"/>
    <w:rsid w:val="1E3F3E7C"/>
    <w:rsid w:val="1E41C4CA"/>
    <w:rsid w:val="1E4570CA"/>
    <w:rsid w:val="1E4C0C0E"/>
    <w:rsid w:val="1E4ED833"/>
    <w:rsid w:val="1E56B6F2"/>
    <w:rsid w:val="1E583CF4"/>
    <w:rsid w:val="1E5E3234"/>
    <w:rsid w:val="1E5F79AD"/>
    <w:rsid w:val="1E616092"/>
    <w:rsid w:val="1E6D9D5F"/>
    <w:rsid w:val="1E6DBFC0"/>
    <w:rsid w:val="1E74B28F"/>
    <w:rsid w:val="1E79B4B5"/>
    <w:rsid w:val="1E7C5FA7"/>
    <w:rsid w:val="1E80C5A3"/>
    <w:rsid w:val="1E835A79"/>
    <w:rsid w:val="1E863F37"/>
    <w:rsid w:val="1E875135"/>
    <w:rsid w:val="1E88B43E"/>
    <w:rsid w:val="1E8D94B7"/>
    <w:rsid w:val="1E8E6089"/>
    <w:rsid w:val="1E8F1CA2"/>
    <w:rsid w:val="1E96F155"/>
    <w:rsid w:val="1E9B980F"/>
    <w:rsid w:val="1E9C4C14"/>
    <w:rsid w:val="1E9F892A"/>
    <w:rsid w:val="1EA3F2B1"/>
    <w:rsid w:val="1EA49109"/>
    <w:rsid w:val="1EB10A03"/>
    <w:rsid w:val="1EB665B0"/>
    <w:rsid w:val="1EB8D089"/>
    <w:rsid w:val="1EBAFD5C"/>
    <w:rsid w:val="1EBD868C"/>
    <w:rsid w:val="1EBF1CA5"/>
    <w:rsid w:val="1EBF9098"/>
    <w:rsid w:val="1EC54154"/>
    <w:rsid w:val="1EC6DD20"/>
    <w:rsid w:val="1EC8DDA6"/>
    <w:rsid w:val="1ECC4652"/>
    <w:rsid w:val="1ED1F494"/>
    <w:rsid w:val="1ED45696"/>
    <w:rsid w:val="1EDDEDE4"/>
    <w:rsid w:val="1EE01B5A"/>
    <w:rsid w:val="1EE19ADE"/>
    <w:rsid w:val="1EE74648"/>
    <w:rsid w:val="1EF01B9A"/>
    <w:rsid w:val="1EF1231D"/>
    <w:rsid w:val="1EF1549C"/>
    <w:rsid w:val="1EF6CE41"/>
    <w:rsid w:val="1EF829FC"/>
    <w:rsid w:val="1EFC190C"/>
    <w:rsid w:val="1F0114AB"/>
    <w:rsid w:val="1F01F492"/>
    <w:rsid w:val="1F025636"/>
    <w:rsid w:val="1F02A31A"/>
    <w:rsid w:val="1F042988"/>
    <w:rsid w:val="1F06F1BE"/>
    <w:rsid w:val="1F0966A9"/>
    <w:rsid w:val="1F0AB021"/>
    <w:rsid w:val="1F109191"/>
    <w:rsid w:val="1F11B742"/>
    <w:rsid w:val="1F1756A5"/>
    <w:rsid w:val="1F17E6AC"/>
    <w:rsid w:val="1F185A68"/>
    <w:rsid w:val="1F1C302B"/>
    <w:rsid w:val="1F2134F8"/>
    <w:rsid w:val="1F21F546"/>
    <w:rsid w:val="1F283A69"/>
    <w:rsid w:val="1F29E8FC"/>
    <w:rsid w:val="1F2E5697"/>
    <w:rsid w:val="1F323948"/>
    <w:rsid w:val="1F37878C"/>
    <w:rsid w:val="1F3AC458"/>
    <w:rsid w:val="1F3B5B77"/>
    <w:rsid w:val="1F48062D"/>
    <w:rsid w:val="1F49A561"/>
    <w:rsid w:val="1F4BC7D6"/>
    <w:rsid w:val="1F546109"/>
    <w:rsid w:val="1F552A57"/>
    <w:rsid w:val="1F6AA1DF"/>
    <w:rsid w:val="1F6B3D63"/>
    <w:rsid w:val="1F6D73ED"/>
    <w:rsid w:val="1F6E8DDE"/>
    <w:rsid w:val="1F708DA1"/>
    <w:rsid w:val="1F792FCB"/>
    <w:rsid w:val="1F7BD762"/>
    <w:rsid w:val="1F7E9C04"/>
    <w:rsid w:val="1F7F6ECD"/>
    <w:rsid w:val="1F81284A"/>
    <w:rsid w:val="1F824AA6"/>
    <w:rsid w:val="1F830569"/>
    <w:rsid w:val="1F83A495"/>
    <w:rsid w:val="1F8537B4"/>
    <w:rsid w:val="1F8537C1"/>
    <w:rsid w:val="1F863F3C"/>
    <w:rsid w:val="1F9A720F"/>
    <w:rsid w:val="1F9B1936"/>
    <w:rsid w:val="1F9D96A7"/>
    <w:rsid w:val="1FA1A4A0"/>
    <w:rsid w:val="1FA682B0"/>
    <w:rsid w:val="1FA920AA"/>
    <w:rsid w:val="1FAB62D8"/>
    <w:rsid w:val="1FAB7B88"/>
    <w:rsid w:val="1FC00FD2"/>
    <w:rsid w:val="1FC0634C"/>
    <w:rsid w:val="1FC59D51"/>
    <w:rsid w:val="1FC6447B"/>
    <w:rsid w:val="1FC76F91"/>
    <w:rsid w:val="1FCC830B"/>
    <w:rsid w:val="1FCDB8C4"/>
    <w:rsid w:val="1FD29405"/>
    <w:rsid w:val="1FD897AF"/>
    <w:rsid w:val="1FDB24C5"/>
    <w:rsid w:val="1FDB27B9"/>
    <w:rsid w:val="1FDD8B5F"/>
    <w:rsid w:val="1FDDFF47"/>
    <w:rsid w:val="1FE1EECE"/>
    <w:rsid w:val="1FE3AFCB"/>
    <w:rsid w:val="1FE60F62"/>
    <w:rsid w:val="1FE98959"/>
    <w:rsid w:val="1FEAF391"/>
    <w:rsid w:val="1FEB799F"/>
    <w:rsid w:val="1FEDA670"/>
    <w:rsid w:val="1FF4CD80"/>
    <w:rsid w:val="1FFA66AB"/>
    <w:rsid w:val="2001F878"/>
    <w:rsid w:val="2007722C"/>
    <w:rsid w:val="200A7272"/>
    <w:rsid w:val="2012169A"/>
    <w:rsid w:val="20153455"/>
    <w:rsid w:val="201B0D66"/>
    <w:rsid w:val="201E4640"/>
    <w:rsid w:val="201E6C26"/>
    <w:rsid w:val="201EFFE1"/>
    <w:rsid w:val="202243E5"/>
    <w:rsid w:val="202465C9"/>
    <w:rsid w:val="202906D5"/>
    <w:rsid w:val="202A30BD"/>
    <w:rsid w:val="202FEF62"/>
    <w:rsid w:val="20328003"/>
    <w:rsid w:val="203F8CFB"/>
    <w:rsid w:val="2043D08B"/>
    <w:rsid w:val="20491DB5"/>
    <w:rsid w:val="204AB3B2"/>
    <w:rsid w:val="204B6E30"/>
    <w:rsid w:val="204DC418"/>
    <w:rsid w:val="2051989A"/>
    <w:rsid w:val="205664F1"/>
    <w:rsid w:val="205764C0"/>
    <w:rsid w:val="206782BB"/>
    <w:rsid w:val="206B39E5"/>
    <w:rsid w:val="206C3A4C"/>
    <w:rsid w:val="206C97F6"/>
    <w:rsid w:val="206ECD06"/>
    <w:rsid w:val="20714E6A"/>
    <w:rsid w:val="207839B3"/>
    <w:rsid w:val="20788B6B"/>
    <w:rsid w:val="207DEFC1"/>
    <w:rsid w:val="207EA0F0"/>
    <w:rsid w:val="20831D40"/>
    <w:rsid w:val="2086297A"/>
    <w:rsid w:val="2086ED52"/>
    <w:rsid w:val="20871613"/>
    <w:rsid w:val="208B5949"/>
    <w:rsid w:val="208CF3AB"/>
    <w:rsid w:val="208D33DB"/>
    <w:rsid w:val="2090919B"/>
    <w:rsid w:val="20937234"/>
    <w:rsid w:val="2095C173"/>
    <w:rsid w:val="2097C382"/>
    <w:rsid w:val="2099C37D"/>
    <w:rsid w:val="20ABF1EA"/>
    <w:rsid w:val="20ADC2C0"/>
    <w:rsid w:val="20B14FDA"/>
    <w:rsid w:val="20B82AD3"/>
    <w:rsid w:val="20BAB246"/>
    <w:rsid w:val="20BADED2"/>
    <w:rsid w:val="20BF8AB2"/>
    <w:rsid w:val="20C3A7C9"/>
    <w:rsid w:val="20C4B43C"/>
    <w:rsid w:val="20C50816"/>
    <w:rsid w:val="20C6CA55"/>
    <w:rsid w:val="20C6F9BC"/>
    <w:rsid w:val="20C7D2D3"/>
    <w:rsid w:val="20D454C3"/>
    <w:rsid w:val="20D4E1D7"/>
    <w:rsid w:val="20D6258A"/>
    <w:rsid w:val="20DC89BE"/>
    <w:rsid w:val="20DE38EC"/>
    <w:rsid w:val="20E435D3"/>
    <w:rsid w:val="20E542AF"/>
    <w:rsid w:val="20E5C609"/>
    <w:rsid w:val="20F0908C"/>
    <w:rsid w:val="20F17504"/>
    <w:rsid w:val="21005098"/>
    <w:rsid w:val="21068750"/>
    <w:rsid w:val="2106992D"/>
    <w:rsid w:val="210D8227"/>
    <w:rsid w:val="210E7884"/>
    <w:rsid w:val="211D2DB6"/>
    <w:rsid w:val="2122D7D6"/>
    <w:rsid w:val="21234131"/>
    <w:rsid w:val="2123BAB1"/>
    <w:rsid w:val="212E4852"/>
    <w:rsid w:val="212F0BAD"/>
    <w:rsid w:val="212F2C58"/>
    <w:rsid w:val="212FE8FB"/>
    <w:rsid w:val="2137E81A"/>
    <w:rsid w:val="213B15A7"/>
    <w:rsid w:val="214291EB"/>
    <w:rsid w:val="21442348"/>
    <w:rsid w:val="214B09B5"/>
    <w:rsid w:val="21520643"/>
    <w:rsid w:val="215301AA"/>
    <w:rsid w:val="21578B9E"/>
    <w:rsid w:val="215CD5B2"/>
    <w:rsid w:val="2165F391"/>
    <w:rsid w:val="216858A0"/>
    <w:rsid w:val="216A7118"/>
    <w:rsid w:val="216B535E"/>
    <w:rsid w:val="2170CEA1"/>
    <w:rsid w:val="21743182"/>
    <w:rsid w:val="217520B3"/>
    <w:rsid w:val="217689DF"/>
    <w:rsid w:val="21771BEE"/>
    <w:rsid w:val="2177F28E"/>
    <w:rsid w:val="217B2DF0"/>
    <w:rsid w:val="217C2116"/>
    <w:rsid w:val="217E9026"/>
    <w:rsid w:val="217F1D52"/>
    <w:rsid w:val="21870DE9"/>
    <w:rsid w:val="2188D09F"/>
    <w:rsid w:val="21988025"/>
    <w:rsid w:val="219ACA04"/>
    <w:rsid w:val="219BA36F"/>
    <w:rsid w:val="21A23D0C"/>
    <w:rsid w:val="21B087B8"/>
    <w:rsid w:val="21B4951F"/>
    <w:rsid w:val="21B6F35D"/>
    <w:rsid w:val="21BC95DC"/>
    <w:rsid w:val="21BE3E43"/>
    <w:rsid w:val="21C08582"/>
    <w:rsid w:val="21C85757"/>
    <w:rsid w:val="21C89E9B"/>
    <w:rsid w:val="21CEFA9E"/>
    <w:rsid w:val="21CFB7D8"/>
    <w:rsid w:val="21D09BE7"/>
    <w:rsid w:val="21D21329"/>
    <w:rsid w:val="21D285B9"/>
    <w:rsid w:val="21DB8D57"/>
    <w:rsid w:val="21DCB2B4"/>
    <w:rsid w:val="21DFE489"/>
    <w:rsid w:val="21E1F34C"/>
    <w:rsid w:val="21E6E8FA"/>
    <w:rsid w:val="21E731CA"/>
    <w:rsid w:val="21EA8B43"/>
    <w:rsid w:val="21EC3922"/>
    <w:rsid w:val="21EDD1B5"/>
    <w:rsid w:val="21F07F6D"/>
    <w:rsid w:val="21F9CE1F"/>
    <w:rsid w:val="21FC5932"/>
    <w:rsid w:val="220341C4"/>
    <w:rsid w:val="220584EE"/>
    <w:rsid w:val="22066504"/>
    <w:rsid w:val="22078163"/>
    <w:rsid w:val="220A63BF"/>
    <w:rsid w:val="220BA1E7"/>
    <w:rsid w:val="220BE8B2"/>
    <w:rsid w:val="220F8F72"/>
    <w:rsid w:val="2215DB62"/>
    <w:rsid w:val="22189276"/>
    <w:rsid w:val="2221626D"/>
    <w:rsid w:val="22217851"/>
    <w:rsid w:val="22260954"/>
    <w:rsid w:val="22280C2A"/>
    <w:rsid w:val="222C78FF"/>
    <w:rsid w:val="22316F4F"/>
    <w:rsid w:val="223191D4"/>
    <w:rsid w:val="2238944F"/>
    <w:rsid w:val="223C3DDF"/>
    <w:rsid w:val="223CC4A2"/>
    <w:rsid w:val="223E90C1"/>
    <w:rsid w:val="223F1E51"/>
    <w:rsid w:val="223F74F6"/>
    <w:rsid w:val="22403F3C"/>
    <w:rsid w:val="224C8799"/>
    <w:rsid w:val="225CCEF7"/>
    <w:rsid w:val="225E9FA2"/>
    <w:rsid w:val="226907D3"/>
    <w:rsid w:val="227500B7"/>
    <w:rsid w:val="22794C35"/>
    <w:rsid w:val="2279F5C6"/>
    <w:rsid w:val="2282BC9E"/>
    <w:rsid w:val="2288D913"/>
    <w:rsid w:val="22931409"/>
    <w:rsid w:val="2296F000"/>
    <w:rsid w:val="229CAD0E"/>
    <w:rsid w:val="22A04CD6"/>
    <w:rsid w:val="22A526DB"/>
    <w:rsid w:val="22A52965"/>
    <w:rsid w:val="22A5CB42"/>
    <w:rsid w:val="22AADF7C"/>
    <w:rsid w:val="22AE3261"/>
    <w:rsid w:val="22BCF5D7"/>
    <w:rsid w:val="22BDD14C"/>
    <w:rsid w:val="22BED13D"/>
    <w:rsid w:val="22C1A9E1"/>
    <w:rsid w:val="22C318BE"/>
    <w:rsid w:val="22C33049"/>
    <w:rsid w:val="22C9F319"/>
    <w:rsid w:val="22CB4BE8"/>
    <w:rsid w:val="22CEC687"/>
    <w:rsid w:val="22D08636"/>
    <w:rsid w:val="22D98C35"/>
    <w:rsid w:val="22E13BB6"/>
    <w:rsid w:val="22EA249A"/>
    <w:rsid w:val="22EBB135"/>
    <w:rsid w:val="22F148B4"/>
    <w:rsid w:val="22F8B664"/>
    <w:rsid w:val="22FA9C3D"/>
    <w:rsid w:val="22FBD8FF"/>
    <w:rsid w:val="22FC80C6"/>
    <w:rsid w:val="22FD8352"/>
    <w:rsid w:val="2300B627"/>
    <w:rsid w:val="2301C9F3"/>
    <w:rsid w:val="2304802C"/>
    <w:rsid w:val="2305EAAA"/>
    <w:rsid w:val="23079054"/>
    <w:rsid w:val="23130C4C"/>
    <w:rsid w:val="23134A28"/>
    <w:rsid w:val="23196BF5"/>
    <w:rsid w:val="231EA399"/>
    <w:rsid w:val="232ABE38"/>
    <w:rsid w:val="232B1470"/>
    <w:rsid w:val="232D421A"/>
    <w:rsid w:val="233309AE"/>
    <w:rsid w:val="2339A4BD"/>
    <w:rsid w:val="23406288"/>
    <w:rsid w:val="23425FC2"/>
    <w:rsid w:val="2342F3EB"/>
    <w:rsid w:val="23515075"/>
    <w:rsid w:val="235D0A1A"/>
    <w:rsid w:val="235E1F88"/>
    <w:rsid w:val="23615F30"/>
    <w:rsid w:val="23637DAD"/>
    <w:rsid w:val="236531BE"/>
    <w:rsid w:val="2369C38F"/>
    <w:rsid w:val="236FF654"/>
    <w:rsid w:val="237BA53B"/>
    <w:rsid w:val="2383E29F"/>
    <w:rsid w:val="2384BCEC"/>
    <w:rsid w:val="23903C0D"/>
    <w:rsid w:val="239E7995"/>
    <w:rsid w:val="23A0058A"/>
    <w:rsid w:val="23A57564"/>
    <w:rsid w:val="23A660E0"/>
    <w:rsid w:val="23B87D64"/>
    <w:rsid w:val="23BC3995"/>
    <w:rsid w:val="23C1D32F"/>
    <w:rsid w:val="23D068EE"/>
    <w:rsid w:val="23D16A7B"/>
    <w:rsid w:val="23D59991"/>
    <w:rsid w:val="23D9C91F"/>
    <w:rsid w:val="23DB4DD4"/>
    <w:rsid w:val="23E76E2F"/>
    <w:rsid w:val="23E9E3D2"/>
    <w:rsid w:val="23EF33F4"/>
    <w:rsid w:val="23F1EAEA"/>
    <w:rsid w:val="23F6585D"/>
    <w:rsid w:val="23F9855F"/>
    <w:rsid w:val="24020B0B"/>
    <w:rsid w:val="24030A74"/>
    <w:rsid w:val="24081E0A"/>
    <w:rsid w:val="2409E483"/>
    <w:rsid w:val="240A8F88"/>
    <w:rsid w:val="24112A34"/>
    <w:rsid w:val="24177FBF"/>
    <w:rsid w:val="2417C72B"/>
    <w:rsid w:val="241ADA54"/>
    <w:rsid w:val="241AE705"/>
    <w:rsid w:val="24232EA1"/>
    <w:rsid w:val="242758AC"/>
    <w:rsid w:val="2427A41A"/>
    <w:rsid w:val="242B9CBE"/>
    <w:rsid w:val="2431C5F2"/>
    <w:rsid w:val="2438134F"/>
    <w:rsid w:val="243DF72F"/>
    <w:rsid w:val="243FF9A3"/>
    <w:rsid w:val="24464BCF"/>
    <w:rsid w:val="244898D2"/>
    <w:rsid w:val="2449F249"/>
    <w:rsid w:val="2453706A"/>
    <w:rsid w:val="2453FDF4"/>
    <w:rsid w:val="2456B7E8"/>
    <w:rsid w:val="24594647"/>
    <w:rsid w:val="245B64B5"/>
    <w:rsid w:val="245CB9AA"/>
    <w:rsid w:val="245DDFF6"/>
    <w:rsid w:val="245FA1AD"/>
    <w:rsid w:val="24665B4E"/>
    <w:rsid w:val="24825D16"/>
    <w:rsid w:val="24862EB2"/>
    <w:rsid w:val="2488EE67"/>
    <w:rsid w:val="248CCBFF"/>
    <w:rsid w:val="24A29C57"/>
    <w:rsid w:val="24A32D69"/>
    <w:rsid w:val="24A86F63"/>
    <w:rsid w:val="24ACCBA0"/>
    <w:rsid w:val="24B02A9E"/>
    <w:rsid w:val="24BF41CF"/>
    <w:rsid w:val="24C076B9"/>
    <w:rsid w:val="24C0B1B4"/>
    <w:rsid w:val="24C54629"/>
    <w:rsid w:val="24C66EFF"/>
    <w:rsid w:val="24C84E83"/>
    <w:rsid w:val="24C9959E"/>
    <w:rsid w:val="24CB25F1"/>
    <w:rsid w:val="24CD4D07"/>
    <w:rsid w:val="24CF5815"/>
    <w:rsid w:val="24D39AD6"/>
    <w:rsid w:val="24D5D9B0"/>
    <w:rsid w:val="24D68C4C"/>
    <w:rsid w:val="24D74AD8"/>
    <w:rsid w:val="24D7B8B7"/>
    <w:rsid w:val="24D9A034"/>
    <w:rsid w:val="24E262F4"/>
    <w:rsid w:val="24E616C9"/>
    <w:rsid w:val="24E900D9"/>
    <w:rsid w:val="24ECAC3F"/>
    <w:rsid w:val="24EE6B8D"/>
    <w:rsid w:val="24EFC50C"/>
    <w:rsid w:val="24EFE359"/>
    <w:rsid w:val="24F6B6F9"/>
    <w:rsid w:val="24F7631B"/>
    <w:rsid w:val="24FC0546"/>
    <w:rsid w:val="24FCA08B"/>
    <w:rsid w:val="24FE60AF"/>
    <w:rsid w:val="24FF2C5E"/>
    <w:rsid w:val="251311D2"/>
    <w:rsid w:val="2517780E"/>
    <w:rsid w:val="25183C0F"/>
    <w:rsid w:val="251CA6DE"/>
    <w:rsid w:val="251E8E3D"/>
    <w:rsid w:val="251EFC7D"/>
    <w:rsid w:val="2527DCDB"/>
    <w:rsid w:val="252BA106"/>
    <w:rsid w:val="252FDADF"/>
    <w:rsid w:val="2533E7FC"/>
    <w:rsid w:val="25341EC4"/>
    <w:rsid w:val="253C811E"/>
    <w:rsid w:val="25416162"/>
    <w:rsid w:val="2547546B"/>
    <w:rsid w:val="2552141D"/>
    <w:rsid w:val="2553DEE5"/>
    <w:rsid w:val="25570C8A"/>
    <w:rsid w:val="25589903"/>
    <w:rsid w:val="255EF0BC"/>
    <w:rsid w:val="25603C7C"/>
    <w:rsid w:val="2564FFF2"/>
    <w:rsid w:val="256E4390"/>
    <w:rsid w:val="25728783"/>
    <w:rsid w:val="257433CC"/>
    <w:rsid w:val="2574A576"/>
    <w:rsid w:val="25793257"/>
    <w:rsid w:val="2581C789"/>
    <w:rsid w:val="258462C7"/>
    <w:rsid w:val="258486FE"/>
    <w:rsid w:val="258578F3"/>
    <w:rsid w:val="25891A18"/>
    <w:rsid w:val="25919146"/>
    <w:rsid w:val="259268C7"/>
    <w:rsid w:val="259413AA"/>
    <w:rsid w:val="25969C59"/>
    <w:rsid w:val="25973900"/>
    <w:rsid w:val="25A13C20"/>
    <w:rsid w:val="25A1A560"/>
    <w:rsid w:val="25A55029"/>
    <w:rsid w:val="25A73B51"/>
    <w:rsid w:val="25AD6F88"/>
    <w:rsid w:val="25AE503F"/>
    <w:rsid w:val="25BB6706"/>
    <w:rsid w:val="25BD5E43"/>
    <w:rsid w:val="25C15D08"/>
    <w:rsid w:val="25C1E035"/>
    <w:rsid w:val="25CD4D6C"/>
    <w:rsid w:val="25D3491D"/>
    <w:rsid w:val="25D4CC95"/>
    <w:rsid w:val="25D81D2E"/>
    <w:rsid w:val="25DABD6B"/>
    <w:rsid w:val="25E4ED96"/>
    <w:rsid w:val="25E82ED2"/>
    <w:rsid w:val="25EF061E"/>
    <w:rsid w:val="25F08A69"/>
    <w:rsid w:val="25F293C3"/>
    <w:rsid w:val="25FECA42"/>
    <w:rsid w:val="25FFD121"/>
    <w:rsid w:val="26007040"/>
    <w:rsid w:val="26057F04"/>
    <w:rsid w:val="2610C43C"/>
    <w:rsid w:val="26200A79"/>
    <w:rsid w:val="262525EA"/>
    <w:rsid w:val="26304287"/>
    <w:rsid w:val="2634F90B"/>
    <w:rsid w:val="2636BF87"/>
    <w:rsid w:val="26392851"/>
    <w:rsid w:val="263A7B62"/>
    <w:rsid w:val="263D0A09"/>
    <w:rsid w:val="263FF9F4"/>
    <w:rsid w:val="2642EBF1"/>
    <w:rsid w:val="264AF472"/>
    <w:rsid w:val="264B8B49"/>
    <w:rsid w:val="2657D055"/>
    <w:rsid w:val="265C7092"/>
    <w:rsid w:val="2666271A"/>
    <w:rsid w:val="266719DB"/>
    <w:rsid w:val="2667E0EA"/>
    <w:rsid w:val="266AEC89"/>
    <w:rsid w:val="266BCB81"/>
    <w:rsid w:val="266F586A"/>
    <w:rsid w:val="2670B211"/>
    <w:rsid w:val="2677801D"/>
    <w:rsid w:val="267D3ACE"/>
    <w:rsid w:val="267D4CA4"/>
    <w:rsid w:val="267E65A8"/>
    <w:rsid w:val="268309D8"/>
    <w:rsid w:val="268409B2"/>
    <w:rsid w:val="268625E9"/>
    <w:rsid w:val="268C45DB"/>
    <w:rsid w:val="2690AA20"/>
    <w:rsid w:val="26A3428D"/>
    <w:rsid w:val="26A39DFA"/>
    <w:rsid w:val="26A4C363"/>
    <w:rsid w:val="26A8EC24"/>
    <w:rsid w:val="26AEFE7A"/>
    <w:rsid w:val="26B259CC"/>
    <w:rsid w:val="26B26265"/>
    <w:rsid w:val="26BB7FAE"/>
    <w:rsid w:val="26BE3B28"/>
    <w:rsid w:val="26C5FEE9"/>
    <w:rsid w:val="26C83F06"/>
    <w:rsid w:val="26CE2258"/>
    <w:rsid w:val="26D5C6C1"/>
    <w:rsid w:val="26E0B4E2"/>
    <w:rsid w:val="26E667C9"/>
    <w:rsid w:val="2707CF63"/>
    <w:rsid w:val="27083E10"/>
    <w:rsid w:val="270A8B68"/>
    <w:rsid w:val="271DEBFA"/>
    <w:rsid w:val="27210F6F"/>
    <w:rsid w:val="272196F9"/>
    <w:rsid w:val="2725D58D"/>
    <w:rsid w:val="272A442C"/>
    <w:rsid w:val="273E1215"/>
    <w:rsid w:val="2744DB50"/>
    <w:rsid w:val="274D90F2"/>
    <w:rsid w:val="27518D51"/>
    <w:rsid w:val="2754A0C6"/>
    <w:rsid w:val="275932B0"/>
    <w:rsid w:val="275A6491"/>
    <w:rsid w:val="275D60A4"/>
    <w:rsid w:val="2764B1BB"/>
    <w:rsid w:val="276AEFB2"/>
    <w:rsid w:val="276B7AFD"/>
    <w:rsid w:val="2774452D"/>
    <w:rsid w:val="2777497D"/>
    <w:rsid w:val="2783534A"/>
    <w:rsid w:val="27899FE7"/>
    <w:rsid w:val="2794392D"/>
    <w:rsid w:val="27989F09"/>
    <w:rsid w:val="2798DBA9"/>
    <w:rsid w:val="279AD146"/>
    <w:rsid w:val="279DE235"/>
    <w:rsid w:val="27A09F20"/>
    <w:rsid w:val="27A43212"/>
    <w:rsid w:val="27A78EBE"/>
    <w:rsid w:val="27A86A4C"/>
    <w:rsid w:val="27A8C244"/>
    <w:rsid w:val="27AC949D"/>
    <w:rsid w:val="27ADB6B1"/>
    <w:rsid w:val="27AFF91C"/>
    <w:rsid w:val="27B85CFA"/>
    <w:rsid w:val="27BBEC56"/>
    <w:rsid w:val="27C465C7"/>
    <w:rsid w:val="27C7EEA7"/>
    <w:rsid w:val="27C8AB06"/>
    <w:rsid w:val="27C9884A"/>
    <w:rsid w:val="27C9D58F"/>
    <w:rsid w:val="27CA7DDB"/>
    <w:rsid w:val="27CFC549"/>
    <w:rsid w:val="27D0C96C"/>
    <w:rsid w:val="27D51935"/>
    <w:rsid w:val="27E07DE8"/>
    <w:rsid w:val="27E14653"/>
    <w:rsid w:val="27F14E68"/>
    <w:rsid w:val="27F5A00B"/>
    <w:rsid w:val="27F83B50"/>
    <w:rsid w:val="27FCA29F"/>
    <w:rsid w:val="27FCE268"/>
    <w:rsid w:val="2801AAFA"/>
    <w:rsid w:val="28053FEE"/>
    <w:rsid w:val="2805ABF2"/>
    <w:rsid w:val="280650DC"/>
    <w:rsid w:val="280E40BD"/>
    <w:rsid w:val="2813A9A6"/>
    <w:rsid w:val="28154BAE"/>
    <w:rsid w:val="281AA473"/>
    <w:rsid w:val="281F20F3"/>
    <w:rsid w:val="2821D454"/>
    <w:rsid w:val="282717D8"/>
    <w:rsid w:val="2827F7CE"/>
    <w:rsid w:val="2828FCA8"/>
    <w:rsid w:val="28292750"/>
    <w:rsid w:val="283418FF"/>
    <w:rsid w:val="2835ACCE"/>
    <w:rsid w:val="283853BE"/>
    <w:rsid w:val="283A7ECD"/>
    <w:rsid w:val="284254BE"/>
    <w:rsid w:val="28454362"/>
    <w:rsid w:val="284905FF"/>
    <w:rsid w:val="28506AEE"/>
    <w:rsid w:val="28597420"/>
    <w:rsid w:val="285BDFA9"/>
    <w:rsid w:val="285D3EA1"/>
    <w:rsid w:val="2862D7C9"/>
    <w:rsid w:val="286499AE"/>
    <w:rsid w:val="2866C2B6"/>
    <w:rsid w:val="286707C3"/>
    <w:rsid w:val="2867BABA"/>
    <w:rsid w:val="286A5B7B"/>
    <w:rsid w:val="286C8D79"/>
    <w:rsid w:val="28743960"/>
    <w:rsid w:val="287644BB"/>
    <w:rsid w:val="28787C8C"/>
    <w:rsid w:val="287EB434"/>
    <w:rsid w:val="2882F43F"/>
    <w:rsid w:val="288D00D2"/>
    <w:rsid w:val="2893546B"/>
    <w:rsid w:val="2898F03F"/>
    <w:rsid w:val="289C851A"/>
    <w:rsid w:val="28A05A09"/>
    <w:rsid w:val="28A262EE"/>
    <w:rsid w:val="28A570AB"/>
    <w:rsid w:val="28A6B71F"/>
    <w:rsid w:val="28A770D9"/>
    <w:rsid w:val="28AAFFE1"/>
    <w:rsid w:val="28AC5E02"/>
    <w:rsid w:val="28AFA547"/>
    <w:rsid w:val="28BA4B3C"/>
    <w:rsid w:val="28BC2714"/>
    <w:rsid w:val="28BC2CCC"/>
    <w:rsid w:val="28BD1832"/>
    <w:rsid w:val="28BEDF66"/>
    <w:rsid w:val="28BF44F6"/>
    <w:rsid w:val="28C9FB56"/>
    <w:rsid w:val="28CD449F"/>
    <w:rsid w:val="28D0F3A7"/>
    <w:rsid w:val="28D1A24E"/>
    <w:rsid w:val="28D31449"/>
    <w:rsid w:val="28D40749"/>
    <w:rsid w:val="28D7C436"/>
    <w:rsid w:val="28D97D91"/>
    <w:rsid w:val="28DE38E0"/>
    <w:rsid w:val="28DF3445"/>
    <w:rsid w:val="28F12D55"/>
    <w:rsid w:val="28FB15F2"/>
    <w:rsid w:val="2907D09C"/>
    <w:rsid w:val="290DA31D"/>
    <w:rsid w:val="290DD6B1"/>
    <w:rsid w:val="290EB451"/>
    <w:rsid w:val="29157263"/>
    <w:rsid w:val="2915C903"/>
    <w:rsid w:val="2915EBF8"/>
    <w:rsid w:val="29172749"/>
    <w:rsid w:val="2918BEFA"/>
    <w:rsid w:val="2918CC1A"/>
    <w:rsid w:val="291D68D6"/>
    <w:rsid w:val="2923072D"/>
    <w:rsid w:val="2923F38D"/>
    <w:rsid w:val="2925585A"/>
    <w:rsid w:val="2927FFFE"/>
    <w:rsid w:val="292FAEB5"/>
    <w:rsid w:val="29307429"/>
    <w:rsid w:val="2932EF33"/>
    <w:rsid w:val="29375501"/>
    <w:rsid w:val="2939D3E7"/>
    <w:rsid w:val="293DB470"/>
    <w:rsid w:val="293E6B6A"/>
    <w:rsid w:val="2941FBF9"/>
    <w:rsid w:val="294B5453"/>
    <w:rsid w:val="29534090"/>
    <w:rsid w:val="29547445"/>
    <w:rsid w:val="295515FE"/>
    <w:rsid w:val="295756F4"/>
    <w:rsid w:val="295C536F"/>
    <w:rsid w:val="295EB8CD"/>
    <w:rsid w:val="296488CA"/>
    <w:rsid w:val="2968B552"/>
    <w:rsid w:val="296AC8DA"/>
    <w:rsid w:val="296EAA7C"/>
    <w:rsid w:val="29704357"/>
    <w:rsid w:val="2972A561"/>
    <w:rsid w:val="297E2B20"/>
    <w:rsid w:val="297E3A5A"/>
    <w:rsid w:val="297ED68E"/>
    <w:rsid w:val="2982990B"/>
    <w:rsid w:val="298683CC"/>
    <w:rsid w:val="298E1ED6"/>
    <w:rsid w:val="298E6E7A"/>
    <w:rsid w:val="298F455D"/>
    <w:rsid w:val="29910A1A"/>
    <w:rsid w:val="2995AE87"/>
    <w:rsid w:val="2996417F"/>
    <w:rsid w:val="2996D54E"/>
    <w:rsid w:val="299AE031"/>
    <w:rsid w:val="299E49AB"/>
    <w:rsid w:val="29A07909"/>
    <w:rsid w:val="29A3F135"/>
    <w:rsid w:val="29AD5E02"/>
    <w:rsid w:val="29B1AFB6"/>
    <w:rsid w:val="29B76678"/>
    <w:rsid w:val="29BC809C"/>
    <w:rsid w:val="29C35F70"/>
    <w:rsid w:val="29C8A666"/>
    <w:rsid w:val="29C8AD3E"/>
    <w:rsid w:val="29CC29DC"/>
    <w:rsid w:val="29CDEBD5"/>
    <w:rsid w:val="29D30B5A"/>
    <w:rsid w:val="29D5821A"/>
    <w:rsid w:val="29D62230"/>
    <w:rsid w:val="29DD21C5"/>
    <w:rsid w:val="29DD7326"/>
    <w:rsid w:val="29E09660"/>
    <w:rsid w:val="29E242CF"/>
    <w:rsid w:val="29E3B8F8"/>
    <w:rsid w:val="29E6C212"/>
    <w:rsid w:val="29E927ED"/>
    <w:rsid w:val="29E938A5"/>
    <w:rsid w:val="29E95910"/>
    <w:rsid w:val="29EA160D"/>
    <w:rsid w:val="29EFBA50"/>
    <w:rsid w:val="29F003F9"/>
    <w:rsid w:val="29F12AF7"/>
    <w:rsid w:val="29F6AC1E"/>
    <w:rsid w:val="29F78A45"/>
    <w:rsid w:val="2A025F31"/>
    <w:rsid w:val="2A072073"/>
    <w:rsid w:val="2A0B15F5"/>
    <w:rsid w:val="2A0DA87E"/>
    <w:rsid w:val="2A16ED00"/>
    <w:rsid w:val="2A19AB3F"/>
    <w:rsid w:val="2A19FF0F"/>
    <w:rsid w:val="2A1B118D"/>
    <w:rsid w:val="2A29FAC7"/>
    <w:rsid w:val="2A2CFA60"/>
    <w:rsid w:val="2A2D005A"/>
    <w:rsid w:val="2A3707B9"/>
    <w:rsid w:val="2A38BC95"/>
    <w:rsid w:val="2A3DD536"/>
    <w:rsid w:val="2A3E2D7F"/>
    <w:rsid w:val="2A40DF19"/>
    <w:rsid w:val="2A4D4FCF"/>
    <w:rsid w:val="2A537CB4"/>
    <w:rsid w:val="2A54D146"/>
    <w:rsid w:val="2A5B4EC0"/>
    <w:rsid w:val="2A5BDDA8"/>
    <w:rsid w:val="2A6E482F"/>
    <w:rsid w:val="2A6F8819"/>
    <w:rsid w:val="2A814C13"/>
    <w:rsid w:val="2A8383A8"/>
    <w:rsid w:val="2A862C03"/>
    <w:rsid w:val="2A895AD7"/>
    <w:rsid w:val="2A8A299D"/>
    <w:rsid w:val="2A8A738F"/>
    <w:rsid w:val="2A8A8E32"/>
    <w:rsid w:val="2A8D733F"/>
    <w:rsid w:val="2A8FE384"/>
    <w:rsid w:val="2A91C142"/>
    <w:rsid w:val="2A9CF324"/>
    <w:rsid w:val="2AA0FAD7"/>
    <w:rsid w:val="2AA371AA"/>
    <w:rsid w:val="2AA9F659"/>
    <w:rsid w:val="2AA9FC04"/>
    <w:rsid w:val="2AAD1353"/>
    <w:rsid w:val="2AB08655"/>
    <w:rsid w:val="2AC04C95"/>
    <w:rsid w:val="2AC69826"/>
    <w:rsid w:val="2AC69C45"/>
    <w:rsid w:val="2AC6FD9A"/>
    <w:rsid w:val="2AC8751F"/>
    <w:rsid w:val="2AD1E112"/>
    <w:rsid w:val="2AE2891A"/>
    <w:rsid w:val="2AED667B"/>
    <w:rsid w:val="2AFB39D4"/>
    <w:rsid w:val="2B0516AA"/>
    <w:rsid w:val="2B063798"/>
    <w:rsid w:val="2B068A25"/>
    <w:rsid w:val="2B1FD29E"/>
    <w:rsid w:val="2B23FC9E"/>
    <w:rsid w:val="2B2766F8"/>
    <w:rsid w:val="2B303F96"/>
    <w:rsid w:val="2B34D6B3"/>
    <w:rsid w:val="2B34E25B"/>
    <w:rsid w:val="2B35F0CA"/>
    <w:rsid w:val="2B390B35"/>
    <w:rsid w:val="2B395E6A"/>
    <w:rsid w:val="2B3D8A36"/>
    <w:rsid w:val="2B3EBEA1"/>
    <w:rsid w:val="2B40F16E"/>
    <w:rsid w:val="2B458D37"/>
    <w:rsid w:val="2B5A8C5E"/>
    <w:rsid w:val="2B5FCE61"/>
    <w:rsid w:val="2B674348"/>
    <w:rsid w:val="2B7FBF94"/>
    <w:rsid w:val="2B85511A"/>
    <w:rsid w:val="2B860FF5"/>
    <w:rsid w:val="2B886D3E"/>
    <w:rsid w:val="2B8A1BEE"/>
    <w:rsid w:val="2B8D1E8F"/>
    <w:rsid w:val="2B8F04EE"/>
    <w:rsid w:val="2B91F9E0"/>
    <w:rsid w:val="2B94B8EE"/>
    <w:rsid w:val="2B95B671"/>
    <w:rsid w:val="2BA05C9D"/>
    <w:rsid w:val="2BADD64D"/>
    <w:rsid w:val="2BB695E4"/>
    <w:rsid w:val="2BC0F5F1"/>
    <w:rsid w:val="2BC60384"/>
    <w:rsid w:val="2BC8F53A"/>
    <w:rsid w:val="2BE421DD"/>
    <w:rsid w:val="2BE5D711"/>
    <w:rsid w:val="2BEAF55B"/>
    <w:rsid w:val="2BEE03FC"/>
    <w:rsid w:val="2BF404F1"/>
    <w:rsid w:val="2BF47EC4"/>
    <w:rsid w:val="2BF63F4F"/>
    <w:rsid w:val="2BF85B93"/>
    <w:rsid w:val="2BFFBC50"/>
    <w:rsid w:val="2C00812D"/>
    <w:rsid w:val="2C043450"/>
    <w:rsid w:val="2C05FA8B"/>
    <w:rsid w:val="2C0AF98E"/>
    <w:rsid w:val="2C101B42"/>
    <w:rsid w:val="2C108CAD"/>
    <w:rsid w:val="2C14AD3E"/>
    <w:rsid w:val="2C29791F"/>
    <w:rsid w:val="2C29A158"/>
    <w:rsid w:val="2C2A2EFF"/>
    <w:rsid w:val="2C2FDED6"/>
    <w:rsid w:val="2C31A915"/>
    <w:rsid w:val="2C3278A8"/>
    <w:rsid w:val="2C3ED9E7"/>
    <w:rsid w:val="2C3FA5E2"/>
    <w:rsid w:val="2C3FC304"/>
    <w:rsid w:val="2C49CC00"/>
    <w:rsid w:val="2C49F6B7"/>
    <w:rsid w:val="2C4FF27C"/>
    <w:rsid w:val="2C5263B7"/>
    <w:rsid w:val="2C59DCFA"/>
    <w:rsid w:val="2C5ACA32"/>
    <w:rsid w:val="2C5E161A"/>
    <w:rsid w:val="2C61F0CB"/>
    <w:rsid w:val="2C622247"/>
    <w:rsid w:val="2C65F91A"/>
    <w:rsid w:val="2C74F24A"/>
    <w:rsid w:val="2C764B19"/>
    <w:rsid w:val="2C76CA08"/>
    <w:rsid w:val="2C7DAC27"/>
    <w:rsid w:val="2C7E577F"/>
    <w:rsid w:val="2C7E733D"/>
    <w:rsid w:val="2C950AA4"/>
    <w:rsid w:val="2C96DB18"/>
    <w:rsid w:val="2C9881D1"/>
    <w:rsid w:val="2C990600"/>
    <w:rsid w:val="2CA4FA5B"/>
    <w:rsid w:val="2CA4FBFD"/>
    <w:rsid w:val="2CACEB71"/>
    <w:rsid w:val="2CAD6B53"/>
    <w:rsid w:val="2CB1530F"/>
    <w:rsid w:val="2CB73CDD"/>
    <w:rsid w:val="2CC7FA28"/>
    <w:rsid w:val="2CCC73D7"/>
    <w:rsid w:val="2CCCF0F3"/>
    <w:rsid w:val="2CCD3279"/>
    <w:rsid w:val="2CD64BD1"/>
    <w:rsid w:val="2CD6698B"/>
    <w:rsid w:val="2CD863C7"/>
    <w:rsid w:val="2CD8A36B"/>
    <w:rsid w:val="2CE07AAA"/>
    <w:rsid w:val="2CE3AF09"/>
    <w:rsid w:val="2CE775FC"/>
    <w:rsid w:val="2CEA0359"/>
    <w:rsid w:val="2CEAB6F4"/>
    <w:rsid w:val="2CF3EF52"/>
    <w:rsid w:val="2CFDE4A3"/>
    <w:rsid w:val="2D04D475"/>
    <w:rsid w:val="2D08C842"/>
    <w:rsid w:val="2D0D5B4F"/>
    <w:rsid w:val="2D0EB2B8"/>
    <w:rsid w:val="2D0EF012"/>
    <w:rsid w:val="2D10B86A"/>
    <w:rsid w:val="2D14273A"/>
    <w:rsid w:val="2D1762C0"/>
    <w:rsid w:val="2D19B3A3"/>
    <w:rsid w:val="2D1F971F"/>
    <w:rsid w:val="2D2FA89F"/>
    <w:rsid w:val="2D35F841"/>
    <w:rsid w:val="2D3E034E"/>
    <w:rsid w:val="2D3F768B"/>
    <w:rsid w:val="2D5320CC"/>
    <w:rsid w:val="2D55FCA8"/>
    <w:rsid w:val="2D564F73"/>
    <w:rsid w:val="2D60220D"/>
    <w:rsid w:val="2D63A8FC"/>
    <w:rsid w:val="2D65D25A"/>
    <w:rsid w:val="2D668899"/>
    <w:rsid w:val="2D6B64D7"/>
    <w:rsid w:val="2D6DEF75"/>
    <w:rsid w:val="2D70D1DF"/>
    <w:rsid w:val="2D71C493"/>
    <w:rsid w:val="2D7A6565"/>
    <w:rsid w:val="2D7C0EED"/>
    <w:rsid w:val="2D8048C5"/>
    <w:rsid w:val="2D846850"/>
    <w:rsid w:val="2D8547DF"/>
    <w:rsid w:val="2D87A65A"/>
    <w:rsid w:val="2D8EBBCB"/>
    <w:rsid w:val="2D93D295"/>
    <w:rsid w:val="2D95A61D"/>
    <w:rsid w:val="2D9A76D4"/>
    <w:rsid w:val="2D9A90F7"/>
    <w:rsid w:val="2D9B9A73"/>
    <w:rsid w:val="2D9BF6AC"/>
    <w:rsid w:val="2DABE759"/>
    <w:rsid w:val="2DACF7E5"/>
    <w:rsid w:val="2DB04D0B"/>
    <w:rsid w:val="2DB39F7E"/>
    <w:rsid w:val="2DB42BF1"/>
    <w:rsid w:val="2DB51E0E"/>
    <w:rsid w:val="2DB52E80"/>
    <w:rsid w:val="2DB57E13"/>
    <w:rsid w:val="2DB81CC6"/>
    <w:rsid w:val="2DB9EAD1"/>
    <w:rsid w:val="2DC52351"/>
    <w:rsid w:val="2DCF9FD0"/>
    <w:rsid w:val="2DCFDCE7"/>
    <w:rsid w:val="2DD40C33"/>
    <w:rsid w:val="2DDE6C4A"/>
    <w:rsid w:val="2DE606FE"/>
    <w:rsid w:val="2DF11454"/>
    <w:rsid w:val="2DF5E386"/>
    <w:rsid w:val="2DF64FB3"/>
    <w:rsid w:val="2DF834E1"/>
    <w:rsid w:val="2E050040"/>
    <w:rsid w:val="2E05D6DB"/>
    <w:rsid w:val="2E08A485"/>
    <w:rsid w:val="2E092D3B"/>
    <w:rsid w:val="2E13C417"/>
    <w:rsid w:val="2E146D3E"/>
    <w:rsid w:val="2E1671C0"/>
    <w:rsid w:val="2E18F80F"/>
    <w:rsid w:val="2E1A7215"/>
    <w:rsid w:val="2E211990"/>
    <w:rsid w:val="2E2513B1"/>
    <w:rsid w:val="2E299B91"/>
    <w:rsid w:val="2E2B20B4"/>
    <w:rsid w:val="2E2CF786"/>
    <w:rsid w:val="2E2D97B4"/>
    <w:rsid w:val="2E3B4CBE"/>
    <w:rsid w:val="2E4215A2"/>
    <w:rsid w:val="2E4A420F"/>
    <w:rsid w:val="2E4EB465"/>
    <w:rsid w:val="2E53F332"/>
    <w:rsid w:val="2E546DF0"/>
    <w:rsid w:val="2E564EB4"/>
    <w:rsid w:val="2E5828D0"/>
    <w:rsid w:val="2E58A403"/>
    <w:rsid w:val="2E5954C5"/>
    <w:rsid w:val="2E5D4BBB"/>
    <w:rsid w:val="2E5F3979"/>
    <w:rsid w:val="2E6AC44F"/>
    <w:rsid w:val="2E6EDD90"/>
    <w:rsid w:val="2E71CE19"/>
    <w:rsid w:val="2E76AF4A"/>
    <w:rsid w:val="2E7BF563"/>
    <w:rsid w:val="2E810A29"/>
    <w:rsid w:val="2E816670"/>
    <w:rsid w:val="2E8B614E"/>
    <w:rsid w:val="2E8D40A2"/>
    <w:rsid w:val="2E92E1E2"/>
    <w:rsid w:val="2E962053"/>
    <w:rsid w:val="2E967044"/>
    <w:rsid w:val="2E96ED83"/>
    <w:rsid w:val="2E985826"/>
    <w:rsid w:val="2E9AAF8E"/>
    <w:rsid w:val="2EA4547F"/>
    <w:rsid w:val="2EA4DB12"/>
    <w:rsid w:val="2EAFEDED"/>
    <w:rsid w:val="2EB036B4"/>
    <w:rsid w:val="2EBB8337"/>
    <w:rsid w:val="2EBD0C62"/>
    <w:rsid w:val="2EBE5602"/>
    <w:rsid w:val="2EC00645"/>
    <w:rsid w:val="2EC8BA34"/>
    <w:rsid w:val="2ECA9516"/>
    <w:rsid w:val="2ED129B7"/>
    <w:rsid w:val="2ED28B2F"/>
    <w:rsid w:val="2ED8DF73"/>
    <w:rsid w:val="2EDA7B6A"/>
    <w:rsid w:val="2EDC8AB7"/>
    <w:rsid w:val="2EE0AB8A"/>
    <w:rsid w:val="2EE851AA"/>
    <w:rsid w:val="2EEC851C"/>
    <w:rsid w:val="2EEE936B"/>
    <w:rsid w:val="2EFF3857"/>
    <w:rsid w:val="2F00E28F"/>
    <w:rsid w:val="2F085EB6"/>
    <w:rsid w:val="2F0F0345"/>
    <w:rsid w:val="2F1194F5"/>
    <w:rsid w:val="2F130777"/>
    <w:rsid w:val="2F17901A"/>
    <w:rsid w:val="2F218069"/>
    <w:rsid w:val="2F242E76"/>
    <w:rsid w:val="2F2ED9D2"/>
    <w:rsid w:val="2F312114"/>
    <w:rsid w:val="2F359CC7"/>
    <w:rsid w:val="2F35CC74"/>
    <w:rsid w:val="2F37D022"/>
    <w:rsid w:val="2F39F5F7"/>
    <w:rsid w:val="2F3B4E40"/>
    <w:rsid w:val="2F434FE5"/>
    <w:rsid w:val="2F43FC85"/>
    <w:rsid w:val="2F48E25B"/>
    <w:rsid w:val="2F4A68C6"/>
    <w:rsid w:val="2F5456E1"/>
    <w:rsid w:val="2F5DCAD6"/>
    <w:rsid w:val="2F665C30"/>
    <w:rsid w:val="2F677E96"/>
    <w:rsid w:val="2F797430"/>
    <w:rsid w:val="2F7C893C"/>
    <w:rsid w:val="2F85BD39"/>
    <w:rsid w:val="2F86A173"/>
    <w:rsid w:val="2F902A15"/>
    <w:rsid w:val="2F909244"/>
    <w:rsid w:val="2F91FC59"/>
    <w:rsid w:val="2F99E035"/>
    <w:rsid w:val="2F9D3B16"/>
    <w:rsid w:val="2FA00FD3"/>
    <w:rsid w:val="2FA30018"/>
    <w:rsid w:val="2FA7D9C3"/>
    <w:rsid w:val="2FB66997"/>
    <w:rsid w:val="2FB67D93"/>
    <w:rsid w:val="2FBA0350"/>
    <w:rsid w:val="2FBD0A58"/>
    <w:rsid w:val="2FBD5F57"/>
    <w:rsid w:val="2FBE3275"/>
    <w:rsid w:val="2FC3E70D"/>
    <w:rsid w:val="2FC42BEA"/>
    <w:rsid w:val="2FC8CBB4"/>
    <w:rsid w:val="2FCA2811"/>
    <w:rsid w:val="2FD0A917"/>
    <w:rsid w:val="2FD157DE"/>
    <w:rsid w:val="2FD2F592"/>
    <w:rsid w:val="2FD50F62"/>
    <w:rsid w:val="2FE1C853"/>
    <w:rsid w:val="2FEF5749"/>
    <w:rsid w:val="2FFBA4E6"/>
    <w:rsid w:val="2FFBCB52"/>
    <w:rsid w:val="30025BFF"/>
    <w:rsid w:val="300323F3"/>
    <w:rsid w:val="300A07EF"/>
    <w:rsid w:val="300A7D3E"/>
    <w:rsid w:val="30142528"/>
    <w:rsid w:val="301483B0"/>
    <w:rsid w:val="301EF0D9"/>
    <w:rsid w:val="30310822"/>
    <w:rsid w:val="3034CB3C"/>
    <w:rsid w:val="3036D0AF"/>
    <w:rsid w:val="303BCC93"/>
    <w:rsid w:val="303BF0C3"/>
    <w:rsid w:val="303CCC4E"/>
    <w:rsid w:val="30430F26"/>
    <w:rsid w:val="3044EDFF"/>
    <w:rsid w:val="304875BC"/>
    <w:rsid w:val="30494246"/>
    <w:rsid w:val="304BF520"/>
    <w:rsid w:val="304F3B35"/>
    <w:rsid w:val="3052D15B"/>
    <w:rsid w:val="30573D6C"/>
    <w:rsid w:val="305854B2"/>
    <w:rsid w:val="305B18AD"/>
    <w:rsid w:val="305D7168"/>
    <w:rsid w:val="3068329D"/>
    <w:rsid w:val="30815B70"/>
    <w:rsid w:val="308243F8"/>
    <w:rsid w:val="3082CE01"/>
    <w:rsid w:val="3084B7D8"/>
    <w:rsid w:val="3088BFE3"/>
    <w:rsid w:val="30892ED7"/>
    <w:rsid w:val="308A2C83"/>
    <w:rsid w:val="308A48CC"/>
    <w:rsid w:val="308BC7E7"/>
    <w:rsid w:val="30904AD4"/>
    <w:rsid w:val="30911C44"/>
    <w:rsid w:val="3091B736"/>
    <w:rsid w:val="3094823E"/>
    <w:rsid w:val="309C7293"/>
    <w:rsid w:val="309CCAA9"/>
    <w:rsid w:val="309DF710"/>
    <w:rsid w:val="309E511F"/>
    <w:rsid w:val="309EF66F"/>
    <w:rsid w:val="30A58D3D"/>
    <w:rsid w:val="30A81FA6"/>
    <w:rsid w:val="30A9677D"/>
    <w:rsid w:val="30AC5236"/>
    <w:rsid w:val="30B3D2C3"/>
    <w:rsid w:val="30B7E436"/>
    <w:rsid w:val="30BAAEAE"/>
    <w:rsid w:val="30BB55E2"/>
    <w:rsid w:val="30BDDA65"/>
    <w:rsid w:val="30BE2E06"/>
    <w:rsid w:val="30C0D892"/>
    <w:rsid w:val="30C67D71"/>
    <w:rsid w:val="30D79519"/>
    <w:rsid w:val="30DBCB8D"/>
    <w:rsid w:val="30DD6533"/>
    <w:rsid w:val="30E00A8B"/>
    <w:rsid w:val="30E07FAB"/>
    <w:rsid w:val="30E0F767"/>
    <w:rsid w:val="30E153F6"/>
    <w:rsid w:val="30E320E4"/>
    <w:rsid w:val="30E34B2F"/>
    <w:rsid w:val="30E38345"/>
    <w:rsid w:val="30F860C1"/>
    <w:rsid w:val="30FE63AD"/>
    <w:rsid w:val="30FE7C51"/>
    <w:rsid w:val="31077DA9"/>
    <w:rsid w:val="3108351C"/>
    <w:rsid w:val="310B9C7B"/>
    <w:rsid w:val="3114209C"/>
    <w:rsid w:val="311DFC90"/>
    <w:rsid w:val="311E7275"/>
    <w:rsid w:val="311EBA76"/>
    <w:rsid w:val="312547C0"/>
    <w:rsid w:val="31258A94"/>
    <w:rsid w:val="312E9080"/>
    <w:rsid w:val="31320E24"/>
    <w:rsid w:val="3133125C"/>
    <w:rsid w:val="313350E8"/>
    <w:rsid w:val="313872C3"/>
    <w:rsid w:val="313E3352"/>
    <w:rsid w:val="313E84DF"/>
    <w:rsid w:val="313E94AF"/>
    <w:rsid w:val="3141238A"/>
    <w:rsid w:val="31427FF4"/>
    <w:rsid w:val="31445834"/>
    <w:rsid w:val="31457F6D"/>
    <w:rsid w:val="314879AC"/>
    <w:rsid w:val="31500A77"/>
    <w:rsid w:val="31514C17"/>
    <w:rsid w:val="3151B6EF"/>
    <w:rsid w:val="3159BF91"/>
    <w:rsid w:val="315CE722"/>
    <w:rsid w:val="315ECC4D"/>
    <w:rsid w:val="3168E0DD"/>
    <w:rsid w:val="3172789D"/>
    <w:rsid w:val="317676D0"/>
    <w:rsid w:val="317AEF91"/>
    <w:rsid w:val="317B109B"/>
    <w:rsid w:val="317C32E4"/>
    <w:rsid w:val="317CD8C2"/>
    <w:rsid w:val="31806C06"/>
    <w:rsid w:val="31810991"/>
    <w:rsid w:val="31820F66"/>
    <w:rsid w:val="31960209"/>
    <w:rsid w:val="31968E80"/>
    <w:rsid w:val="3196B9FE"/>
    <w:rsid w:val="31A84B77"/>
    <w:rsid w:val="31A9BFA6"/>
    <w:rsid w:val="31BB2441"/>
    <w:rsid w:val="31BBBB17"/>
    <w:rsid w:val="31BD80A1"/>
    <w:rsid w:val="31C2E013"/>
    <w:rsid w:val="31C8ED9E"/>
    <w:rsid w:val="31CEE620"/>
    <w:rsid w:val="31D0339B"/>
    <w:rsid w:val="31D03B46"/>
    <w:rsid w:val="31D091B1"/>
    <w:rsid w:val="31D0A9BE"/>
    <w:rsid w:val="31D2944A"/>
    <w:rsid w:val="31D85FE3"/>
    <w:rsid w:val="31E02CCC"/>
    <w:rsid w:val="31E4AA13"/>
    <w:rsid w:val="31E7A5F4"/>
    <w:rsid w:val="31E7C18E"/>
    <w:rsid w:val="31EE9391"/>
    <w:rsid w:val="32026F66"/>
    <w:rsid w:val="3204613A"/>
    <w:rsid w:val="320CB198"/>
    <w:rsid w:val="320EA2BC"/>
    <w:rsid w:val="321227DB"/>
    <w:rsid w:val="3216F3D3"/>
    <w:rsid w:val="321865A4"/>
    <w:rsid w:val="3218C0A7"/>
    <w:rsid w:val="321DDE4D"/>
    <w:rsid w:val="321E9B23"/>
    <w:rsid w:val="3222AD7D"/>
    <w:rsid w:val="322D3B39"/>
    <w:rsid w:val="3233DBBA"/>
    <w:rsid w:val="3238A66F"/>
    <w:rsid w:val="323D0406"/>
    <w:rsid w:val="323DFB51"/>
    <w:rsid w:val="323E6E37"/>
    <w:rsid w:val="32406961"/>
    <w:rsid w:val="32468BDA"/>
    <w:rsid w:val="3246EF34"/>
    <w:rsid w:val="3247AA4F"/>
    <w:rsid w:val="324C5F37"/>
    <w:rsid w:val="3250F7A4"/>
    <w:rsid w:val="325228CB"/>
    <w:rsid w:val="32548196"/>
    <w:rsid w:val="325DF4FF"/>
    <w:rsid w:val="327053AC"/>
    <w:rsid w:val="327454A0"/>
    <w:rsid w:val="32763874"/>
    <w:rsid w:val="327692F4"/>
    <w:rsid w:val="327804C6"/>
    <w:rsid w:val="327BBA99"/>
    <w:rsid w:val="327E752E"/>
    <w:rsid w:val="3280DDDC"/>
    <w:rsid w:val="328A29A9"/>
    <w:rsid w:val="328D2397"/>
    <w:rsid w:val="3296CE51"/>
    <w:rsid w:val="329DC3EC"/>
    <w:rsid w:val="32A34E0A"/>
    <w:rsid w:val="32A420F8"/>
    <w:rsid w:val="32A56497"/>
    <w:rsid w:val="32A69474"/>
    <w:rsid w:val="32AA6C26"/>
    <w:rsid w:val="32ACDDF3"/>
    <w:rsid w:val="32AFE069"/>
    <w:rsid w:val="32B5DE7F"/>
    <w:rsid w:val="32B663E7"/>
    <w:rsid w:val="32B7D392"/>
    <w:rsid w:val="32C41555"/>
    <w:rsid w:val="32C56218"/>
    <w:rsid w:val="32C8EE77"/>
    <w:rsid w:val="32C9DC81"/>
    <w:rsid w:val="32CBC7E2"/>
    <w:rsid w:val="32CBCEB5"/>
    <w:rsid w:val="32CC6DCC"/>
    <w:rsid w:val="32D34ABE"/>
    <w:rsid w:val="32D98C62"/>
    <w:rsid w:val="32DDE34C"/>
    <w:rsid w:val="32E50F6D"/>
    <w:rsid w:val="32E52D6B"/>
    <w:rsid w:val="32E7E031"/>
    <w:rsid w:val="32EBAA4E"/>
    <w:rsid w:val="32EEA15F"/>
    <w:rsid w:val="32F25A89"/>
    <w:rsid w:val="32F77E27"/>
    <w:rsid w:val="32F785F2"/>
    <w:rsid w:val="3301D070"/>
    <w:rsid w:val="330913EA"/>
    <w:rsid w:val="3312640D"/>
    <w:rsid w:val="331569F6"/>
    <w:rsid w:val="3318B39B"/>
    <w:rsid w:val="332B56C7"/>
    <w:rsid w:val="332C95FB"/>
    <w:rsid w:val="33320246"/>
    <w:rsid w:val="3332D9A4"/>
    <w:rsid w:val="3334C396"/>
    <w:rsid w:val="333F2932"/>
    <w:rsid w:val="3346611C"/>
    <w:rsid w:val="334B41D0"/>
    <w:rsid w:val="334BA9ED"/>
    <w:rsid w:val="334C5228"/>
    <w:rsid w:val="3356077D"/>
    <w:rsid w:val="335D2B3F"/>
    <w:rsid w:val="335D79C4"/>
    <w:rsid w:val="335F1CED"/>
    <w:rsid w:val="336072FD"/>
    <w:rsid w:val="33609354"/>
    <w:rsid w:val="3361F9A5"/>
    <w:rsid w:val="33639D29"/>
    <w:rsid w:val="33667317"/>
    <w:rsid w:val="336A9EAC"/>
    <w:rsid w:val="3370D6FA"/>
    <w:rsid w:val="33792CEF"/>
    <w:rsid w:val="337F9CEC"/>
    <w:rsid w:val="339FA890"/>
    <w:rsid w:val="33A07FA2"/>
    <w:rsid w:val="33A110D7"/>
    <w:rsid w:val="33A215B9"/>
    <w:rsid w:val="33A8F1BB"/>
    <w:rsid w:val="33AB7BA9"/>
    <w:rsid w:val="33AEE371"/>
    <w:rsid w:val="33AF2B8E"/>
    <w:rsid w:val="33B46F2C"/>
    <w:rsid w:val="33B5F24B"/>
    <w:rsid w:val="33B63DBF"/>
    <w:rsid w:val="33B8F726"/>
    <w:rsid w:val="33C19872"/>
    <w:rsid w:val="33C9776D"/>
    <w:rsid w:val="33C98CCC"/>
    <w:rsid w:val="33CD782B"/>
    <w:rsid w:val="33D44D4B"/>
    <w:rsid w:val="33D4DA2B"/>
    <w:rsid w:val="33D6884F"/>
    <w:rsid w:val="33D80592"/>
    <w:rsid w:val="33DBA359"/>
    <w:rsid w:val="33DDB2D5"/>
    <w:rsid w:val="33E01440"/>
    <w:rsid w:val="33E7B62E"/>
    <w:rsid w:val="33EF3365"/>
    <w:rsid w:val="33F08340"/>
    <w:rsid w:val="33F3193B"/>
    <w:rsid w:val="33F63C80"/>
    <w:rsid w:val="33F75697"/>
    <w:rsid w:val="33F97162"/>
    <w:rsid w:val="33FFE14E"/>
    <w:rsid w:val="340602B3"/>
    <w:rsid w:val="340F0D7B"/>
    <w:rsid w:val="34124480"/>
    <w:rsid w:val="341494F2"/>
    <w:rsid w:val="341606CD"/>
    <w:rsid w:val="3418092E"/>
    <w:rsid w:val="3419E667"/>
    <w:rsid w:val="3422B31F"/>
    <w:rsid w:val="342A1057"/>
    <w:rsid w:val="34335E04"/>
    <w:rsid w:val="3439713C"/>
    <w:rsid w:val="34415723"/>
    <w:rsid w:val="344C1CCD"/>
    <w:rsid w:val="344E3153"/>
    <w:rsid w:val="345AE20C"/>
    <w:rsid w:val="345C0822"/>
    <w:rsid w:val="345EDD22"/>
    <w:rsid w:val="3466DC3E"/>
    <w:rsid w:val="3469BD17"/>
    <w:rsid w:val="346CEE0D"/>
    <w:rsid w:val="34720E49"/>
    <w:rsid w:val="3477DE17"/>
    <w:rsid w:val="347D1FB4"/>
    <w:rsid w:val="347DEB1C"/>
    <w:rsid w:val="347F92F8"/>
    <w:rsid w:val="34851975"/>
    <w:rsid w:val="3485DD87"/>
    <w:rsid w:val="348C6C57"/>
    <w:rsid w:val="34A17350"/>
    <w:rsid w:val="34A78E48"/>
    <w:rsid w:val="34A8A054"/>
    <w:rsid w:val="34A9AD2A"/>
    <w:rsid w:val="34AAD851"/>
    <w:rsid w:val="34ABBB8A"/>
    <w:rsid w:val="34ADF073"/>
    <w:rsid w:val="34AEE109"/>
    <w:rsid w:val="34AF9D6F"/>
    <w:rsid w:val="34B44A9B"/>
    <w:rsid w:val="34B479E5"/>
    <w:rsid w:val="34B998B7"/>
    <w:rsid w:val="34BA68BA"/>
    <w:rsid w:val="34BC8613"/>
    <w:rsid w:val="34BE3095"/>
    <w:rsid w:val="34C00E66"/>
    <w:rsid w:val="34C452F8"/>
    <w:rsid w:val="34C681D8"/>
    <w:rsid w:val="34CA5977"/>
    <w:rsid w:val="34CAF2E9"/>
    <w:rsid w:val="34CB5412"/>
    <w:rsid w:val="34CE7074"/>
    <w:rsid w:val="34D1ECC1"/>
    <w:rsid w:val="34DBDDC8"/>
    <w:rsid w:val="34DE15E5"/>
    <w:rsid w:val="34E18ABB"/>
    <w:rsid w:val="34E49D46"/>
    <w:rsid w:val="34E93F12"/>
    <w:rsid w:val="34F09A2A"/>
    <w:rsid w:val="34F1B1BC"/>
    <w:rsid w:val="34F2CEE3"/>
    <w:rsid w:val="34F2FD53"/>
    <w:rsid w:val="34F5454D"/>
    <w:rsid w:val="34F838C3"/>
    <w:rsid w:val="34F94BE9"/>
    <w:rsid w:val="34FB4DD9"/>
    <w:rsid w:val="34FC85A0"/>
    <w:rsid w:val="34FF15B3"/>
    <w:rsid w:val="35070C16"/>
    <w:rsid w:val="3518D2E8"/>
    <w:rsid w:val="351E8A34"/>
    <w:rsid w:val="3525C60E"/>
    <w:rsid w:val="352A04D0"/>
    <w:rsid w:val="35331552"/>
    <w:rsid w:val="35332513"/>
    <w:rsid w:val="3533DC12"/>
    <w:rsid w:val="353E3E8A"/>
    <w:rsid w:val="353ED510"/>
    <w:rsid w:val="3541C638"/>
    <w:rsid w:val="35440BD7"/>
    <w:rsid w:val="3544DE8E"/>
    <w:rsid w:val="354C4304"/>
    <w:rsid w:val="35522BE3"/>
    <w:rsid w:val="35532837"/>
    <w:rsid w:val="3555746B"/>
    <w:rsid w:val="3557261B"/>
    <w:rsid w:val="355945B3"/>
    <w:rsid w:val="355B643C"/>
    <w:rsid w:val="355E1A82"/>
    <w:rsid w:val="355E760C"/>
    <w:rsid w:val="35732AF2"/>
    <w:rsid w:val="35783377"/>
    <w:rsid w:val="357C8E46"/>
    <w:rsid w:val="358477E2"/>
    <w:rsid w:val="358654BD"/>
    <w:rsid w:val="35911FE2"/>
    <w:rsid w:val="3594FE49"/>
    <w:rsid w:val="35993211"/>
    <w:rsid w:val="359F1825"/>
    <w:rsid w:val="35A2EBEA"/>
    <w:rsid w:val="35A64E18"/>
    <w:rsid w:val="35AA4889"/>
    <w:rsid w:val="35AE9179"/>
    <w:rsid w:val="35B62D60"/>
    <w:rsid w:val="35C01128"/>
    <w:rsid w:val="35C2051A"/>
    <w:rsid w:val="35C61161"/>
    <w:rsid w:val="35C79949"/>
    <w:rsid w:val="35D0365E"/>
    <w:rsid w:val="35D2091A"/>
    <w:rsid w:val="35D41B1A"/>
    <w:rsid w:val="35D7F87E"/>
    <w:rsid w:val="35D97F7A"/>
    <w:rsid w:val="35DF03A2"/>
    <w:rsid w:val="35E652FB"/>
    <w:rsid w:val="35EA6320"/>
    <w:rsid w:val="35EE32DE"/>
    <w:rsid w:val="35FA8911"/>
    <w:rsid w:val="35FBE078"/>
    <w:rsid w:val="35FFBE74"/>
    <w:rsid w:val="36001D55"/>
    <w:rsid w:val="36022BC8"/>
    <w:rsid w:val="36098AD9"/>
    <w:rsid w:val="360CA880"/>
    <w:rsid w:val="36118BBA"/>
    <w:rsid w:val="36143443"/>
    <w:rsid w:val="3614D1FD"/>
    <w:rsid w:val="36169944"/>
    <w:rsid w:val="3617F21F"/>
    <w:rsid w:val="361D62F1"/>
    <w:rsid w:val="36203EF1"/>
    <w:rsid w:val="362127D7"/>
    <w:rsid w:val="3622E1EB"/>
    <w:rsid w:val="36284EA7"/>
    <w:rsid w:val="362DEB06"/>
    <w:rsid w:val="3630A415"/>
    <w:rsid w:val="3630C91D"/>
    <w:rsid w:val="363196EB"/>
    <w:rsid w:val="3642FDF8"/>
    <w:rsid w:val="36470003"/>
    <w:rsid w:val="36476E68"/>
    <w:rsid w:val="364D14FF"/>
    <w:rsid w:val="3654719C"/>
    <w:rsid w:val="3655C607"/>
    <w:rsid w:val="3658EC8A"/>
    <w:rsid w:val="36764450"/>
    <w:rsid w:val="3685FA39"/>
    <w:rsid w:val="36899E01"/>
    <w:rsid w:val="368E86A8"/>
    <w:rsid w:val="36903E13"/>
    <w:rsid w:val="369438C4"/>
    <w:rsid w:val="369A8D89"/>
    <w:rsid w:val="369B8959"/>
    <w:rsid w:val="369DF3C6"/>
    <w:rsid w:val="369F0107"/>
    <w:rsid w:val="36B07071"/>
    <w:rsid w:val="36B0AD9B"/>
    <w:rsid w:val="36B1C27B"/>
    <w:rsid w:val="36B39CD3"/>
    <w:rsid w:val="36B76C2F"/>
    <w:rsid w:val="36B96A46"/>
    <w:rsid w:val="36C27BCB"/>
    <w:rsid w:val="36CD6EE3"/>
    <w:rsid w:val="36D63461"/>
    <w:rsid w:val="36D70722"/>
    <w:rsid w:val="36DE8979"/>
    <w:rsid w:val="36E1EA08"/>
    <w:rsid w:val="36E23F50"/>
    <w:rsid w:val="36E3AFB6"/>
    <w:rsid w:val="36E4E29B"/>
    <w:rsid w:val="36F46790"/>
    <w:rsid w:val="36F6B57C"/>
    <w:rsid w:val="36F98CD0"/>
    <w:rsid w:val="36FE7F71"/>
    <w:rsid w:val="3703586B"/>
    <w:rsid w:val="371A38BC"/>
    <w:rsid w:val="371A4652"/>
    <w:rsid w:val="371E342D"/>
    <w:rsid w:val="3722B171"/>
    <w:rsid w:val="372C7D25"/>
    <w:rsid w:val="3730598A"/>
    <w:rsid w:val="3730DCCB"/>
    <w:rsid w:val="3733785D"/>
    <w:rsid w:val="3738BF25"/>
    <w:rsid w:val="37447064"/>
    <w:rsid w:val="3745ADEB"/>
    <w:rsid w:val="3752D2D8"/>
    <w:rsid w:val="37573FB1"/>
    <w:rsid w:val="375A48A7"/>
    <w:rsid w:val="375F7716"/>
    <w:rsid w:val="3769F0BE"/>
    <w:rsid w:val="376EFAF1"/>
    <w:rsid w:val="3771BC8F"/>
    <w:rsid w:val="37735FF1"/>
    <w:rsid w:val="37790461"/>
    <w:rsid w:val="377BD7B9"/>
    <w:rsid w:val="377D56C4"/>
    <w:rsid w:val="377EA920"/>
    <w:rsid w:val="377F6031"/>
    <w:rsid w:val="3783A827"/>
    <w:rsid w:val="37844A3D"/>
    <w:rsid w:val="37856ABF"/>
    <w:rsid w:val="378877A2"/>
    <w:rsid w:val="37890291"/>
    <w:rsid w:val="378ACD6A"/>
    <w:rsid w:val="378EA26F"/>
    <w:rsid w:val="3796686F"/>
    <w:rsid w:val="3797482B"/>
    <w:rsid w:val="37A424ED"/>
    <w:rsid w:val="37A68DB8"/>
    <w:rsid w:val="37A71FAE"/>
    <w:rsid w:val="37A81E5B"/>
    <w:rsid w:val="37AA69EA"/>
    <w:rsid w:val="37AC9077"/>
    <w:rsid w:val="37AE2D8C"/>
    <w:rsid w:val="37B63D0A"/>
    <w:rsid w:val="37B7B277"/>
    <w:rsid w:val="37BA4AD2"/>
    <w:rsid w:val="37C0E116"/>
    <w:rsid w:val="37C355FB"/>
    <w:rsid w:val="37C38892"/>
    <w:rsid w:val="37C6B0B7"/>
    <w:rsid w:val="37C9ADEA"/>
    <w:rsid w:val="37CBA92B"/>
    <w:rsid w:val="37D62914"/>
    <w:rsid w:val="37D8A4FF"/>
    <w:rsid w:val="37D94DE8"/>
    <w:rsid w:val="37D9A3EA"/>
    <w:rsid w:val="37DCFFD0"/>
    <w:rsid w:val="37DF3F79"/>
    <w:rsid w:val="37E3F104"/>
    <w:rsid w:val="37E459A1"/>
    <w:rsid w:val="37E54B41"/>
    <w:rsid w:val="37E66A7F"/>
    <w:rsid w:val="37EE611D"/>
    <w:rsid w:val="37EF589D"/>
    <w:rsid w:val="37F64B84"/>
    <w:rsid w:val="37F985C6"/>
    <w:rsid w:val="37FD1CE0"/>
    <w:rsid w:val="37FD7C62"/>
    <w:rsid w:val="37FE1795"/>
    <w:rsid w:val="37FE4D9E"/>
    <w:rsid w:val="3801AD03"/>
    <w:rsid w:val="3801E96B"/>
    <w:rsid w:val="3802553C"/>
    <w:rsid w:val="3805B1A1"/>
    <w:rsid w:val="380F6D33"/>
    <w:rsid w:val="381ABDA1"/>
    <w:rsid w:val="38206343"/>
    <w:rsid w:val="38260B08"/>
    <w:rsid w:val="382B2057"/>
    <w:rsid w:val="382B359E"/>
    <w:rsid w:val="3833309E"/>
    <w:rsid w:val="3833F8FD"/>
    <w:rsid w:val="38343666"/>
    <w:rsid w:val="383F34EF"/>
    <w:rsid w:val="3845B206"/>
    <w:rsid w:val="3847BB7A"/>
    <w:rsid w:val="3852764C"/>
    <w:rsid w:val="38542E0A"/>
    <w:rsid w:val="385555A3"/>
    <w:rsid w:val="38591058"/>
    <w:rsid w:val="3859F434"/>
    <w:rsid w:val="386289D0"/>
    <w:rsid w:val="3862C003"/>
    <w:rsid w:val="3867FF10"/>
    <w:rsid w:val="386D37C2"/>
    <w:rsid w:val="386D4BFF"/>
    <w:rsid w:val="386D81A5"/>
    <w:rsid w:val="38701746"/>
    <w:rsid w:val="38734D48"/>
    <w:rsid w:val="387953EC"/>
    <w:rsid w:val="387A6498"/>
    <w:rsid w:val="387BAC7D"/>
    <w:rsid w:val="387E30D8"/>
    <w:rsid w:val="3882FE83"/>
    <w:rsid w:val="3887A687"/>
    <w:rsid w:val="3889546A"/>
    <w:rsid w:val="388D4A61"/>
    <w:rsid w:val="38915342"/>
    <w:rsid w:val="3891C865"/>
    <w:rsid w:val="389308D5"/>
    <w:rsid w:val="389440EC"/>
    <w:rsid w:val="389E7F4B"/>
    <w:rsid w:val="389F087C"/>
    <w:rsid w:val="38A9050B"/>
    <w:rsid w:val="38AE31A1"/>
    <w:rsid w:val="38B4A8A9"/>
    <w:rsid w:val="38B529EA"/>
    <w:rsid w:val="38B7E054"/>
    <w:rsid w:val="38BABFAD"/>
    <w:rsid w:val="38BDB898"/>
    <w:rsid w:val="38C0A887"/>
    <w:rsid w:val="38C526DD"/>
    <w:rsid w:val="38C621CE"/>
    <w:rsid w:val="38CC4741"/>
    <w:rsid w:val="38CC47C9"/>
    <w:rsid w:val="38D3A7D6"/>
    <w:rsid w:val="38DAB4F9"/>
    <w:rsid w:val="38E004F1"/>
    <w:rsid w:val="38E81C3B"/>
    <w:rsid w:val="38E820FB"/>
    <w:rsid w:val="38F588D7"/>
    <w:rsid w:val="38F77411"/>
    <w:rsid w:val="38F87C2B"/>
    <w:rsid w:val="3903EA81"/>
    <w:rsid w:val="390854D0"/>
    <w:rsid w:val="3909A6DF"/>
    <w:rsid w:val="391161C5"/>
    <w:rsid w:val="391B3F39"/>
    <w:rsid w:val="391B8A46"/>
    <w:rsid w:val="391D214F"/>
    <w:rsid w:val="391E0613"/>
    <w:rsid w:val="39269BA4"/>
    <w:rsid w:val="392DCDBE"/>
    <w:rsid w:val="392FEDAC"/>
    <w:rsid w:val="3932C5F3"/>
    <w:rsid w:val="393F0DED"/>
    <w:rsid w:val="393F72A1"/>
    <w:rsid w:val="3940628D"/>
    <w:rsid w:val="3940A77E"/>
    <w:rsid w:val="3942C2F6"/>
    <w:rsid w:val="39495BD2"/>
    <w:rsid w:val="394E21CF"/>
    <w:rsid w:val="395FEB59"/>
    <w:rsid w:val="3960293C"/>
    <w:rsid w:val="396954B1"/>
    <w:rsid w:val="396AC61B"/>
    <w:rsid w:val="396BD748"/>
    <w:rsid w:val="396D3BCC"/>
    <w:rsid w:val="396DA59C"/>
    <w:rsid w:val="396F1DD1"/>
    <w:rsid w:val="3977D5D0"/>
    <w:rsid w:val="397838EE"/>
    <w:rsid w:val="397A563A"/>
    <w:rsid w:val="397BC5AC"/>
    <w:rsid w:val="397BFEB1"/>
    <w:rsid w:val="397F12A8"/>
    <w:rsid w:val="3982AFE3"/>
    <w:rsid w:val="3984DD14"/>
    <w:rsid w:val="398CAB59"/>
    <w:rsid w:val="398CE1BA"/>
    <w:rsid w:val="399567CB"/>
    <w:rsid w:val="399694AD"/>
    <w:rsid w:val="3999B39F"/>
    <w:rsid w:val="399CC29B"/>
    <w:rsid w:val="399EDF1E"/>
    <w:rsid w:val="39AB08C5"/>
    <w:rsid w:val="39B5AE18"/>
    <w:rsid w:val="39BDF03A"/>
    <w:rsid w:val="39C64B59"/>
    <w:rsid w:val="39C95930"/>
    <w:rsid w:val="39D071D5"/>
    <w:rsid w:val="39D45F1D"/>
    <w:rsid w:val="39D681D0"/>
    <w:rsid w:val="39DC5EC4"/>
    <w:rsid w:val="39DF68FA"/>
    <w:rsid w:val="39E2D931"/>
    <w:rsid w:val="39EC5761"/>
    <w:rsid w:val="39EC8F78"/>
    <w:rsid w:val="39F0C807"/>
    <w:rsid w:val="39F2D461"/>
    <w:rsid w:val="39F39F24"/>
    <w:rsid w:val="39F9E90E"/>
    <w:rsid w:val="39FABBD8"/>
    <w:rsid w:val="3A01EF0C"/>
    <w:rsid w:val="3A0BA0F8"/>
    <w:rsid w:val="3A185E03"/>
    <w:rsid w:val="3A1B16B8"/>
    <w:rsid w:val="3A1F75D7"/>
    <w:rsid w:val="3A26FA60"/>
    <w:rsid w:val="3A329B2B"/>
    <w:rsid w:val="3A42CA3D"/>
    <w:rsid w:val="3A472A59"/>
    <w:rsid w:val="3A513EB3"/>
    <w:rsid w:val="3A5AB509"/>
    <w:rsid w:val="3A5C483F"/>
    <w:rsid w:val="3A5E70DD"/>
    <w:rsid w:val="3A600937"/>
    <w:rsid w:val="3A616A6F"/>
    <w:rsid w:val="3A61CA91"/>
    <w:rsid w:val="3A69B8C5"/>
    <w:rsid w:val="3A6CC532"/>
    <w:rsid w:val="3A6FC86F"/>
    <w:rsid w:val="3A73F1C3"/>
    <w:rsid w:val="3A755A12"/>
    <w:rsid w:val="3A7D1093"/>
    <w:rsid w:val="3A7FDAA7"/>
    <w:rsid w:val="3A815A54"/>
    <w:rsid w:val="3A83B7A7"/>
    <w:rsid w:val="3A84A3CD"/>
    <w:rsid w:val="3A8D1EF6"/>
    <w:rsid w:val="3A919390"/>
    <w:rsid w:val="3A95797B"/>
    <w:rsid w:val="3A958F13"/>
    <w:rsid w:val="3A95C4B5"/>
    <w:rsid w:val="3AAFF15E"/>
    <w:rsid w:val="3AB38854"/>
    <w:rsid w:val="3AB728A1"/>
    <w:rsid w:val="3ABE5713"/>
    <w:rsid w:val="3ABFB915"/>
    <w:rsid w:val="3ACED8A0"/>
    <w:rsid w:val="3AD51B56"/>
    <w:rsid w:val="3ADD3EE6"/>
    <w:rsid w:val="3AE11679"/>
    <w:rsid w:val="3AE12568"/>
    <w:rsid w:val="3AF16C03"/>
    <w:rsid w:val="3AF49377"/>
    <w:rsid w:val="3AF5F7A7"/>
    <w:rsid w:val="3AFBACD1"/>
    <w:rsid w:val="3AFC4553"/>
    <w:rsid w:val="3AFDCA99"/>
    <w:rsid w:val="3AFED3E4"/>
    <w:rsid w:val="3B00BF29"/>
    <w:rsid w:val="3B0CA2B3"/>
    <w:rsid w:val="3B1802EF"/>
    <w:rsid w:val="3B27CF73"/>
    <w:rsid w:val="3B28E63A"/>
    <w:rsid w:val="3B2C8053"/>
    <w:rsid w:val="3B312868"/>
    <w:rsid w:val="3B3192CA"/>
    <w:rsid w:val="3B3480C9"/>
    <w:rsid w:val="3B396C71"/>
    <w:rsid w:val="3B3D6756"/>
    <w:rsid w:val="3B45CA12"/>
    <w:rsid w:val="3B468A76"/>
    <w:rsid w:val="3B49520D"/>
    <w:rsid w:val="3B4DE9D3"/>
    <w:rsid w:val="3B4E3E10"/>
    <w:rsid w:val="3B50F425"/>
    <w:rsid w:val="3B53DECA"/>
    <w:rsid w:val="3B5A89DA"/>
    <w:rsid w:val="3B5C0B29"/>
    <w:rsid w:val="3B61181E"/>
    <w:rsid w:val="3B6A86E8"/>
    <w:rsid w:val="3B6CAF8C"/>
    <w:rsid w:val="3B6E3411"/>
    <w:rsid w:val="3B6E5280"/>
    <w:rsid w:val="3B702F48"/>
    <w:rsid w:val="3B72F3AB"/>
    <w:rsid w:val="3B756E26"/>
    <w:rsid w:val="3B7D9DD0"/>
    <w:rsid w:val="3B8AD562"/>
    <w:rsid w:val="3B8D22F8"/>
    <w:rsid w:val="3B9800C4"/>
    <w:rsid w:val="3B9DBCC0"/>
    <w:rsid w:val="3BA86F9B"/>
    <w:rsid w:val="3BACE15C"/>
    <w:rsid w:val="3BB4011D"/>
    <w:rsid w:val="3BB45B76"/>
    <w:rsid w:val="3BBE58AD"/>
    <w:rsid w:val="3BC52DED"/>
    <w:rsid w:val="3BC562ED"/>
    <w:rsid w:val="3BC606B6"/>
    <w:rsid w:val="3BCAFF9A"/>
    <w:rsid w:val="3BCEA497"/>
    <w:rsid w:val="3BCF26DF"/>
    <w:rsid w:val="3BD49AAE"/>
    <w:rsid w:val="3BD4F3BF"/>
    <w:rsid w:val="3BD5C205"/>
    <w:rsid w:val="3BD7C7B2"/>
    <w:rsid w:val="3BDF6AAA"/>
    <w:rsid w:val="3BE320D3"/>
    <w:rsid w:val="3BE3E31D"/>
    <w:rsid w:val="3BE791A9"/>
    <w:rsid w:val="3BEAA250"/>
    <w:rsid w:val="3BF45FDE"/>
    <w:rsid w:val="3BF95093"/>
    <w:rsid w:val="3C031B98"/>
    <w:rsid w:val="3C072832"/>
    <w:rsid w:val="3C0AD941"/>
    <w:rsid w:val="3C0B2807"/>
    <w:rsid w:val="3C0F287A"/>
    <w:rsid w:val="3C10E09F"/>
    <w:rsid w:val="3C127FCF"/>
    <w:rsid w:val="3C13B3E7"/>
    <w:rsid w:val="3C16ECAE"/>
    <w:rsid w:val="3C18A8E9"/>
    <w:rsid w:val="3C1A7E76"/>
    <w:rsid w:val="3C1C86E2"/>
    <w:rsid w:val="3C1ED1E1"/>
    <w:rsid w:val="3C2A6BCE"/>
    <w:rsid w:val="3C2ABEE2"/>
    <w:rsid w:val="3C2E204C"/>
    <w:rsid w:val="3C2EC16B"/>
    <w:rsid w:val="3C30A9C7"/>
    <w:rsid w:val="3C33D823"/>
    <w:rsid w:val="3C34C767"/>
    <w:rsid w:val="3C3A19E5"/>
    <w:rsid w:val="3C44DC22"/>
    <w:rsid w:val="3C49E0DD"/>
    <w:rsid w:val="3C60DB58"/>
    <w:rsid w:val="3C653905"/>
    <w:rsid w:val="3C6C2DD0"/>
    <w:rsid w:val="3C719E10"/>
    <w:rsid w:val="3C77532E"/>
    <w:rsid w:val="3C78D5F7"/>
    <w:rsid w:val="3C7E111B"/>
    <w:rsid w:val="3C80BA7D"/>
    <w:rsid w:val="3C842AEA"/>
    <w:rsid w:val="3C85A52C"/>
    <w:rsid w:val="3C888BD8"/>
    <w:rsid w:val="3C89D5E9"/>
    <w:rsid w:val="3C8D5653"/>
    <w:rsid w:val="3C8E4093"/>
    <w:rsid w:val="3C9396C3"/>
    <w:rsid w:val="3C94F004"/>
    <w:rsid w:val="3C96D770"/>
    <w:rsid w:val="3C97CAC8"/>
    <w:rsid w:val="3C9840A4"/>
    <w:rsid w:val="3C98869E"/>
    <w:rsid w:val="3CA1F243"/>
    <w:rsid w:val="3CA25661"/>
    <w:rsid w:val="3CA5D74C"/>
    <w:rsid w:val="3CA60E76"/>
    <w:rsid w:val="3CB5C08C"/>
    <w:rsid w:val="3CB8BC64"/>
    <w:rsid w:val="3CB8E0AC"/>
    <w:rsid w:val="3CBA09AA"/>
    <w:rsid w:val="3CC873CB"/>
    <w:rsid w:val="3CD29D29"/>
    <w:rsid w:val="3CD55E2E"/>
    <w:rsid w:val="3CD6D889"/>
    <w:rsid w:val="3CDC2B65"/>
    <w:rsid w:val="3CE4C1A1"/>
    <w:rsid w:val="3CEAE9CF"/>
    <w:rsid w:val="3CEB759F"/>
    <w:rsid w:val="3CF59AAB"/>
    <w:rsid w:val="3D00B71D"/>
    <w:rsid w:val="3D00E39D"/>
    <w:rsid w:val="3D146497"/>
    <w:rsid w:val="3D18EA1D"/>
    <w:rsid w:val="3D1B1602"/>
    <w:rsid w:val="3D1DF9AB"/>
    <w:rsid w:val="3D221B51"/>
    <w:rsid w:val="3D243190"/>
    <w:rsid w:val="3D292AD5"/>
    <w:rsid w:val="3D29D767"/>
    <w:rsid w:val="3D33D3FF"/>
    <w:rsid w:val="3D33DE6E"/>
    <w:rsid w:val="3D381716"/>
    <w:rsid w:val="3D3E9362"/>
    <w:rsid w:val="3D4214AE"/>
    <w:rsid w:val="3D45B164"/>
    <w:rsid w:val="3D46474F"/>
    <w:rsid w:val="3D496517"/>
    <w:rsid w:val="3D5E1AEE"/>
    <w:rsid w:val="3D6BEC6E"/>
    <w:rsid w:val="3D73083A"/>
    <w:rsid w:val="3D738D16"/>
    <w:rsid w:val="3D742B77"/>
    <w:rsid w:val="3D754A12"/>
    <w:rsid w:val="3D785688"/>
    <w:rsid w:val="3D7BB484"/>
    <w:rsid w:val="3D7E255D"/>
    <w:rsid w:val="3D859837"/>
    <w:rsid w:val="3D8672B1"/>
    <w:rsid w:val="3D89FCB8"/>
    <w:rsid w:val="3D90C473"/>
    <w:rsid w:val="3D9255CB"/>
    <w:rsid w:val="3D96749F"/>
    <w:rsid w:val="3D97E5AB"/>
    <w:rsid w:val="3D9ED13B"/>
    <w:rsid w:val="3DA31313"/>
    <w:rsid w:val="3DB3AF47"/>
    <w:rsid w:val="3DB5E43E"/>
    <w:rsid w:val="3DBDBA01"/>
    <w:rsid w:val="3DC3DAC5"/>
    <w:rsid w:val="3DCFD7EB"/>
    <w:rsid w:val="3DEAE53F"/>
    <w:rsid w:val="3DEF0F2C"/>
    <w:rsid w:val="3DF127C1"/>
    <w:rsid w:val="3DF42E13"/>
    <w:rsid w:val="3DF49C77"/>
    <w:rsid w:val="3DF98930"/>
    <w:rsid w:val="3DFAB51C"/>
    <w:rsid w:val="3DFB38BA"/>
    <w:rsid w:val="3E00AD9E"/>
    <w:rsid w:val="3E00EB9A"/>
    <w:rsid w:val="3E02B0F0"/>
    <w:rsid w:val="3E03F50A"/>
    <w:rsid w:val="3E06AB32"/>
    <w:rsid w:val="3E08E386"/>
    <w:rsid w:val="3E09C5D6"/>
    <w:rsid w:val="3E0A5A3F"/>
    <w:rsid w:val="3E0AA2A9"/>
    <w:rsid w:val="3E18C1A0"/>
    <w:rsid w:val="3E192647"/>
    <w:rsid w:val="3E1A1AA4"/>
    <w:rsid w:val="3E1BD948"/>
    <w:rsid w:val="3E1CC239"/>
    <w:rsid w:val="3E1FA63F"/>
    <w:rsid w:val="3E20BF14"/>
    <w:rsid w:val="3E237E9E"/>
    <w:rsid w:val="3E23BF28"/>
    <w:rsid w:val="3E2A36F9"/>
    <w:rsid w:val="3E2BFF4D"/>
    <w:rsid w:val="3E2D85B8"/>
    <w:rsid w:val="3E2E5D0B"/>
    <w:rsid w:val="3E32F26D"/>
    <w:rsid w:val="3E3954BB"/>
    <w:rsid w:val="3E3D85AB"/>
    <w:rsid w:val="3E3EBEED"/>
    <w:rsid w:val="3E44A00C"/>
    <w:rsid w:val="3E498CB0"/>
    <w:rsid w:val="3E4A22E0"/>
    <w:rsid w:val="3E4D9C59"/>
    <w:rsid w:val="3E5462F3"/>
    <w:rsid w:val="3E566416"/>
    <w:rsid w:val="3E5B1EDB"/>
    <w:rsid w:val="3E5F8F3E"/>
    <w:rsid w:val="3E647BAF"/>
    <w:rsid w:val="3E75D4CB"/>
    <w:rsid w:val="3E764AFA"/>
    <w:rsid w:val="3E791D87"/>
    <w:rsid w:val="3E79D0B4"/>
    <w:rsid w:val="3E898721"/>
    <w:rsid w:val="3E97040B"/>
    <w:rsid w:val="3E98E5EB"/>
    <w:rsid w:val="3EA8F205"/>
    <w:rsid w:val="3EB21499"/>
    <w:rsid w:val="3EB49499"/>
    <w:rsid w:val="3EC4B53B"/>
    <w:rsid w:val="3EC744A8"/>
    <w:rsid w:val="3EC75474"/>
    <w:rsid w:val="3ECE9B50"/>
    <w:rsid w:val="3ECF4477"/>
    <w:rsid w:val="3ED3A4C8"/>
    <w:rsid w:val="3ED4889B"/>
    <w:rsid w:val="3EE6EA29"/>
    <w:rsid w:val="3EE93922"/>
    <w:rsid w:val="3EEB988C"/>
    <w:rsid w:val="3EEE25C4"/>
    <w:rsid w:val="3EF2AF0A"/>
    <w:rsid w:val="3EFA818E"/>
    <w:rsid w:val="3EFC74CA"/>
    <w:rsid w:val="3EFF288C"/>
    <w:rsid w:val="3EFF54ED"/>
    <w:rsid w:val="3EFF71B8"/>
    <w:rsid w:val="3F01FF45"/>
    <w:rsid w:val="3F09E9C5"/>
    <w:rsid w:val="3F0B0EF5"/>
    <w:rsid w:val="3F0B59D4"/>
    <w:rsid w:val="3F0CD1CE"/>
    <w:rsid w:val="3F159958"/>
    <w:rsid w:val="3F1668DB"/>
    <w:rsid w:val="3F169D3C"/>
    <w:rsid w:val="3F18A2E9"/>
    <w:rsid w:val="3F1A144C"/>
    <w:rsid w:val="3F1B8BA3"/>
    <w:rsid w:val="3F20D1BC"/>
    <w:rsid w:val="3F22C649"/>
    <w:rsid w:val="3F247D32"/>
    <w:rsid w:val="3F24D012"/>
    <w:rsid w:val="3F24DFC0"/>
    <w:rsid w:val="3F28272E"/>
    <w:rsid w:val="3F285BBD"/>
    <w:rsid w:val="3F2C36D8"/>
    <w:rsid w:val="3F2D8024"/>
    <w:rsid w:val="3F2E262C"/>
    <w:rsid w:val="3F2F7C6F"/>
    <w:rsid w:val="3F31B948"/>
    <w:rsid w:val="3F322AD7"/>
    <w:rsid w:val="3F394878"/>
    <w:rsid w:val="3F4677FA"/>
    <w:rsid w:val="3F46862A"/>
    <w:rsid w:val="3F4E1E54"/>
    <w:rsid w:val="3F4F3655"/>
    <w:rsid w:val="3F50B906"/>
    <w:rsid w:val="3F53D894"/>
    <w:rsid w:val="3F5AC29B"/>
    <w:rsid w:val="3F5D29DA"/>
    <w:rsid w:val="3F60EBFD"/>
    <w:rsid w:val="3F65CF13"/>
    <w:rsid w:val="3F69BD53"/>
    <w:rsid w:val="3F6BA66E"/>
    <w:rsid w:val="3F82CF36"/>
    <w:rsid w:val="3F83C159"/>
    <w:rsid w:val="3F83FED2"/>
    <w:rsid w:val="3F8595DE"/>
    <w:rsid w:val="3F86F7E7"/>
    <w:rsid w:val="3F87A5E6"/>
    <w:rsid w:val="3F8861EA"/>
    <w:rsid w:val="3F8C4E62"/>
    <w:rsid w:val="3F9091A6"/>
    <w:rsid w:val="3F933F22"/>
    <w:rsid w:val="3F934D72"/>
    <w:rsid w:val="3F93CA7F"/>
    <w:rsid w:val="3F94D265"/>
    <w:rsid w:val="3FA3AFD4"/>
    <w:rsid w:val="3FA4532D"/>
    <w:rsid w:val="3FAAE9A6"/>
    <w:rsid w:val="3FB410DE"/>
    <w:rsid w:val="3FB5E3DA"/>
    <w:rsid w:val="3FB6A798"/>
    <w:rsid w:val="3FBC5FD5"/>
    <w:rsid w:val="3FBEE32A"/>
    <w:rsid w:val="3FC14713"/>
    <w:rsid w:val="3FC4F8C3"/>
    <w:rsid w:val="3FC59F88"/>
    <w:rsid w:val="3FC5CD05"/>
    <w:rsid w:val="3FD38D76"/>
    <w:rsid w:val="3FD81CB4"/>
    <w:rsid w:val="3FDAF46A"/>
    <w:rsid w:val="3FDF9544"/>
    <w:rsid w:val="3FE0F028"/>
    <w:rsid w:val="3FE12F66"/>
    <w:rsid w:val="3FE5985D"/>
    <w:rsid w:val="3FEB3AE4"/>
    <w:rsid w:val="3FEC21AC"/>
    <w:rsid w:val="3FFA24F2"/>
    <w:rsid w:val="3FFB1DA6"/>
    <w:rsid w:val="40002366"/>
    <w:rsid w:val="40041926"/>
    <w:rsid w:val="4006979E"/>
    <w:rsid w:val="400909A5"/>
    <w:rsid w:val="401484C3"/>
    <w:rsid w:val="40171DFF"/>
    <w:rsid w:val="40184829"/>
    <w:rsid w:val="4018F885"/>
    <w:rsid w:val="402AC687"/>
    <w:rsid w:val="4032FECA"/>
    <w:rsid w:val="403C887A"/>
    <w:rsid w:val="404427A0"/>
    <w:rsid w:val="40505A7C"/>
    <w:rsid w:val="406AC35F"/>
    <w:rsid w:val="40780F0E"/>
    <w:rsid w:val="4079ACB5"/>
    <w:rsid w:val="407AABE2"/>
    <w:rsid w:val="407D96ED"/>
    <w:rsid w:val="4088D1B2"/>
    <w:rsid w:val="408BB9E3"/>
    <w:rsid w:val="408FF55C"/>
    <w:rsid w:val="4096A401"/>
    <w:rsid w:val="4098A9D2"/>
    <w:rsid w:val="409C8A5E"/>
    <w:rsid w:val="40A0CFEF"/>
    <w:rsid w:val="40A1091A"/>
    <w:rsid w:val="40A8520D"/>
    <w:rsid w:val="40AB5A87"/>
    <w:rsid w:val="40AFDC5D"/>
    <w:rsid w:val="40B00EAE"/>
    <w:rsid w:val="40B1D252"/>
    <w:rsid w:val="40B46F64"/>
    <w:rsid w:val="40B9441D"/>
    <w:rsid w:val="40BC929A"/>
    <w:rsid w:val="40BE1373"/>
    <w:rsid w:val="40CB4B88"/>
    <w:rsid w:val="40D091A3"/>
    <w:rsid w:val="40D7C783"/>
    <w:rsid w:val="40DA95E8"/>
    <w:rsid w:val="40DB3DF1"/>
    <w:rsid w:val="40DCAC9E"/>
    <w:rsid w:val="40E136F8"/>
    <w:rsid w:val="40E43459"/>
    <w:rsid w:val="40E864A0"/>
    <w:rsid w:val="40EC6E28"/>
    <w:rsid w:val="40EEABCB"/>
    <w:rsid w:val="40FAC719"/>
    <w:rsid w:val="40FC5DDA"/>
    <w:rsid w:val="41041416"/>
    <w:rsid w:val="410A6190"/>
    <w:rsid w:val="410EA36F"/>
    <w:rsid w:val="410F32A2"/>
    <w:rsid w:val="4114AC60"/>
    <w:rsid w:val="4116998D"/>
    <w:rsid w:val="4118C440"/>
    <w:rsid w:val="4125EBD3"/>
    <w:rsid w:val="4128AF16"/>
    <w:rsid w:val="4128E811"/>
    <w:rsid w:val="412EDF50"/>
    <w:rsid w:val="4136346E"/>
    <w:rsid w:val="413BE97D"/>
    <w:rsid w:val="413CF845"/>
    <w:rsid w:val="413FAEB4"/>
    <w:rsid w:val="4141D24D"/>
    <w:rsid w:val="41422D26"/>
    <w:rsid w:val="41477357"/>
    <w:rsid w:val="4152916D"/>
    <w:rsid w:val="41599D2D"/>
    <w:rsid w:val="415DEFBF"/>
    <w:rsid w:val="415FD6FE"/>
    <w:rsid w:val="4162CF50"/>
    <w:rsid w:val="4166C551"/>
    <w:rsid w:val="416D1F59"/>
    <w:rsid w:val="416EB4C3"/>
    <w:rsid w:val="416F2131"/>
    <w:rsid w:val="41731794"/>
    <w:rsid w:val="41823909"/>
    <w:rsid w:val="41859CFF"/>
    <w:rsid w:val="418BF30C"/>
    <w:rsid w:val="418E4CA1"/>
    <w:rsid w:val="4193A380"/>
    <w:rsid w:val="4195703B"/>
    <w:rsid w:val="41960DC3"/>
    <w:rsid w:val="419719F0"/>
    <w:rsid w:val="4198E5DD"/>
    <w:rsid w:val="419D389A"/>
    <w:rsid w:val="41A4F4E7"/>
    <w:rsid w:val="41A8BA7B"/>
    <w:rsid w:val="41A93FA2"/>
    <w:rsid w:val="41ADA058"/>
    <w:rsid w:val="41B073DD"/>
    <w:rsid w:val="41BA978A"/>
    <w:rsid w:val="41C0EB55"/>
    <w:rsid w:val="41C22BB8"/>
    <w:rsid w:val="41C2F2D5"/>
    <w:rsid w:val="41C76288"/>
    <w:rsid w:val="41C76850"/>
    <w:rsid w:val="41CBBBE7"/>
    <w:rsid w:val="41CC7E94"/>
    <w:rsid w:val="41D4A2EF"/>
    <w:rsid w:val="41DCA876"/>
    <w:rsid w:val="41E1173A"/>
    <w:rsid w:val="41E34BF0"/>
    <w:rsid w:val="41E42F58"/>
    <w:rsid w:val="41E55634"/>
    <w:rsid w:val="41E6474C"/>
    <w:rsid w:val="41E8FF51"/>
    <w:rsid w:val="41EA3B12"/>
    <w:rsid w:val="41F20D8D"/>
    <w:rsid w:val="41F7D937"/>
    <w:rsid w:val="41F86FB7"/>
    <w:rsid w:val="41FA83D2"/>
    <w:rsid w:val="41FAB6B6"/>
    <w:rsid w:val="42003A76"/>
    <w:rsid w:val="4203C082"/>
    <w:rsid w:val="420AE42F"/>
    <w:rsid w:val="420EB401"/>
    <w:rsid w:val="4213669C"/>
    <w:rsid w:val="4214A9BF"/>
    <w:rsid w:val="42163ED3"/>
    <w:rsid w:val="42182310"/>
    <w:rsid w:val="4219A9AB"/>
    <w:rsid w:val="421C0FB2"/>
    <w:rsid w:val="421F0A6F"/>
    <w:rsid w:val="4221CEEB"/>
    <w:rsid w:val="422933A9"/>
    <w:rsid w:val="422B6B09"/>
    <w:rsid w:val="4231CA00"/>
    <w:rsid w:val="42362629"/>
    <w:rsid w:val="42385893"/>
    <w:rsid w:val="423C851F"/>
    <w:rsid w:val="423F6A05"/>
    <w:rsid w:val="424231A1"/>
    <w:rsid w:val="4242D655"/>
    <w:rsid w:val="42461C54"/>
    <w:rsid w:val="4248904A"/>
    <w:rsid w:val="4250EBBA"/>
    <w:rsid w:val="425C3244"/>
    <w:rsid w:val="425CDC65"/>
    <w:rsid w:val="425FDEC9"/>
    <w:rsid w:val="426119CF"/>
    <w:rsid w:val="42718B7F"/>
    <w:rsid w:val="42759B54"/>
    <w:rsid w:val="42774CA9"/>
    <w:rsid w:val="427B0481"/>
    <w:rsid w:val="42926925"/>
    <w:rsid w:val="42934E93"/>
    <w:rsid w:val="4298B70F"/>
    <w:rsid w:val="429994BF"/>
    <w:rsid w:val="429BDF9A"/>
    <w:rsid w:val="429E6039"/>
    <w:rsid w:val="42A39F72"/>
    <w:rsid w:val="42A67710"/>
    <w:rsid w:val="42A8A0CB"/>
    <w:rsid w:val="42AD2D3A"/>
    <w:rsid w:val="42B9136B"/>
    <w:rsid w:val="42B9A9A4"/>
    <w:rsid w:val="42B9BEF2"/>
    <w:rsid w:val="42B9D302"/>
    <w:rsid w:val="42C23CCC"/>
    <w:rsid w:val="42C35736"/>
    <w:rsid w:val="42CD582B"/>
    <w:rsid w:val="42CE99A8"/>
    <w:rsid w:val="42D74F23"/>
    <w:rsid w:val="42DBF40B"/>
    <w:rsid w:val="42E1C030"/>
    <w:rsid w:val="42E7C627"/>
    <w:rsid w:val="42EC8816"/>
    <w:rsid w:val="42F39FBD"/>
    <w:rsid w:val="42F3EA91"/>
    <w:rsid w:val="42FB2922"/>
    <w:rsid w:val="42FB303A"/>
    <w:rsid w:val="42FC3510"/>
    <w:rsid w:val="42FE0ADB"/>
    <w:rsid w:val="42FE5F75"/>
    <w:rsid w:val="42FF9C50"/>
    <w:rsid w:val="43076E6A"/>
    <w:rsid w:val="431538C6"/>
    <w:rsid w:val="43154FFA"/>
    <w:rsid w:val="431695C8"/>
    <w:rsid w:val="43172E8F"/>
    <w:rsid w:val="431909D6"/>
    <w:rsid w:val="431D676A"/>
    <w:rsid w:val="431D8783"/>
    <w:rsid w:val="43277150"/>
    <w:rsid w:val="43330C78"/>
    <w:rsid w:val="43406184"/>
    <w:rsid w:val="43432CEB"/>
    <w:rsid w:val="434644C1"/>
    <w:rsid w:val="43469C94"/>
    <w:rsid w:val="434B8585"/>
    <w:rsid w:val="434CE9C9"/>
    <w:rsid w:val="434D12E3"/>
    <w:rsid w:val="43561068"/>
    <w:rsid w:val="435D41D1"/>
    <w:rsid w:val="4362C92D"/>
    <w:rsid w:val="43656565"/>
    <w:rsid w:val="43704683"/>
    <w:rsid w:val="43749855"/>
    <w:rsid w:val="43766C09"/>
    <w:rsid w:val="43775EB3"/>
    <w:rsid w:val="437D0593"/>
    <w:rsid w:val="437E391F"/>
    <w:rsid w:val="437E5AB2"/>
    <w:rsid w:val="43832650"/>
    <w:rsid w:val="4387D03C"/>
    <w:rsid w:val="438B177C"/>
    <w:rsid w:val="439007CD"/>
    <w:rsid w:val="43908EB3"/>
    <w:rsid w:val="4390C588"/>
    <w:rsid w:val="439110AD"/>
    <w:rsid w:val="439C928B"/>
    <w:rsid w:val="439CCB6E"/>
    <w:rsid w:val="439F4DB1"/>
    <w:rsid w:val="43A301DF"/>
    <w:rsid w:val="43A7F5E5"/>
    <w:rsid w:val="43AE115F"/>
    <w:rsid w:val="43AF1E5A"/>
    <w:rsid w:val="43B31469"/>
    <w:rsid w:val="43B75E6A"/>
    <w:rsid w:val="43BE3D96"/>
    <w:rsid w:val="43C43A19"/>
    <w:rsid w:val="43C54AF7"/>
    <w:rsid w:val="43D1533C"/>
    <w:rsid w:val="43D98587"/>
    <w:rsid w:val="43E181CE"/>
    <w:rsid w:val="43E371B3"/>
    <w:rsid w:val="43E3B65D"/>
    <w:rsid w:val="43E4B465"/>
    <w:rsid w:val="43E6D3D0"/>
    <w:rsid w:val="43EAB945"/>
    <w:rsid w:val="43EAF262"/>
    <w:rsid w:val="43EB7CBC"/>
    <w:rsid w:val="43F5B435"/>
    <w:rsid w:val="43F6B086"/>
    <w:rsid w:val="43FDC1CB"/>
    <w:rsid w:val="4404C38D"/>
    <w:rsid w:val="441291BA"/>
    <w:rsid w:val="44175615"/>
    <w:rsid w:val="441CFF1F"/>
    <w:rsid w:val="4420AE71"/>
    <w:rsid w:val="4427EB9A"/>
    <w:rsid w:val="44355569"/>
    <w:rsid w:val="44355D60"/>
    <w:rsid w:val="44481D16"/>
    <w:rsid w:val="44518F33"/>
    <w:rsid w:val="445F9F53"/>
    <w:rsid w:val="4461980E"/>
    <w:rsid w:val="4463D357"/>
    <w:rsid w:val="44646B74"/>
    <w:rsid w:val="446A7219"/>
    <w:rsid w:val="44792CE9"/>
    <w:rsid w:val="447A316E"/>
    <w:rsid w:val="447E2CCD"/>
    <w:rsid w:val="448A91FB"/>
    <w:rsid w:val="44900098"/>
    <w:rsid w:val="4499CDD1"/>
    <w:rsid w:val="44A6DF58"/>
    <w:rsid w:val="44A9574A"/>
    <w:rsid w:val="44AD18A5"/>
    <w:rsid w:val="44B7298F"/>
    <w:rsid w:val="44B859C3"/>
    <w:rsid w:val="44B8C72A"/>
    <w:rsid w:val="44C7DB4E"/>
    <w:rsid w:val="44C92B1E"/>
    <w:rsid w:val="44C9A014"/>
    <w:rsid w:val="44CE39FB"/>
    <w:rsid w:val="44CF0C0D"/>
    <w:rsid w:val="44D09ED0"/>
    <w:rsid w:val="44DB1DAF"/>
    <w:rsid w:val="44DCA73C"/>
    <w:rsid w:val="44DCB924"/>
    <w:rsid w:val="44DD5071"/>
    <w:rsid w:val="44DE94CA"/>
    <w:rsid w:val="44DF83A2"/>
    <w:rsid w:val="44DFDC69"/>
    <w:rsid w:val="44E54350"/>
    <w:rsid w:val="44EAAF98"/>
    <w:rsid w:val="44EC509C"/>
    <w:rsid w:val="44F1A483"/>
    <w:rsid w:val="44F226AE"/>
    <w:rsid w:val="44F3B672"/>
    <w:rsid w:val="44F825B3"/>
    <w:rsid w:val="44FA59BE"/>
    <w:rsid w:val="44FAE83A"/>
    <w:rsid w:val="44FD3F92"/>
    <w:rsid w:val="4506D967"/>
    <w:rsid w:val="450CFF02"/>
    <w:rsid w:val="4510CF73"/>
    <w:rsid w:val="451531A5"/>
    <w:rsid w:val="451C7C58"/>
    <w:rsid w:val="45204AFE"/>
    <w:rsid w:val="45216D81"/>
    <w:rsid w:val="45277331"/>
    <w:rsid w:val="4527CD9A"/>
    <w:rsid w:val="4531A753"/>
    <w:rsid w:val="453955E0"/>
    <w:rsid w:val="453A8002"/>
    <w:rsid w:val="453C0D7B"/>
    <w:rsid w:val="453CB7C2"/>
    <w:rsid w:val="4544C3F6"/>
    <w:rsid w:val="4549ED58"/>
    <w:rsid w:val="454F1521"/>
    <w:rsid w:val="455055D3"/>
    <w:rsid w:val="4556C7CB"/>
    <w:rsid w:val="455ACBE4"/>
    <w:rsid w:val="45674E78"/>
    <w:rsid w:val="45680D50"/>
    <w:rsid w:val="456944D6"/>
    <w:rsid w:val="456CD2DC"/>
    <w:rsid w:val="456D239D"/>
    <w:rsid w:val="45705999"/>
    <w:rsid w:val="4570A378"/>
    <w:rsid w:val="45715A23"/>
    <w:rsid w:val="4575831C"/>
    <w:rsid w:val="4576BF05"/>
    <w:rsid w:val="45779331"/>
    <w:rsid w:val="4584244D"/>
    <w:rsid w:val="458CA4E7"/>
    <w:rsid w:val="458E97D7"/>
    <w:rsid w:val="4590439D"/>
    <w:rsid w:val="45916DB0"/>
    <w:rsid w:val="4596552B"/>
    <w:rsid w:val="4598896B"/>
    <w:rsid w:val="4598B71F"/>
    <w:rsid w:val="459FD554"/>
    <w:rsid w:val="45A59950"/>
    <w:rsid w:val="45AEEC08"/>
    <w:rsid w:val="45B018AC"/>
    <w:rsid w:val="45B04839"/>
    <w:rsid w:val="45B0B5A9"/>
    <w:rsid w:val="45B43E6B"/>
    <w:rsid w:val="45B47517"/>
    <w:rsid w:val="45B7FFF7"/>
    <w:rsid w:val="45BC78BD"/>
    <w:rsid w:val="45BDA6AF"/>
    <w:rsid w:val="45BDF0BC"/>
    <w:rsid w:val="45C8ACA7"/>
    <w:rsid w:val="45CA6FCA"/>
    <w:rsid w:val="45CADA54"/>
    <w:rsid w:val="45CB6BB5"/>
    <w:rsid w:val="45D01A68"/>
    <w:rsid w:val="45D222BE"/>
    <w:rsid w:val="45D29674"/>
    <w:rsid w:val="45D6940B"/>
    <w:rsid w:val="45DF47FB"/>
    <w:rsid w:val="45E30018"/>
    <w:rsid w:val="45E9181A"/>
    <w:rsid w:val="45F08EDA"/>
    <w:rsid w:val="45F5781C"/>
    <w:rsid w:val="4602D631"/>
    <w:rsid w:val="4605A42C"/>
    <w:rsid w:val="4606A2ED"/>
    <w:rsid w:val="460C0371"/>
    <w:rsid w:val="460CE27D"/>
    <w:rsid w:val="46169BEC"/>
    <w:rsid w:val="461FDB59"/>
    <w:rsid w:val="46208A62"/>
    <w:rsid w:val="46211801"/>
    <w:rsid w:val="46244982"/>
    <w:rsid w:val="4626BFBE"/>
    <w:rsid w:val="462E45FA"/>
    <w:rsid w:val="462FA201"/>
    <w:rsid w:val="46320AE4"/>
    <w:rsid w:val="46329544"/>
    <w:rsid w:val="4635E373"/>
    <w:rsid w:val="463D9F35"/>
    <w:rsid w:val="46409852"/>
    <w:rsid w:val="4642A35D"/>
    <w:rsid w:val="46446CB8"/>
    <w:rsid w:val="464F66AD"/>
    <w:rsid w:val="4658D0B0"/>
    <w:rsid w:val="465A15F8"/>
    <w:rsid w:val="465AFB8C"/>
    <w:rsid w:val="465BFD8C"/>
    <w:rsid w:val="465DB2D9"/>
    <w:rsid w:val="4661E289"/>
    <w:rsid w:val="466447DC"/>
    <w:rsid w:val="46645733"/>
    <w:rsid w:val="466AE2BB"/>
    <w:rsid w:val="46715E94"/>
    <w:rsid w:val="467788CC"/>
    <w:rsid w:val="468405C4"/>
    <w:rsid w:val="468615DE"/>
    <w:rsid w:val="468D258C"/>
    <w:rsid w:val="46994D85"/>
    <w:rsid w:val="46A6FC95"/>
    <w:rsid w:val="46A76DCD"/>
    <w:rsid w:val="46AD5261"/>
    <w:rsid w:val="46BF7F48"/>
    <w:rsid w:val="46C1BDDA"/>
    <w:rsid w:val="46CB00D4"/>
    <w:rsid w:val="46CE6F50"/>
    <w:rsid w:val="46D3E8C4"/>
    <w:rsid w:val="46D51844"/>
    <w:rsid w:val="46DE2806"/>
    <w:rsid w:val="46DEF35C"/>
    <w:rsid w:val="46E02705"/>
    <w:rsid w:val="46E17988"/>
    <w:rsid w:val="46E24F3E"/>
    <w:rsid w:val="46E3BC0C"/>
    <w:rsid w:val="46E85D6B"/>
    <w:rsid w:val="46EA0D6C"/>
    <w:rsid w:val="46EEA175"/>
    <w:rsid w:val="46EFD38B"/>
    <w:rsid w:val="46F134A1"/>
    <w:rsid w:val="46F30A30"/>
    <w:rsid w:val="46F320D3"/>
    <w:rsid w:val="46F46FF5"/>
    <w:rsid w:val="46FAF91B"/>
    <w:rsid w:val="46FB86F7"/>
    <w:rsid w:val="46FE5253"/>
    <w:rsid w:val="47077A43"/>
    <w:rsid w:val="4708911E"/>
    <w:rsid w:val="470B3FE5"/>
    <w:rsid w:val="470EA262"/>
    <w:rsid w:val="47123C87"/>
    <w:rsid w:val="47124F9F"/>
    <w:rsid w:val="47125F3E"/>
    <w:rsid w:val="471BCAA4"/>
    <w:rsid w:val="471F24D4"/>
    <w:rsid w:val="47215B7C"/>
    <w:rsid w:val="47236A32"/>
    <w:rsid w:val="4723B730"/>
    <w:rsid w:val="47254DC2"/>
    <w:rsid w:val="4726C609"/>
    <w:rsid w:val="472A0F61"/>
    <w:rsid w:val="472D54F7"/>
    <w:rsid w:val="472F7191"/>
    <w:rsid w:val="4731F261"/>
    <w:rsid w:val="47330C30"/>
    <w:rsid w:val="473455CD"/>
    <w:rsid w:val="4737C79D"/>
    <w:rsid w:val="473A2F71"/>
    <w:rsid w:val="473E4D27"/>
    <w:rsid w:val="473EB77E"/>
    <w:rsid w:val="47407201"/>
    <w:rsid w:val="474B7AEE"/>
    <w:rsid w:val="474FB466"/>
    <w:rsid w:val="476A7797"/>
    <w:rsid w:val="476A8FF8"/>
    <w:rsid w:val="4770F8A2"/>
    <w:rsid w:val="477F7FDA"/>
    <w:rsid w:val="47814AD7"/>
    <w:rsid w:val="4782CC97"/>
    <w:rsid w:val="47939EA2"/>
    <w:rsid w:val="4793D581"/>
    <w:rsid w:val="479935DE"/>
    <w:rsid w:val="479BFF7F"/>
    <w:rsid w:val="479EE7AC"/>
    <w:rsid w:val="479F206E"/>
    <w:rsid w:val="47A0AD83"/>
    <w:rsid w:val="47A6E030"/>
    <w:rsid w:val="47B5156D"/>
    <w:rsid w:val="47B937E9"/>
    <w:rsid w:val="47BAD68B"/>
    <w:rsid w:val="47BE1D68"/>
    <w:rsid w:val="47BE7BCE"/>
    <w:rsid w:val="47C77947"/>
    <w:rsid w:val="47C81C3B"/>
    <w:rsid w:val="47CE4B68"/>
    <w:rsid w:val="47CFB552"/>
    <w:rsid w:val="47D2C331"/>
    <w:rsid w:val="47D528BD"/>
    <w:rsid w:val="47DFC5E9"/>
    <w:rsid w:val="47E2D3A8"/>
    <w:rsid w:val="47E71C5A"/>
    <w:rsid w:val="47E74B51"/>
    <w:rsid w:val="47EC743C"/>
    <w:rsid w:val="47ECA110"/>
    <w:rsid w:val="47F2E216"/>
    <w:rsid w:val="47F85758"/>
    <w:rsid w:val="47F99388"/>
    <w:rsid w:val="480405B1"/>
    <w:rsid w:val="480690F1"/>
    <w:rsid w:val="4808B38C"/>
    <w:rsid w:val="480D112C"/>
    <w:rsid w:val="4810E992"/>
    <w:rsid w:val="48172B82"/>
    <w:rsid w:val="481787FB"/>
    <w:rsid w:val="4818B225"/>
    <w:rsid w:val="4818CC24"/>
    <w:rsid w:val="48196F69"/>
    <w:rsid w:val="4819897F"/>
    <w:rsid w:val="481E54F3"/>
    <w:rsid w:val="482CA3D2"/>
    <w:rsid w:val="482EFD3B"/>
    <w:rsid w:val="48323144"/>
    <w:rsid w:val="4835581D"/>
    <w:rsid w:val="483B6590"/>
    <w:rsid w:val="483BD881"/>
    <w:rsid w:val="483D268F"/>
    <w:rsid w:val="483D61FA"/>
    <w:rsid w:val="483E4FC4"/>
    <w:rsid w:val="4840DD07"/>
    <w:rsid w:val="4847CA52"/>
    <w:rsid w:val="484DFA68"/>
    <w:rsid w:val="4850118D"/>
    <w:rsid w:val="48521A41"/>
    <w:rsid w:val="485386AA"/>
    <w:rsid w:val="48552968"/>
    <w:rsid w:val="4855CE89"/>
    <w:rsid w:val="4859F678"/>
    <w:rsid w:val="485A5335"/>
    <w:rsid w:val="485BB665"/>
    <w:rsid w:val="485E1411"/>
    <w:rsid w:val="485E27BA"/>
    <w:rsid w:val="486861D4"/>
    <w:rsid w:val="4868D868"/>
    <w:rsid w:val="486977D0"/>
    <w:rsid w:val="48697CA8"/>
    <w:rsid w:val="486B89A3"/>
    <w:rsid w:val="486D6FA9"/>
    <w:rsid w:val="4870D278"/>
    <w:rsid w:val="48744820"/>
    <w:rsid w:val="4875EA16"/>
    <w:rsid w:val="487A0D7F"/>
    <w:rsid w:val="487A69B0"/>
    <w:rsid w:val="487A92A2"/>
    <w:rsid w:val="487B928C"/>
    <w:rsid w:val="487D8220"/>
    <w:rsid w:val="488820BB"/>
    <w:rsid w:val="488A9BC6"/>
    <w:rsid w:val="488C76CA"/>
    <w:rsid w:val="488E1196"/>
    <w:rsid w:val="48931F19"/>
    <w:rsid w:val="4894701E"/>
    <w:rsid w:val="489A5C8E"/>
    <w:rsid w:val="489E8160"/>
    <w:rsid w:val="48A2C804"/>
    <w:rsid w:val="48A51F7D"/>
    <w:rsid w:val="48A677AE"/>
    <w:rsid w:val="48A90C0B"/>
    <w:rsid w:val="48AE3133"/>
    <w:rsid w:val="48B3A088"/>
    <w:rsid w:val="48BCFA70"/>
    <w:rsid w:val="48BE2121"/>
    <w:rsid w:val="48CB9A80"/>
    <w:rsid w:val="48CD9096"/>
    <w:rsid w:val="48CD94F2"/>
    <w:rsid w:val="48CFC586"/>
    <w:rsid w:val="48D0BF87"/>
    <w:rsid w:val="48DFB912"/>
    <w:rsid w:val="48E42750"/>
    <w:rsid w:val="48E42760"/>
    <w:rsid w:val="48F33406"/>
    <w:rsid w:val="48F7EE87"/>
    <w:rsid w:val="48FAFD5E"/>
    <w:rsid w:val="4900C9AF"/>
    <w:rsid w:val="490151D4"/>
    <w:rsid w:val="4901C872"/>
    <w:rsid w:val="49030204"/>
    <w:rsid w:val="49059DB0"/>
    <w:rsid w:val="490BACA1"/>
    <w:rsid w:val="490FFB7C"/>
    <w:rsid w:val="49108BAD"/>
    <w:rsid w:val="49108C34"/>
    <w:rsid w:val="49132C00"/>
    <w:rsid w:val="4913AEC0"/>
    <w:rsid w:val="491570EA"/>
    <w:rsid w:val="4927A2B4"/>
    <w:rsid w:val="492B87C0"/>
    <w:rsid w:val="492FF920"/>
    <w:rsid w:val="4933AB9D"/>
    <w:rsid w:val="493968EB"/>
    <w:rsid w:val="4940CF85"/>
    <w:rsid w:val="494820C3"/>
    <w:rsid w:val="495657F6"/>
    <w:rsid w:val="49577AED"/>
    <w:rsid w:val="496371BB"/>
    <w:rsid w:val="4964F362"/>
    <w:rsid w:val="4965E6BC"/>
    <w:rsid w:val="4966EDCF"/>
    <w:rsid w:val="4969AB32"/>
    <w:rsid w:val="4969F0D9"/>
    <w:rsid w:val="4972B478"/>
    <w:rsid w:val="49754839"/>
    <w:rsid w:val="49769602"/>
    <w:rsid w:val="49794A6D"/>
    <w:rsid w:val="497A5329"/>
    <w:rsid w:val="497B514C"/>
    <w:rsid w:val="49865F6D"/>
    <w:rsid w:val="4987181B"/>
    <w:rsid w:val="498E1859"/>
    <w:rsid w:val="498E1C3B"/>
    <w:rsid w:val="4991012A"/>
    <w:rsid w:val="49959598"/>
    <w:rsid w:val="499655CB"/>
    <w:rsid w:val="499941CF"/>
    <w:rsid w:val="499A1DCC"/>
    <w:rsid w:val="49B059C4"/>
    <w:rsid w:val="49B334E8"/>
    <w:rsid w:val="49B6DD47"/>
    <w:rsid w:val="49B8E0D8"/>
    <w:rsid w:val="49C16A76"/>
    <w:rsid w:val="49C47399"/>
    <w:rsid w:val="49CCCA39"/>
    <w:rsid w:val="49D26779"/>
    <w:rsid w:val="49D9EC1E"/>
    <w:rsid w:val="49E635B6"/>
    <w:rsid w:val="49F0A0A0"/>
    <w:rsid w:val="49F8D2A3"/>
    <w:rsid w:val="4A001639"/>
    <w:rsid w:val="4A00C308"/>
    <w:rsid w:val="4A03697A"/>
    <w:rsid w:val="4A0708CE"/>
    <w:rsid w:val="4A0A6FB0"/>
    <w:rsid w:val="4A0B0CA8"/>
    <w:rsid w:val="4A1117F6"/>
    <w:rsid w:val="4A12D759"/>
    <w:rsid w:val="4A1395DF"/>
    <w:rsid w:val="4A1A4234"/>
    <w:rsid w:val="4A1D7D2F"/>
    <w:rsid w:val="4A1E38E1"/>
    <w:rsid w:val="4A1FECC1"/>
    <w:rsid w:val="4A202F28"/>
    <w:rsid w:val="4A21AA6C"/>
    <w:rsid w:val="4A27676C"/>
    <w:rsid w:val="4A2FBA73"/>
    <w:rsid w:val="4A3300C7"/>
    <w:rsid w:val="4A3334F5"/>
    <w:rsid w:val="4A3507B9"/>
    <w:rsid w:val="4A374E21"/>
    <w:rsid w:val="4A3C2956"/>
    <w:rsid w:val="4A427E67"/>
    <w:rsid w:val="4A43F35A"/>
    <w:rsid w:val="4A44C00F"/>
    <w:rsid w:val="4A47AE5B"/>
    <w:rsid w:val="4A5D951C"/>
    <w:rsid w:val="4A604652"/>
    <w:rsid w:val="4A624216"/>
    <w:rsid w:val="4A63D0F6"/>
    <w:rsid w:val="4A67BBAA"/>
    <w:rsid w:val="4A6911D8"/>
    <w:rsid w:val="4A6D62D5"/>
    <w:rsid w:val="4A6D8DD3"/>
    <w:rsid w:val="4A7834B1"/>
    <w:rsid w:val="4A8A407D"/>
    <w:rsid w:val="4A9B9AFB"/>
    <w:rsid w:val="4A9E8301"/>
    <w:rsid w:val="4AA1A0E2"/>
    <w:rsid w:val="4AA69ED7"/>
    <w:rsid w:val="4AB3D01B"/>
    <w:rsid w:val="4AB4DC8D"/>
    <w:rsid w:val="4AB7EBF8"/>
    <w:rsid w:val="4AB988E0"/>
    <w:rsid w:val="4ABCD7BF"/>
    <w:rsid w:val="4AC2445D"/>
    <w:rsid w:val="4AC3319F"/>
    <w:rsid w:val="4AC358AF"/>
    <w:rsid w:val="4ACA26A7"/>
    <w:rsid w:val="4AD180B4"/>
    <w:rsid w:val="4AD4AA2A"/>
    <w:rsid w:val="4ADD757F"/>
    <w:rsid w:val="4AF051F2"/>
    <w:rsid w:val="4AF1EB49"/>
    <w:rsid w:val="4AF2EB6A"/>
    <w:rsid w:val="4AF33D54"/>
    <w:rsid w:val="4AF66052"/>
    <w:rsid w:val="4AF794B9"/>
    <w:rsid w:val="4AFDF62F"/>
    <w:rsid w:val="4B01AAD7"/>
    <w:rsid w:val="4B03F198"/>
    <w:rsid w:val="4B08F81A"/>
    <w:rsid w:val="4B0AE8E8"/>
    <w:rsid w:val="4B0B2EB7"/>
    <w:rsid w:val="4B0EA520"/>
    <w:rsid w:val="4B0FE2EB"/>
    <w:rsid w:val="4B11C131"/>
    <w:rsid w:val="4B160135"/>
    <w:rsid w:val="4B1892CD"/>
    <w:rsid w:val="4B18F92A"/>
    <w:rsid w:val="4B1B86E4"/>
    <w:rsid w:val="4B245D43"/>
    <w:rsid w:val="4B2DEBC4"/>
    <w:rsid w:val="4B338283"/>
    <w:rsid w:val="4B357F2D"/>
    <w:rsid w:val="4B36FBBC"/>
    <w:rsid w:val="4B38E98F"/>
    <w:rsid w:val="4B3DB821"/>
    <w:rsid w:val="4B420AB8"/>
    <w:rsid w:val="4B43158E"/>
    <w:rsid w:val="4B44035A"/>
    <w:rsid w:val="4B510CDB"/>
    <w:rsid w:val="4B5935F3"/>
    <w:rsid w:val="4B594CE2"/>
    <w:rsid w:val="4B5A0022"/>
    <w:rsid w:val="4B5D7348"/>
    <w:rsid w:val="4B5FA74B"/>
    <w:rsid w:val="4B6211C3"/>
    <w:rsid w:val="4B62FFA9"/>
    <w:rsid w:val="4B6489D5"/>
    <w:rsid w:val="4B69A214"/>
    <w:rsid w:val="4B7059A3"/>
    <w:rsid w:val="4B7295D7"/>
    <w:rsid w:val="4B77E1E6"/>
    <w:rsid w:val="4B78DEAC"/>
    <w:rsid w:val="4B8004BC"/>
    <w:rsid w:val="4B8594E4"/>
    <w:rsid w:val="4B86625B"/>
    <w:rsid w:val="4B87AE50"/>
    <w:rsid w:val="4B91BDF6"/>
    <w:rsid w:val="4B943CC6"/>
    <w:rsid w:val="4B95012B"/>
    <w:rsid w:val="4B9A813F"/>
    <w:rsid w:val="4B9B5BDD"/>
    <w:rsid w:val="4B9EAB4A"/>
    <w:rsid w:val="4BA214CA"/>
    <w:rsid w:val="4BAB8D01"/>
    <w:rsid w:val="4BB236A3"/>
    <w:rsid w:val="4BB290BE"/>
    <w:rsid w:val="4BB3E230"/>
    <w:rsid w:val="4BBA5DD5"/>
    <w:rsid w:val="4BC83CFA"/>
    <w:rsid w:val="4BCF77BC"/>
    <w:rsid w:val="4BD0F718"/>
    <w:rsid w:val="4BD1F1FF"/>
    <w:rsid w:val="4BD3ED34"/>
    <w:rsid w:val="4BD586D7"/>
    <w:rsid w:val="4BD6C97A"/>
    <w:rsid w:val="4BDC7FAF"/>
    <w:rsid w:val="4BDEE10D"/>
    <w:rsid w:val="4BE11CFD"/>
    <w:rsid w:val="4BEAC21F"/>
    <w:rsid w:val="4BEB1789"/>
    <w:rsid w:val="4BF3FD13"/>
    <w:rsid w:val="4BF754DC"/>
    <w:rsid w:val="4BFC137B"/>
    <w:rsid w:val="4BFC90E4"/>
    <w:rsid w:val="4C0062E2"/>
    <w:rsid w:val="4C02848B"/>
    <w:rsid w:val="4C08B3A0"/>
    <w:rsid w:val="4C120A25"/>
    <w:rsid w:val="4C17A8CF"/>
    <w:rsid w:val="4C19648A"/>
    <w:rsid w:val="4C1A8F3E"/>
    <w:rsid w:val="4C1D7F97"/>
    <w:rsid w:val="4C20230E"/>
    <w:rsid w:val="4C207303"/>
    <w:rsid w:val="4C25775E"/>
    <w:rsid w:val="4C261D50"/>
    <w:rsid w:val="4C29395B"/>
    <w:rsid w:val="4C2E3CAC"/>
    <w:rsid w:val="4C44E5F3"/>
    <w:rsid w:val="4C461078"/>
    <w:rsid w:val="4C4B796B"/>
    <w:rsid w:val="4C509246"/>
    <w:rsid w:val="4C50E0F2"/>
    <w:rsid w:val="4C520A88"/>
    <w:rsid w:val="4C5234DE"/>
    <w:rsid w:val="4C5E6551"/>
    <w:rsid w:val="4C608581"/>
    <w:rsid w:val="4C65A51C"/>
    <w:rsid w:val="4C6DEDDF"/>
    <w:rsid w:val="4C6F4EC6"/>
    <w:rsid w:val="4C6F61F9"/>
    <w:rsid w:val="4C72AA02"/>
    <w:rsid w:val="4C780D21"/>
    <w:rsid w:val="4C7EC7EE"/>
    <w:rsid w:val="4C81326B"/>
    <w:rsid w:val="4C81E292"/>
    <w:rsid w:val="4C849D21"/>
    <w:rsid w:val="4C8BDD36"/>
    <w:rsid w:val="4C8F25A9"/>
    <w:rsid w:val="4C9051E6"/>
    <w:rsid w:val="4C95668F"/>
    <w:rsid w:val="4C963C37"/>
    <w:rsid w:val="4C987763"/>
    <w:rsid w:val="4C9B2E30"/>
    <w:rsid w:val="4C9BC6D0"/>
    <w:rsid w:val="4CA3B495"/>
    <w:rsid w:val="4CA3D7C0"/>
    <w:rsid w:val="4CAFFCBB"/>
    <w:rsid w:val="4CB09D21"/>
    <w:rsid w:val="4CB19C5C"/>
    <w:rsid w:val="4CB9EA93"/>
    <w:rsid w:val="4CBA2C86"/>
    <w:rsid w:val="4CC1D21F"/>
    <w:rsid w:val="4CC2D828"/>
    <w:rsid w:val="4CCE561E"/>
    <w:rsid w:val="4CCF176A"/>
    <w:rsid w:val="4CD16926"/>
    <w:rsid w:val="4CD17BCC"/>
    <w:rsid w:val="4CD23BB4"/>
    <w:rsid w:val="4CD60FD8"/>
    <w:rsid w:val="4CD6D6AA"/>
    <w:rsid w:val="4CE11E9C"/>
    <w:rsid w:val="4CE32A49"/>
    <w:rsid w:val="4CEC47C0"/>
    <w:rsid w:val="4CEE3E17"/>
    <w:rsid w:val="4CF112CB"/>
    <w:rsid w:val="4CF88E2B"/>
    <w:rsid w:val="4CFD436F"/>
    <w:rsid w:val="4CFFB41A"/>
    <w:rsid w:val="4D053DA9"/>
    <w:rsid w:val="4D063C64"/>
    <w:rsid w:val="4D0A0931"/>
    <w:rsid w:val="4D0C6AD3"/>
    <w:rsid w:val="4D101B6F"/>
    <w:rsid w:val="4D12A82D"/>
    <w:rsid w:val="4D1C8E82"/>
    <w:rsid w:val="4D25D02D"/>
    <w:rsid w:val="4D28812E"/>
    <w:rsid w:val="4D28D759"/>
    <w:rsid w:val="4D3043AD"/>
    <w:rsid w:val="4D331380"/>
    <w:rsid w:val="4D3A7B82"/>
    <w:rsid w:val="4D3DADBF"/>
    <w:rsid w:val="4D3EF13A"/>
    <w:rsid w:val="4D3F78C2"/>
    <w:rsid w:val="4D47650C"/>
    <w:rsid w:val="4D48530F"/>
    <w:rsid w:val="4D4E9ADB"/>
    <w:rsid w:val="4D5386C9"/>
    <w:rsid w:val="4D55DF8B"/>
    <w:rsid w:val="4D571F62"/>
    <w:rsid w:val="4D5BB07B"/>
    <w:rsid w:val="4D5DA6C0"/>
    <w:rsid w:val="4D5F0680"/>
    <w:rsid w:val="4D614CDC"/>
    <w:rsid w:val="4D67859A"/>
    <w:rsid w:val="4D67B3D2"/>
    <w:rsid w:val="4D6C295D"/>
    <w:rsid w:val="4D6CBE18"/>
    <w:rsid w:val="4D72F934"/>
    <w:rsid w:val="4D74672A"/>
    <w:rsid w:val="4D75BA6F"/>
    <w:rsid w:val="4D779044"/>
    <w:rsid w:val="4D7C9548"/>
    <w:rsid w:val="4D87A524"/>
    <w:rsid w:val="4D8D410D"/>
    <w:rsid w:val="4D93B9CE"/>
    <w:rsid w:val="4D9D9CE3"/>
    <w:rsid w:val="4D9F1B10"/>
    <w:rsid w:val="4DA30ADD"/>
    <w:rsid w:val="4DA48401"/>
    <w:rsid w:val="4DAE33BE"/>
    <w:rsid w:val="4DAFD4FA"/>
    <w:rsid w:val="4DB027F0"/>
    <w:rsid w:val="4DB1AD3B"/>
    <w:rsid w:val="4DB43D11"/>
    <w:rsid w:val="4DBC6662"/>
    <w:rsid w:val="4DBD334D"/>
    <w:rsid w:val="4DC1ABEB"/>
    <w:rsid w:val="4DC6958D"/>
    <w:rsid w:val="4DC79380"/>
    <w:rsid w:val="4DC7AC5D"/>
    <w:rsid w:val="4DC974E5"/>
    <w:rsid w:val="4DCB9C01"/>
    <w:rsid w:val="4DCD2140"/>
    <w:rsid w:val="4DDC9450"/>
    <w:rsid w:val="4DDEB605"/>
    <w:rsid w:val="4DDED806"/>
    <w:rsid w:val="4DE16DCC"/>
    <w:rsid w:val="4DE7C36C"/>
    <w:rsid w:val="4DE8E7BE"/>
    <w:rsid w:val="4DEEAB5B"/>
    <w:rsid w:val="4DEF3DAB"/>
    <w:rsid w:val="4DF01A04"/>
    <w:rsid w:val="4DF3E73A"/>
    <w:rsid w:val="4DF5B31F"/>
    <w:rsid w:val="4DF6B98B"/>
    <w:rsid w:val="4DF7C472"/>
    <w:rsid w:val="4DFA1E10"/>
    <w:rsid w:val="4DFE807B"/>
    <w:rsid w:val="4E00AE33"/>
    <w:rsid w:val="4E05028D"/>
    <w:rsid w:val="4E066333"/>
    <w:rsid w:val="4E081390"/>
    <w:rsid w:val="4E083955"/>
    <w:rsid w:val="4E095E69"/>
    <w:rsid w:val="4E0E057C"/>
    <w:rsid w:val="4E10A17B"/>
    <w:rsid w:val="4E13A27C"/>
    <w:rsid w:val="4E1A0950"/>
    <w:rsid w:val="4E21B05A"/>
    <w:rsid w:val="4E260A8A"/>
    <w:rsid w:val="4E33FCEE"/>
    <w:rsid w:val="4E38E4ED"/>
    <w:rsid w:val="4E3A4D83"/>
    <w:rsid w:val="4E3E0360"/>
    <w:rsid w:val="4E40ABDC"/>
    <w:rsid w:val="4E41E354"/>
    <w:rsid w:val="4E4AF22B"/>
    <w:rsid w:val="4E4FE759"/>
    <w:rsid w:val="4E5248AC"/>
    <w:rsid w:val="4E572CB1"/>
    <w:rsid w:val="4E585EF7"/>
    <w:rsid w:val="4E60B6F5"/>
    <w:rsid w:val="4E66579D"/>
    <w:rsid w:val="4E684A05"/>
    <w:rsid w:val="4E686932"/>
    <w:rsid w:val="4E692F6A"/>
    <w:rsid w:val="4E6B6CB4"/>
    <w:rsid w:val="4E71DF0A"/>
    <w:rsid w:val="4E7433AB"/>
    <w:rsid w:val="4E762F83"/>
    <w:rsid w:val="4E7E833E"/>
    <w:rsid w:val="4E81417D"/>
    <w:rsid w:val="4E880A11"/>
    <w:rsid w:val="4E8AD40C"/>
    <w:rsid w:val="4E8D8C4F"/>
    <w:rsid w:val="4E935A17"/>
    <w:rsid w:val="4E94D2ED"/>
    <w:rsid w:val="4EA0BC13"/>
    <w:rsid w:val="4EA22152"/>
    <w:rsid w:val="4EA3BF20"/>
    <w:rsid w:val="4EA6150B"/>
    <w:rsid w:val="4EAF48B3"/>
    <w:rsid w:val="4EBBE61E"/>
    <w:rsid w:val="4EBE24A3"/>
    <w:rsid w:val="4EBF7684"/>
    <w:rsid w:val="4EC16293"/>
    <w:rsid w:val="4ECF9B36"/>
    <w:rsid w:val="4ED074FD"/>
    <w:rsid w:val="4ED30511"/>
    <w:rsid w:val="4ED82C41"/>
    <w:rsid w:val="4ED82C60"/>
    <w:rsid w:val="4ED8BA60"/>
    <w:rsid w:val="4EDE7FD5"/>
    <w:rsid w:val="4EDF8F6B"/>
    <w:rsid w:val="4EE40FE7"/>
    <w:rsid w:val="4EE75FBF"/>
    <w:rsid w:val="4EE83BF7"/>
    <w:rsid w:val="4EEC8D3F"/>
    <w:rsid w:val="4EF32697"/>
    <w:rsid w:val="4EF5A9E0"/>
    <w:rsid w:val="4EFCA75C"/>
    <w:rsid w:val="4F02F932"/>
    <w:rsid w:val="4F051F77"/>
    <w:rsid w:val="4F0B4AF2"/>
    <w:rsid w:val="4F1137CE"/>
    <w:rsid w:val="4F167309"/>
    <w:rsid w:val="4F1AF1B4"/>
    <w:rsid w:val="4F1B8577"/>
    <w:rsid w:val="4F1EE2E1"/>
    <w:rsid w:val="4F23B6E7"/>
    <w:rsid w:val="4F24806E"/>
    <w:rsid w:val="4F25331B"/>
    <w:rsid w:val="4F2551B7"/>
    <w:rsid w:val="4F3E29AD"/>
    <w:rsid w:val="4F429673"/>
    <w:rsid w:val="4F4A0ABF"/>
    <w:rsid w:val="4F4F0684"/>
    <w:rsid w:val="4F503845"/>
    <w:rsid w:val="4F50586E"/>
    <w:rsid w:val="4F518710"/>
    <w:rsid w:val="4F56CEDF"/>
    <w:rsid w:val="4F59DD94"/>
    <w:rsid w:val="4F660664"/>
    <w:rsid w:val="4F68CDE0"/>
    <w:rsid w:val="4F704DDD"/>
    <w:rsid w:val="4F716173"/>
    <w:rsid w:val="4F74903C"/>
    <w:rsid w:val="4F7856EF"/>
    <w:rsid w:val="4F824877"/>
    <w:rsid w:val="4F82FD68"/>
    <w:rsid w:val="4F831D37"/>
    <w:rsid w:val="4F8E9F2F"/>
    <w:rsid w:val="4F9581C6"/>
    <w:rsid w:val="4F9594D8"/>
    <w:rsid w:val="4F95F00C"/>
    <w:rsid w:val="4F9604F8"/>
    <w:rsid w:val="4F9D0C68"/>
    <w:rsid w:val="4FA075E6"/>
    <w:rsid w:val="4FA39615"/>
    <w:rsid w:val="4FA41DFE"/>
    <w:rsid w:val="4FAC2A29"/>
    <w:rsid w:val="4FB57457"/>
    <w:rsid w:val="4FB5E49B"/>
    <w:rsid w:val="4FBF057F"/>
    <w:rsid w:val="4FC2C15D"/>
    <w:rsid w:val="4FC653BB"/>
    <w:rsid w:val="4FCD40A3"/>
    <w:rsid w:val="4FCE8651"/>
    <w:rsid w:val="4FCF4857"/>
    <w:rsid w:val="4FD268C3"/>
    <w:rsid w:val="4FD9FDFF"/>
    <w:rsid w:val="4FE363E5"/>
    <w:rsid w:val="4FE473C3"/>
    <w:rsid w:val="4FE4FF94"/>
    <w:rsid w:val="4FE7CE0B"/>
    <w:rsid w:val="4FEAC51C"/>
    <w:rsid w:val="4FEB8C68"/>
    <w:rsid w:val="4FEC9E99"/>
    <w:rsid w:val="4FEF22D5"/>
    <w:rsid w:val="4FEF987B"/>
    <w:rsid w:val="4FF0C41A"/>
    <w:rsid w:val="4FF483EF"/>
    <w:rsid w:val="4FFC4E39"/>
    <w:rsid w:val="4FFE095A"/>
    <w:rsid w:val="5001E751"/>
    <w:rsid w:val="500A68F9"/>
    <w:rsid w:val="500A6C9A"/>
    <w:rsid w:val="500BC703"/>
    <w:rsid w:val="500CA19A"/>
    <w:rsid w:val="5012D73C"/>
    <w:rsid w:val="5013FD81"/>
    <w:rsid w:val="5018D019"/>
    <w:rsid w:val="501919C1"/>
    <w:rsid w:val="501F4880"/>
    <w:rsid w:val="502167FC"/>
    <w:rsid w:val="5023F74D"/>
    <w:rsid w:val="50240DDD"/>
    <w:rsid w:val="50247315"/>
    <w:rsid w:val="5029BFD6"/>
    <w:rsid w:val="502EB0C2"/>
    <w:rsid w:val="50397E81"/>
    <w:rsid w:val="503EA762"/>
    <w:rsid w:val="5044BC3D"/>
    <w:rsid w:val="50537B16"/>
    <w:rsid w:val="50587069"/>
    <w:rsid w:val="505B5524"/>
    <w:rsid w:val="5061DDB5"/>
    <w:rsid w:val="50658B73"/>
    <w:rsid w:val="50674030"/>
    <w:rsid w:val="506A585A"/>
    <w:rsid w:val="50700C8F"/>
    <w:rsid w:val="5071BDA2"/>
    <w:rsid w:val="5074952D"/>
    <w:rsid w:val="5077842B"/>
    <w:rsid w:val="507A8B27"/>
    <w:rsid w:val="507BD12E"/>
    <w:rsid w:val="50828A55"/>
    <w:rsid w:val="50836F44"/>
    <w:rsid w:val="508687FF"/>
    <w:rsid w:val="50869B88"/>
    <w:rsid w:val="50899826"/>
    <w:rsid w:val="508EAD61"/>
    <w:rsid w:val="5094E1AC"/>
    <w:rsid w:val="50951EE2"/>
    <w:rsid w:val="509BBBE4"/>
    <w:rsid w:val="509D4872"/>
    <w:rsid w:val="509F3DC0"/>
    <w:rsid w:val="50A0A576"/>
    <w:rsid w:val="50A2F806"/>
    <w:rsid w:val="50AC037D"/>
    <w:rsid w:val="50ACBD39"/>
    <w:rsid w:val="50B535BD"/>
    <w:rsid w:val="50BABEA2"/>
    <w:rsid w:val="50BCF072"/>
    <w:rsid w:val="50C04E48"/>
    <w:rsid w:val="50C0A40E"/>
    <w:rsid w:val="50C1DC5A"/>
    <w:rsid w:val="50C8CDC1"/>
    <w:rsid w:val="50CBA750"/>
    <w:rsid w:val="50CD61FB"/>
    <w:rsid w:val="50D11FF5"/>
    <w:rsid w:val="50D58750"/>
    <w:rsid w:val="50E10DC7"/>
    <w:rsid w:val="50E2A73B"/>
    <w:rsid w:val="50E4B63C"/>
    <w:rsid w:val="50E8843C"/>
    <w:rsid w:val="50ED12A3"/>
    <w:rsid w:val="50F3D69A"/>
    <w:rsid w:val="50FE782D"/>
    <w:rsid w:val="50FFB591"/>
    <w:rsid w:val="5106239D"/>
    <w:rsid w:val="5107061A"/>
    <w:rsid w:val="510A1980"/>
    <w:rsid w:val="510D3240"/>
    <w:rsid w:val="510D9603"/>
    <w:rsid w:val="5113BACB"/>
    <w:rsid w:val="511A9EA9"/>
    <w:rsid w:val="511B7C9C"/>
    <w:rsid w:val="511F36E2"/>
    <w:rsid w:val="51209AC7"/>
    <w:rsid w:val="5123705A"/>
    <w:rsid w:val="512558B4"/>
    <w:rsid w:val="512CAD8E"/>
    <w:rsid w:val="512F73EF"/>
    <w:rsid w:val="513457F4"/>
    <w:rsid w:val="51412472"/>
    <w:rsid w:val="5142BF05"/>
    <w:rsid w:val="51455E3A"/>
    <w:rsid w:val="51498B58"/>
    <w:rsid w:val="514CC370"/>
    <w:rsid w:val="5150CF9C"/>
    <w:rsid w:val="5154D327"/>
    <w:rsid w:val="516347DB"/>
    <w:rsid w:val="5164296C"/>
    <w:rsid w:val="51673E38"/>
    <w:rsid w:val="5169E996"/>
    <w:rsid w:val="516DC30F"/>
    <w:rsid w:val="516F1583"/>
    <w:rsid w:val="516FB094"/>
    <w:rsid w:val="516FB2BB"/>
    <w:rsid w:val="517B63B6"/>
    <w:rsid w:val="5180A2B2"/>
    <w:rsid w:val="5186EB46"/>
    <w:rsid w:val="5188BD8F"/>
    <w:rsid w:val="518A09D8"/>
    <w:rsid w:val="51917544"/>
    <w:rsid w:val="51922B8F"/>
    <w:rsid w:val="51948AA8"/>
    <w:rsid w:val="51974552"/>
    <w:rsid w:val="519C6279"/>
    <w:rsid w:val="519E8155"/>
    <w:rsid w:val="519F1FEB"/>
    <w:rsid w:val="51A0CA2B"/>
    <w:rsid w:val="51A71D85"/>
    <w:rsid w:val="51AA0D08"/>
    <w:rsid w:val="51AFB78C"/>
    <w:rsid w:val="51B3AC94"/>
    <w:rsid w:val="51BA8123"/>
    <w:rsid w:val="51BDD35E"/>
    <w:rsid w:val="51BE279F"/>
    <w:rsid w:val="51C17A2F"/>
    <w:rsid w:val="51C567D4"/>
    <w:rsid w:val="51C58DEE"/>
    <w:rsid w:val="51C78519"/>
    <w:rsid w:val="51CC178D"/>
    <w:rsid w:val="51D1B5CF"/>
    <w:rsid w:val="51D62242"/>
    <w:rsid w:val="51E2A9D0"/>
    <w:rsid w:val="51EB4392"/>
    <w:rsid w:val="51EE1C4A"/>
    <w:rsid w:val="51FC5E30"/>
    <w:rsid w:val="520391A7"/>
    <w:rsid w:val="5203F543"/>
    <w:rsid w:val="52080BD4"/>
    <w:rsid w:val="5208FCDD"/>
    <w:rsid w:val="520E664E"/>
    <w:rsid w:val="5213DA44"/>
    <w:rsid w:val="5213E47D"/>
    <w:rsid w:val="521CEB27"/>
    <w:rsid w:val="52226E44"/>
    <w:rsid w:val="52251BCE"/>
    <w:rsid w:val="5227283B"/>
    <w:rsid w:val="522CA9D7"/>
    <w:rsid w:val="522D4DEF"/>
    <w:rsid w:val="522D7C91"/>
    <w:rsid w:val="522F04D4"/>
    <w:rsid w:val="522F5F9F"/>
    <w:rsid w:val="5235D6A1"/>
    <w:rsid w:val="523BE6B3"/>
    <w:rsid w:val="523C85FB"/>
    <w:rsid w:val="52488E05"/>
    <w:rsid w:val="524B9B17"/>
    <w:rsid w:val="525AAAC2"/>
    <w:rsid w:val="52634A20"/>
    <w:rsid w:val="5267AD45"/>
    <w:rsid w:val="5268E81A"/>
    <w:rsid w:val="526DD401"/>
    <w:rsid w:val="52700701"/>
    <w:rsid w:val="52749AB5"/>
    <w:rsid w:val="52778C85"/>
    <w:rsid w:val="528BDD07"/>
    <w:rsid w:val="528C3369"/>
    <w:rsid w:val="52941C06"/>
    <w:rsid w:val="529C5946"/>
    <w:rsid w:val="52A881CF"/>
    <w:rsid w:val="52A9D66C"/>
    <w:rsid w:val="52ADE39D"/>
    <w:rsid w:val="52B32ECB"/>
    <w:rsid w:val="52B3A87B"/>
    <w:rsid w:val="52B783B9"/>
    <w:rsid w:val="52B89712"/>
    <w:rsid w:val="52C34D91"/>
    <w:rsid w:val="52C36868"/>
    <w:rsid w:val="52CA3BAE"/>
    <w:rsid w:val="52D3475E"/>
    <w:rsid w:val="52D98C75"/>
    <w:rsid w:val="52DB0074"/>
    <w:rsid w:val="52E1CFF5"/>
    <w:rsid w:val="52EBCD53"/>
    <w:rsid w:val="52F0A0EE"/>
    <w:rsid w:val="52F1105B"/>
    <w:rsid w:val="52F2B03E"/>
    <w:rsid w:val="52F5A2C8"/>
    <w:rsid w:val="52F7C95C"/>
    <w:rsid w:val="52FAEFDA"/>
    <w:rsid w:val="52FC661A"/>
    <w:rsid w:val="52FFA519"/>
    <w:rsid w:val="530703F3"/>
    <w:rsid w:val="5308B2D4"/>
    <w:rsid w:val="53093AB2"/>
    <w:rsid w:val="530B2215"/>
    <w:rsid w:val="530DD31F"/>
    <w:rsid w:val="5315DB88"/>
    <w:rsid w:val="5319AE83"/>
    <w:rsid w:val="53250CDF"/>
    <w:rsid w:val="532532B9"/>
    <w:rsid w:val="532B68D0"/>
    <w:rsid w:val="532B8BF1"/>
    <w:rsid w:val="532DA957"/>
    <w:rsid w:val="532DE49D"/>
    <w:rsid w:val="532DFBF0"/>
    <w:rsid w:val="53316903"/>
    <w:rsid w:val="53317F1E"/>
    <w:rsid w:val="53348EFC"/>
    <w:rsid w:val="5335F1D4"/>
    <w:rsid w:val="533B2891"/>
    <w:rsid w:val="533B5CD4"/>
    <w:rsid w:val="5344646B"/>
    <w:rsid w:val="5345E67E"/>
    <w:rsid w:val="5346B31D"/>
    <w:rsid w:val="534CE0FC"/>
    <w:rsid w:val="534EA5C2"/>
    <w:rsid w:val="534EB62C"/>
    <w:rsid w:val="535033F7"/>
    <w:rsid w:val="5355CB51"/>
    <w:rsid w:val="536A4DA4"/>
    <w:rsid w:val="536B0237"/>
    <w:rsid w:val="5374C422"/>
    <w:rsid w:val="53784B97"/>
    <w:rsid w:val="537F18BE"/>
    <w:rsid w:val="53838486"/>
    <w:rsid w:val="5386CD06"/>
    <w:rsid w:val="5389D3FD"/>
    <w:rsid w:val="539069A1"/>
    <w:rsid w:val="539A3189"/>
    <w:rsid w:val="539AC544"/>
    <w:rsid w:val="53A0A58E"/>
    <w:rsid w:val="53A2087D"/>
    <w:rsid w:val="53A26D9B"/>
    <w:rsid w:val="53A897C0"/>
    <w:rsid w:val="53B768F2"/>
    <w:rsid w:val="53B89259"/>
    <w:rsid w:val="53B9A43C"/>
    <w:rsid w:val="53BA6B72"/>
    <w:rsid w:val="53BC6A99"/>
    <w:rsid w:val="53C13DAE"/>
    <w:rsid w:val="53C777EB"/>
    <w:rsid w:val="53C94EF4"/>
    <w:rsid w:val="53CF89E5"/>
    <w:rsid w:val="53D29B28"/>
    <w:rsid w:val="53D64E3D"/>
    <w:rsid w:val="53D8BA71"/>
    <w:rsid w:val="53DA4C9E"/>
    <w:rsid w:val="53E0747B"/>
    <w:rsid w:val="53E3CBB6"/>
    <w:rsid w:val="53E418EA"/>
    <w:rsid w:val="53EAF789"/>
    <w:rsid w:val="53ED5417"/>
    <w:rsid w:val="53EF65BE"/>
    <w:rsid w:val="53F86EA7"/>
    <w:rsid w:val="53FC4528"/>
    <w:rsid w:val="540E4EC0"/>
    <w:rsid w:val="54184FD4"/>
    <w:rsid w:val="541CE269"/>
    <w:rsid w:val="541F9CF3"/>
    <w:rsid w:val="54219C1E"/>
    <w:rsid w:val="5425600C"/>
    <w:rsid w:val="5427483B"/>
    <w:rsid w:val="542D463A"/>
    <w:rsid w:val="5430FA2E"/>
    <w:rsid w:val="543198DB"/>
    <w:rsid w:val="543368C8"/>
    <w:rsid w:val="543651C8"/>
    <w:rsid w:val="54366D69"/>
    <w:rsid w:val="54373EDA"/>
    <w:rsid w:val="54412FBD"/>
    <w:rsid w:val="54473E0B"/>
    <w:rsid w:val="544910C2"/>
    <w:rsid w:val="54495EDF"/>
    <w:rsid w:val="544A005F"/>
    <w:rsid w:val="544E7775"/>
    <w:rsid w:val="54657C66"/>
    <w:rsid w:val="5465A54A"/>
    <w:rsid w:val="5467C68A"/>
    <w:rsid w:val="5469687F"/>
    <w:rsid w:val="546A5A67"/>
    <w:rsid w:val="546AC4B8"/>
    <w:rsid w:val="546B0460"/>
    <w:rsid w:val="547439C8"/>
    <w:rsid w:val="547670B9"/>
    <w:rsid w:val="5481B612"/>
    <w:rsid w:val="5484FEBE"/>
    <w:rsid w:val="548B813B"/>
    <w:rsid w:val="54937803"/>
    <w:rsid w:val="549668CD"/>
    <w:rsid w:val="54A17124"/>
    <w:rsid w:val="54AF34A8"/>
    <w:rsid w:val="54B1785C"/>
    <w:rsid w:val="54B5E210"/>
    <w:rsid w:val="54C71C6E"/>
    <w:rsid w:val="54CEAB21"/>
    <w:rsid w:val="54DED271"/>
    <w:rsid w:val="54E3325A"/>
    <w:rsid w:val="54E6B44A"/>
    <w:rsid w:val="54EEA0D5"/>
    <w:rsid w:val="54F4E0A6"/>
    <w:rsid w:val="54FAC096"/>
    <w:rsid w:val="55041011"/>
    <w:rsid w:val="550435CB"/>
    <w:rsid w:val="550DAA30"/>
    <w:rsid w:val="550E8C48"/>
    <w:rsid w:val="550F071C"/>
    <w:rsid w:val="551070F1"/>
    <w:rsid w:val="551533E5"/>
    <w:rsid w:val="5516E917"/>
    <w:rsid w:val="551E172C"/>
    <w:rsid w:val="55290D54"/>
    <w:rsid w:val="552B7628"/>
    <w:rsid w:val="552CF37A"/>
    <w:rsid w:val="55403BB2"/>
    <w:rsid w:val="554C747F"/>
    <w:rsid w:val="5551C19A"/>
    <w:rsid w:val="5552D704"/>
    <w:rsid w:val="555655BB"/>
    <w:rsid w:val="55615FF8"/>
    <w:rsid w:val="5561D5DF"/>
    <w:rsid w:val="556FC2CC"/>
    <w:rsid w:val="5585356C"/>
    <w:rsid w:val="5586A6AB"/>
    <w:rsid w:val="5586A7E1"/>
    <w:rsid w:val="5586FEFB"/>
    <w:rsid w:val="5589DAAC"/>
    <w:rsid w:val="558CC418"/>
    <w:rsid w:val="558D4FE5"/>
    <w:rsid w:val="558E794C"/>
    <w:rsid w:val="5591F9CF"/>
    <w:rsid w:val="55941EB1"/>
    <w:rsid w:val="559A86F8"/>
    <w:rsid w:val="559AF0F8"/>
    <w:rsid w:val="55A162DB"/>
    <w:rsid w:val="55A5C657"/>
    <w:rsid w:val="55B23274"/>
    <w:rsid w:val="55B623DE"/>
    <w:rsid w:val="55BD4189"/>
    <w:rsid w:val="55C694E8"/>
    <w:rsid w:val="55CA4369"/>
    <w:rsid w:val="55CA46F7"/>
    <w:rsid w:val="55CEF5D4"/>
    <w:rsid w:val="55D322E1"/>
    <w:rsid w:val="55D5C1CE"/>
    <w:rsid w:val="55D72D5B"/>
    <w:rsid w:val="55D8195D"/>
    <w:rsid w:val="55DA6ABA"/>
    <w:rsid w:val="55DA9532"/>
    <w:rsid w:val="55DCA24C"/>
    <w:rsid w:val="55E3F478"/>
    <w:rsid w:val="55E4B254"/>
    <w:rsid w:val="55E97CDD"/>
    <w:rsid w:val="55EA87C2"/>
    <w:rsid w:val="55ED9F1B"/>
    <w:rsid w:val="55FAB96F"/>
    <w:rsid w:val="560175AB"/>
    <w:rsid w:val="5608557E"/>
    <w:rsid w:val="5609CF9D"/>
    <w:rsid w:val="560B258A"/>
    <w:rsid w:val="560D4020"/>
    <w:rsid w:val="5611DD8F"/>
    <w:rsid w:val="56203493"/>
    <w:rsid w:val="56283907"/>
    <w:rsid w:val="562E21C9"/>
    <w:rsid w:val="562EA74D"/>
    <w:rsid w:val="5630CC9A"/>
    <w:rsid w:val="5635F402"/>
    <w:rsid w:val="563A2A4D"/>
    <w:rsid w:val="563DD2A5"/>
    <w:rsid w:val="5641DCD1"/>
    <w:rsid w:val="56421018"/>
    <w:rsid w:val="56446505"/>
    <w:rsid w:val="56499EED"/>
    <w:rsid w:val="564B92E8"/>
    <w:rsid w:val="564D0135"/>
    <w:rsid w:val="565188BE"/>
    <w:rsid w:val="5654581E"/>
    <w:rsid w:val="56563060"/>
    <w:rsid w:val="565670A4"/>
    <w:rsid w:val="56591677"/>
    <w:rsid w:val="566B62E3"/>
    <w:rsid w:val="566B7809"/>
    <w:rsid w:val="566FE681"/>
    <w:rsid w:val="56762828"/>
    <w:rsid w:val="5678BE05"/>
    <w:rsid w:val="567B27B5"/>
    <w:rsid w:val="567B34AA"/>
    <w:rsid w:val="567DC383"/>
    <w:rsid w:val="5689C2AB"/>
    <w:rsid w:val="568A5598"/>
    <w:rsid w:val="56932122"/>
    <w:rsid w:val="56935ADB"/>
    <w:rsid w:val="5696DBC0"/>
    <w:rsid w:val="569B33D7"/>
    <w:rsid w:val="569C3C9D"/>
    <w:rsid w:val="56A0C53F"/>
    <w:rsid w:val="56A7CD00"/>
    <w:rsid w:val="56B55FA6"/>
    <w:rsid w:val="56BD121C"/>
    <w:rsid w:val="56BE4C49"/>
    <w:rsid w:val="56C2540C"/>
    <w:rsid w:val="56C59488"/>
    <w:rsid w:val="56C7EDE0"/>
    <w:rsid w:val="56D32B63"/>
    <w:rsid w:val="56D50B20"/>
    <w:rsid w:val="56D9F19D"/>
    <w:rsid w:val="56DB4995"/>
    <w:rsid w:val="56DD8CFA"/>
    <w:rsid w:val="56DE78E8"/>
    <w:rsid w:val="56E632A2"/>
    <w:rsid w:val="56F1B4A9"/>
    <w:rsid w:val="56F1E3D1"/>
    <w:rsid w:val="56F25161"/>
    <w:rsid w:val="56F6440E"/>
    <w:rsid w:val="56FAFAF5"/>
    <w:rsid w:val="56FB5FB6"/>
    <w:rsid w:val="56FB8D05"/>
    <w:rsid w:val="56FDE6D7"/>
    <w:rsid w:val="5701EA7A"/>
    <w:rsid w:val="57035B98"/>
    <w:rsid w:val="57046518"/>
    <w:rsid w:val="570C4E5C"/>
    <w:rsid w:val="570F4A26"/>
    <w:rsid w:val="57133624"/>
    <w:rsid w:val="5717D219"/>
    <w:rsid w:val="57199CD4"/>
    <w:rsid w:val="571BC99F"/>
    <w:rsid w:val="571E9A5F"/>
    <w:rsid w:val="571F8F82"/>
    <w:rsid w:val="57226369"/>
    <w:rsid w:val="5726B134"/>
    <w:rsid w:val="572978DB"/>
    <w:rsid w:val="572AD077"/>
    <w:rsid w:val="572E7816"/>
    <w:rsid w:val="5731D890"/>
    <w:rsid w:val="57391418"/>
    <w:rsid w:val="5742800C"/>
    <w:rsid w:val="5744E671"/>
    <w:rsid w:val="574F06E8"/>
    <w:rsid w:val="5753DD89"/>
    <w:rsid w:val="575C788E"/>
    <w:rsid w:val="575EEE5C"/>
    <w:rsid w:val="57600919"/>
    <w:rsid w:val="576031D9"/>
    <w:rsid w:val="57607EC5"/>
    <w:rsid w:val="576A244B"/>
    <w:rsid w:val="576BE87D"/>
    <w:rsid w:val="576DD20D"/>
    <w:rsid w:val="5770833B"/>
    <w:rsid w:val="5770B825"/>
    <w:rsid w:val="57791B0E"/>
    <w:rsid w:val="577B06E6"/>
    <w:rsid w:val="57892303"/>
    <w:rsid w:val="5789B0AE"/>
    <w:rsid w:val="578CBA41"/>
    <w:rsid w:val="579254BE"/>
    <w:rsid w:val="5796F94B"/>
    <w:rsid w:val="579A50FC"/>
    <w:rsid w:val="579E1835"/>
    <w:rsid w:val="57A2274C"/>
    <w:rsid w:val="57A5182E"/>
    <w:rsid w:val="57ABB93F"/>
    <w:rsid w:val="57AC34E7"/>
    <w:rsid w:val="57C69953"/>
    <w:rsid w:val="57CD95AD"/>
    <w:rsid w:val="57D47C34"/>
    <w:rsid w:val="57D80C8D"/>
    <w:rsid w:val="57DE8779"/>
    <w:rsid w:val="57E16C62"/>
    <w:rsid w:val="57E3797A"/>
    <w:rsid w:val="57EA3EE9"/>
    <w:rsid w:val="57EC334A"/>
    <w:rsid w:val="57F1207F"/>
    <w:rsid w:val="57F46797"/>
    <w:rsid w:val="57F7CAD6"/>
    <w:rsid w:val="57F952B3"/>
    <w:rsid w:val="58006A12"/>
    <w:rsid w:val="58022DE7"/>
    <w:rsid w:val="58046F8D"/>
    <w:rsid w:val="580AA50A"/>
    <w:rsid w:val="580AC791"/>
    <w:rsid w:val="580E7AFB"/>
    <w:rsid w:val="581232A5"/>
    <w:rsid w:val="581572EC"/>
    <w:rsid w:val="58202CA0"/>
    <w:rsid w:val="58232EF3"/>
    <w:rsid w:val="582346D5"/>
    <w:rsid w:val="582C3A07"/>
    <w:rsid w:val="582C5E9C"/>
    <w:rsid w:val="582D6CDE"/>
    <w:rsid w:val="5833E8B9"/>
    <w:rsid w:val="583958B3"/>
    <w:rsid w:val="583D704B"/>
    <w:rsid w:val="583E4494"/>
    <w:rsid w:val="58435388"/>
    <w:rsid w:val="584F1BCC"/>
    <w:rsid w:val="58516CB3"/>
    <w:rsid w:val="585288DA"/>
    <w:rsid w:val="5856FB93"/>
    <w:rsid w:val="586077C1"/>
    <w:rsid w:val="5863B879"/>
    <w:rsid w:val="5866E846"/>
    <w:rsid w:val="586BCE70"/>
    <w:rsid w:val="586CE763"/>
    <w:rsid w:val="587909F9"/>
    <w:rsid w:val="58836E66"/>
    <w:rsid w:val="58871072"/>
    <w:rsid w:val="58876323"/>
    <w:rsid w:val="58877FDD"/>
    <w:rsid w:val="588C90C5"/>
    <w:rsid w:val="588F2261"/>
    <w:rsid w:val="58931435"/>
    <w:rsid w:val="58A08733"/>
    <w:rsid w:val="58A0BC5B"/>
    <w:rsid w:val="58AB0CB8"/>
    <w:rsid w:val="58ABBED0"/>
    <w:rsid w:val="58B0FE48"/>
    <w:rsid w:val="58B326CF"/>
    <w:rsid w:val="58B8DC58"/>
    <w:rsid w:val="58BA5FDF"/>
    <w:rsid w:val="58BAB08B"/>
    <w:rsid w:val="58C302B8"/>
    <w:rsid w:val="58C72A4B"/>
    <w:rsid w:val="58C9B20E"/>
    <w:rsid w:val="58D1BA14"/>
    <w:rsid w:val="58DBC43B"/>
    <w:rsid w:val="58E3F3A9"/>
    <w:rsid w:val="58E4A3AE"/>
    <w:rsid w:val="58E6A7B1"/>
    <w:rsid w:val="58F2B926"/>
    <w:rsid w:val="58F95BD2"/>
    <w:rsid w:val="58F98FBF"/>
    <w:rsid w:val="58FA9162"/>
    <w:rsid w:val="58FCAB61"/>
    <w:rsid w:val="58FDED55"/>
    <w:rsid w:val="590924D1"/>
    <w:rsid w:val="590A62CF"/>
    <w:rsid w:val="590E5EDE"/>
    <w:rsid w:val="590FF9E1"/>
    <w:rsid w:val="5910DA79"/>
    <w:rsid w:val="59183FA8"/>
    <w:rsid w:val="591CB94A"/>
    <w:rsid w:val="5925A99A"/>
    <w:rsid w:val="593710FC"/>
    <w:rsid w:val="593757E5"/>
    <w:rsid w:val="593F964A"/>
    <w:rsid w:val="5943E7C5"/>
    <w:rsid w:val="594453D9"/>
    <w:rsid w:val="5947A8F1"/>
    <w:rsid w:val="594A3B6B"/>
    <w:rsid w:val="594EEAE9"/>
    <w:rsid w:val="5951C416"/>
    <w:rsid w:val="595216ED"/>
    <w:rsid w:val="595CA879"/>
    <w:rsid w:val="595FA1F0"/>
    <w:rsid w:val="59650423"/>
    <w:rsid w:val="59683A71"/>
    <w:rsid w:val="5969378E"/>
    <w:rsid w:val="596C9006"/>
    <w:rsid w:val="596F2B1A"/>
    <w:rsid w:val="5975902A"/>
    <w:rsid w:val="59788CCA"/>
    <w:rsid w:val="59790BFD"/>
    <w:rsid w:val="5979F960"/>
    <w:rsid w:val="597B36E9"/>
    <w:rsid w:val="597B6874"/>
    <w:rsid w:val="597FB825"/>
    <w:rsid w:val="5981CAD3"/>
    <w:rsid w:val="598945D1"/>
    <w:rsid w:val="59923152"/>
    <w:rsid w:val="59A02B2F"/>
    <w:rsid w:val="59A19C48"/>
    <w:rsid w:val="59AA564B"/>
    <w:rsid w:val="59AC7384"/>
    <w:rsid w:val="59ACBA4F"/>
    <w:rsid w:val="59AF119F"/>
    <w:rsid w:val="59B1830E"/>
    <w:rsid w:val="59B377D9"/>
    <w:rsid w:val="59B3B5BF"/>
    <w:rsid w:val="59B3FE46"/>
    <w:rsid w:val="59C455ED"/>
    <w:rsid w:val="59C96BE0"/>
    <w:rsid w:val="59CA6425"/>
    <w:rsid w:val="59CB4F22"/>
    <w:rsid w:val="59CC5A77"/>
    <w:rsid w:val="59CFF35B"/>
    <w:rsid w:val="59D0DB47"/>
    <w:rsid w:val="59D38BE6"/>
    <w:rsid w:val="59D7E056"/>
    <w:rsid w:val="59D8DD00"/>
    <w:rsid w:val="59DECB49"/>
    <w:rsid w:val="59E3C704"/>
    <w:rsid w:val="59E40AD9"/>
    <w:rsid w:val="59ED07FC"/>
    <w:rsid w:val="59EED42C"/>
    <w:rsid w:val="59EEE66D"/>
    <w:rsid w:val="59F0DC06"/>
    <w:rsid w:val="59F5C3CA"/>
    <w:rsid w:val="59F85549"/>
    <w:rsid w:val="59FCEC20"/>
    <w:rsid w:val="59FFC0FD"/>
    <w:rsid w:val="5A045F90"/>
    <w:rsid w:val="5A065A46"/>
    <w:rsid w:val="5A0996B1"/>
    <w:rsid w:val="5A0C0C03"/>
    <w:rsid w:val="5A0E557D"/>
    <w:rsid w:val="5A0EEAF3"/>
    <w:rsid w:val="5A100A5D"/>
    <w:rsid w:val="5A13A876"/>
    <w:rsid w:val="5A2195E9"/>
    <w:rsid w:val="5A23007E"/>
    <w:rsid w:val="5A23116D"/>
    <w:rsid w:val="5A280EBE"/>
    <w:rsid w:val="5A2A9368"/>
    <w:rsid w:val="5A2EFE10"/>
    <w:rsid w:val="5A3279B1"/>
    <w:rsid w:val="5A39D897"/>
    <w:rsid w:val="5A3CC2E4"/>
    <w:rsid w:val="5A3D00B7"/>
    <w:rsid w:val="5A433BFC"/>
    <w:rsid w:val="5A45931C"/>
    <w:rsid w:val="5A53A50C"/>
    <w:rsid w:val="5A53E4DC"/>
    <w:rsid w:val="5A54301B"/>
    <w:rsid w:val="5A546576"/>
    <w:rsid w:val="5A691ACA"/>
    <w:rsid w:val="5A6D7E3A"/>
    <w:rsid w:val="5A6FBDAB"/>
    <w:rsid w:val="5A73B785"/>
    <w:rsid w:val="5A7E9283"/>
    <w:rsid w:val="5A7F8853"/>
    <w:rsid w:val="5A830709"/>
    <w:rsid w:val="5A880CAB"/>
    <w:rsid w:val="5A8ADAAC"/>
    <w:rsid w:val="5AA74290"/>
    <w:rsid w:val="5AA9F1D6"/>
    <w:rsid w:val="5AB6783E"/>
    <w:rsid w:val="5ABA3F86"/>
    <w:rsid w:val="5ABB8D97"/>
    <w:rsid w:val="5AC27955"/>
    <w:rsid w:val="5AC2B398"/>
    <w:rsid w:val="5AC483E6"/>
    <w:rsid w:val="5AC905B4"/>
    <w:rsid w:val="5ACD4E17"/>
    <w:rsid w:val="5ACF14EA"/>
    <w:rsid w:val="5AE0F28B"/>
    <w:rsid w:val="5AE17B9B"/>
    <w:rsid w:val="5AE8E379"/>
    <w:rsid w:val="5AF1D9B8"/>
    <w:rsid w:val="5AF4A991"/>
    <w:rsid w:val="5AF67F9E"/>
    <w:rsid w:val="5AF6C2FB"/>
    <w:rsid w:val="5AFC5D81"/>
    <w:rsid w:val="5AFCC320"/>
    <w:rsid w:val="5AFF5BFA"/>
    <w:rsid w:val="5B00733D"/>
    <w:rsid w:val="5B02B9CE"/>
    <w:rsid w:val="5B0418E9"/>
    <w:rsid w:val="5B0D1BF4"/>
    <w:rsid w:val="5B0D210D"/>
    <w:rsid w:val="5B0E2851"/>
    <w:rsid w:val="5B1DF8B7"/>
    <w:rsid w:val="5B200173"/>
    <w:rsid w:val="5B225778"/>
    <w:rsid w:val="5B2326D4"/>
    <w:rsid w:val="5B2E01A6"/>
    <w:rsid w:val="5B2E9840"/>
    <w:rsid w:val="5B376534"/>
    <w:rsid w:val="5B3C94A6"/>
    <w:rsid w:val="5B43DBC0"/>
    <w:rsid w:val="5B54C466"/>
    <w:rsid w:val="5B582D23"/>
    <w:rsid w:val="5B6B9D1C"/>
    <w:rsid w:val="5B74BA55"/>
    <w:rsid w:val="5B773CA5"/>
    <w:rsid w:val="5B7E9A6F"/>
    <w:rsid w:val="5B8912CB"/>
    <w:rsid w:val="5B8A8A70"/>
    <w:rsid w:val="5B99515C"/>
    <w:rsid w:val="5B9F157E"/>
    <w:rsid w:val="5BA55F32"/>
    <w:rsid w:val="5BADD6DB"/>
    <w:rsid w:val="5BB1B868"/>
    <w:rsid w:val="5BB7580C"/>
    <w:rsid w:val="5BB92F45"/>
    <w:rsid w:val="5BBA7543"/>
    <w:rsid w:val="5BC1CFC1"/>
    <w:rsid w:val="5BC22691"/>
    <w:rsid w:val="5BC3FD9D"/>
    <w:rsid w:val="5BC6516B"/>
    <w:rsid w:val="5BC6B93A"/>
    <w:rsid w:val="5BC7B568"/>
    <w:rsid w:val="5BCA3489"/>
    <w:rsid w:val="5BCC3F50"/>
    <w:rsid w:val="5BCE218A"/>
    <w:rsid w:val="5BD165DE"/>
    <w:rsid w:val="5BD5CAAD"/>
    <w:rsid w:val="5BDD2975"/>
    <w:rsid w:val="5BE6E205"/>
    <w:rsid w:val="5BEA5FED"/>
    <w:rsid w:val="5BECC720"/>
    <w:rsid w:val="5BF2AEA1"/>
    <w:rsid w:val="5BF6009F"/>
    <w:rsid w:val="5BFAA37A"/>
    <w:rsid w:val="5BFDAEB2"/>
    <w:rsid w:val="5C007064"/>
    <w:rsid w:val="5C038A65"/>
    <w:rsid w:val="5C108A5C"/>
    <w:rsid w:val="5C16A067"/>
    <w:rsid w:val="5C22DD8D"/>
    <w:rsid w:val="5C25A7C3"/>
    <w:rsid w:val="5C25E327"/>
    <w:rsid w:val="5C271FD9"/>
    <w:rsid w:val="5C29B71B"/>
    <w:rsid w:val="5C2A7C07"/>
    <w:rsid w:val="5C33A828"/>
    <w:rsid w:val="5C3B3B61"/>
    <w:rsid w:val="5C3E740C"/>
    <w:rsid w:val="5C408328"/>
    <w:rsid w:val="5C419EEA"/>
    <w:rsid w:val="5C43935B"/>
    <w:rsid w:val="5C46B82E"/>
    <w:rsid w:val="5C4915C4"/>
    <w:rsid w:val="5C49A845"/>
    <w:rsid w:val="5C58750E"/>
    <w:rsid w:val="5C5AEA20"/>
    <w:rsid w:val="5C774084"/>
    <w:rsid w:val="5C774BCF"/>
    <w:rsid w:val="5C7C3A66"/>
    <w:rsid w:val="5C7FD1BE"/>
    <w:rsid w:val="5C801925"/>
    <w:rsid w:val="5C84F685"/>
    <w:rsid w:val="5C89425D"/>
    <w:rsid w:val="5C925FC6"/>
    <w:rsid w:val="5C982E43"/>
    <w:rsid w:val="5C9899FE"/>
    <w:rsid w:val="5C9DB600"/>
    <w:rsid w:val="5CA05130"/>
    <w:rsid w:val="5CAB8946"/>
    <w:rsid w:val="5CAC7A06"/>
    <w:rsid w:val="5CAD2B6A"/>
    <w:rsid w:val="5CB0B39F"/>
    <w:rsid w:val="5CB2BCCF"/>
    <w:rsid w:val="5CB65F75"/>
    <w:rsid w:val="5CB6FCC3"/>
    <w:rsid w:val="5CB8A757"/>
    <w:rsid w:val="5CBA1CE3"/>
    <w:rsid w:val="5CBC9230"/>
    <w:rsid w:val="5CBE6CD2"/>
    <w:rsid w:val="5CBFC57B"/>
    <w:rsid w:val="5CC42BBC"/>
    <w:rsid w:val="5CC898FC"/>
    <w:rsid w:val="5CC9D76C"/>
    <w:rsid w:val="5CCEE5CC"/>
    <w:rsid w:val="5CD2D1E5"/>
    <w:rsid w:val="5CD57A27"/>
    <w:rsid w:val="5CDBA5EB"/>
    <w:rsid w:val="5CDF8F39"/>
    <w:rsid w:val="5CE5190B"/>
    <w:rsid w:val="5CE57CC8"/>
    <w:rsid w:val="5CEB3020"/>
    <w:rsid w:val="5CED6142"/>
    <w:rsid w:val="5CEE339C"/>
    <w:rsid w:val="5CF0049C"/>
    <w:rsid w:val="5CF40FE4"/>
    <w:rsid w:val="5CF7D32F"/>
    <w:rsid w:val="5CF8C95C"/>
    <w:rsid w:val="5CF8DC17"/>
    <w:rsid w:val="5CF918FA"/>
    <w:rsid w:val="5D05F3FD"/>
    <w:rsid w:val="5D07DD32"/>
    <w:rsid w:val="5D09677A"/>
    <w:rsid w:val="5D09E20A"/>
    <w:rsid w:val="5D0C54D7"/>
    <w:rsid w:val="5D0E8212"/>
    <w:rsid w:val="5D0EFCD7"/>
    <w:rsid w:val="5D142D4C"/>
    <w:rsid w:val="5D182A56"/>
    <w:rsid w:val="5D1FBBFE"/>
    <w:rsid w:val="5D20A566"/>
    <w:rsid w:val="5D23FC4F"/>
    <w:rsid w:val="5D26EAEF"/>
    <w:rsid w:val="5D2A56C6"/>
    <w:rsid w:val="5D2A7FFA"/>
    <w:rsid w:val="5D2E0D2D"/>
    <w:rsid w:val="5D2E3A0E"/>
    <w:rsid w:val="5D2F88FC"/>
    <w:rsid w:val="5D38A527"/>
    <w:rsid w:val="5D3D02B5"/>
    <w:rsid w:val="5D44A37B"/>
    <w:rsid w:val="5D47F680"/>
    <w:rsid w:val="5D499E81"/>
    <w:rsid w:val="5D5923AF"/>
    <w:rsid w:val="5D5C9388"/>
    <w:rsid w:val="5D5DB6FF"/>
    <w:rsid w:val="5D5FA3C0"/>
    <w:rsid w:val="5D67DE0A"/>
    <w:rsid w:val="5D681643"/>
    <w:rsid w:val="5D6BD715"/>
    <w:rsid w:val="5D6C2AAA"/>
    <w:rsid w:val="5D6DACD1"/>
    <w:rsid w:val="5D744E7E"/>
    <w:rsid w:val="5D7FF20F"/>
    <w:rsid w:val="5D8245F4"/>
    <w:rsid w:val="5D826E69"/>
    <w:rsid w:val="5D8987A5"/>
    <w:rsid w:val="5D8C039F"/>
    <w:rsid w:val="5D905122"/>
    <w:rsid w:val="5D93E60E"/>
    <w:rsid w:val="5DA0DB86"/>
    <w:rsid w:val="5DA5C06A"/>
    <w:rsid w:val="5DAD5A5F"/>
    <w:rsid w:val="5DADFD88"/>
    <w:rsid w:val="5DB2FF90"/>
    <w:rsid w:val="5DBD57D6"/>
    <w:rsid w:val="5DBE9B23"/>
    <w:rsid w:val="5DBEF911"/>
    <w:rsid w:val="5DC828E2"/>
    <w:rsid w:val="5DCA7C14"/>
    <w:rsid w:val="5DCD875F"/>
    <w:rsid w:val="5DCE8CF3"/>
    <w:rsid w:val="5DD06E18"/>
    <w:rsid w:val="5DD0DD4C"/>
    <w:rsid w:val="5DD15A6E"/>
    <w:rsid w:val="5DD2FDB6"/>
    <w:rsid w:val="5DD3534C"/>
    <w:rsid w:val="5DD64B31"/>
    <w:rsid w:val="5DD9F2C5"/>
    <w:rsid w:val="5DECEDA2"/>
    <w:rsid w:val="5DF37D33"/>
    <w:rsid w:val="5DF57441"/>
    <w:rsid w:val="5DF8CBA4"/>
    <w:rsid w:val="5DFCB70E"/>
    <w:rsid w:val="5E028C83"/>
    <w:rsid w:val="5E02B3EE"/>
    <w:rsid w:val="5E04F352"/>
    <w:rsid w:val="5E0B0B7C"/>
    <w:rsid w:val="5E0B10FB"/>
    <w:rsid w:val="5E0F8D2F"/>
    <w:rsid w:val="5E1289CE"/>
    <w:rsid w:val="5E1336CF"/>
    <w:rsid w:val="5E15DE5A"/>
    <w:rsid w:val="5E230959"/>
    <w:rsid w:val="5E236AD6"/>
    <w:rsid w:val="5E23C14E"/>
    <w:rsid w:val="5E2653B5"/>
    <w:rsid w:val="5E26DC10"/>
    <w:rsid w:val="5E2973A3"/>
    <w:rsid w:val="5E298345"/>
    <w:rsid w:val="5E2BEA57"/>
    <w:rsid w:val="5E2EC0B9"/>
    <w:rsid w:val="5E301E20"/>
    <w:rsid w:val="5E32F3FE"/>
    <w:rsid w:val="5E360DEA"/>
    <w:rsid w:val="5E38D5A6"/>
    <w:rsid w:val="5E392872"/>
    <w:rsid w:val="5E4405BD"/>
    <w:rsid w:val="5E4626F5"/>
    <w:rsid w:val="5E4756BC"/>
    <w:rsid w:val="5E4AB61A"/>
    <w:rsid w:val="5E528AEA"/>
    <w:rsid w:val="5E5950CD"/>
    <w:rsid w:val="5E5F5032"/>
    <w:rsid w:val="5E61B56D"/>
    <w:rsid w:val="5E6B320E"/>
    <w:rsid w:val="5E71C4DE"/>
    <w:rsid w:val="5E759420"/>
    <w:rsid w:val="5E77F854"/>
    <w:rsid w:val="5E84719D"/>
    <w:rsid w:val="5E87079B"/>
    <w:rsid w:val="5E8FD86A"/>
    <w:rsid w:val="5E91E243"/>
    <w:rsid w:val="5E9F6E64"/>
    <w:rsid w:val="5EA0FC8F"/>
    <w:rsid w:val="5EA18E33"/>
    <w:rsid w:val="5EA223D9"/>
    <w:rsid w:val="5EA70E1C"/>
    <w:rsid w:val="5EA74E91"/>
    <w:rsid w:val="5EA7B804"/>
    <w:rsid w:val="5EB1BB48"/>
    <w:rsid w:val="5EB2ECBA"/>
    <w:rsid w:val="5EBA2C84"/>
    <w:rsid w:val="5EBB3932"/>
    <w:rsid w:val="5EBFCC8E"/>
    <w:rsid w:val="5EC06A3F"/>
    <w:rsid w:val="5EC1BCD4"/>
    <w:rsid w:val="5EC2454F"/>
    <w:rsid w:val="5EC27149"/>
    <w:rsid w:val="5EDEDAC0"/>
    <w:rsid w:val="5EEB727C"/>
    <w:rsid w:val="5EED01A8"/>
    <w:rsid w:val="5EEEEAF6"/>
    <w:rsid w:val="5EF4B61F"/>
    <w:rsid w:val="5F06C0FF"/>
    <w:rsid w:val="5F0FC9B9"/>
    <w:rsid w:val="5F159034"/>
    <w:rsid w:val="5F193857"/>
    <w:rsid w:val="5F20134D"/>
    <w:rsid w:val="5F21367F"/>
    <w:rsid w:val="5F2394CC"/>
    <w:rsid w:val="5F288B9E"/>
    <w:rsid w:val="5F316AFA"/>
    <w:rsid w:val="5F356BA6"/>
    <w:rsid w:val="5F425A35"/>
    <w:rsid w:val="5F428929"/>
    <w:rsid w:val="5F4E0058"/>
    <w:rsid w:val="5F4F7792"/>
    <w:rsid w:val="5F4FE318"/>
    <w:rsid w:val="5F52197F"/>
    <w:rsid w:val="5F52867D"/>
    <w:rsid w:val="5F54B06C"/>
    <w:rsid w:val="5F55A000"/>
    <w:rsid w:val="5F560259"/>
    <w:rsid w:val="5F56782C"/>
    <w:rsid w:val="5F56BE6B"/>
    <w:rsid w:val="5F64E60E"/>
    <w:rsid w:val="5F731336"/>
    <w:rsid w:val="5F77CDFB"/>
    <w:rsid w:val="5F834614"/>
    <w:rsid w:val="5F8769CC"/>
    <w:rsid w:val="5F89C178"/>
    <w:rsid w:val="5F8B837A"/>
    <w:rsid w:val="5F8C5348"/>
    <w:rsid w:val="5F903DC1"/>
    <w:rsid w:val="5F9100C3"/>
    <w:rsid w:val="5F950B37"/>
    <w:rsid w:val="5F965AEA"/>
    <w:rsid w:val="5F9EE4C5"/>
    <w:rsid w:val="5F9F8B76"/>
    <w:rsid w:val="5FA230CC"/>
    <w:rsid w:val="5FA2AF3D"/>
    <w:rsid w:val="5FABF4D5"/>
    <w:rsid w:val="5FAD9138"/>
    <w:rsid w:val="5FB0BDAC"/>
    <w:rsid w:val="5FB24B1A"/>
    <w:rsid w:val="5FB7C0C9"/>
    <w:rsid w:val="5FBBF8D5"/>
    <w:rsid w:val="5FBCF2D2"/>
    <w:rsid w:val="5FC36078"/>
    <w:rsid w:val="5FC465F3"/>
    <w:rsid w:val="5FCCCDA0"/>
    <w:rsid w:val="5FD2F3A1"/>
    <w:rsid w:val="5FD5391D"/>
    <w:rsid w:val="5FE851B6"/>
    <w:rsid w:val="5FECC673"/>
    <w:rsid w:val="5FEDE5A5"/>
    <w:rsid w:val="5FEE529F"/>
    <w:rsid w:val="5FF73E75"/>
    <w:rsid w:val="5FF93F1C"/>
    <w:rsid w:val="5FFA14AC"/>
    <w:rsid w:val="5FFD4D16"/>
    <w:rsid w:val="5FFED9DF"/>
    <w:rsid w:val="60017E67"/>
    <w:rsid w:val="600208E5"/>
    <w:rsid w:val="60083CE9"/>
    <w:rsid w:val="6009EB25"/>
    <w:rsid w:val="600BEEDE"/>
    <w:rsid w:val="601DB6D6"/>
    <w:rsid w:val="602134DC"/>
    <w:rsid w:val="60246CC8"/>
    <w:rsid w:val="6028F9C6"/>
    <w:rsid w:val="602F0EB9"/>
    <w:rsid w:val="60314C94"/>
    <w:rsid w:val="603B6F77"/>
    <w:rsid w:val="603B7167"/>
    <w:rsid w:val="604052DD"/>
    <w:rsid w:val="6044EF20"/>
    <w:rsid w:val="60450823"/>
    <w:rsid w:val="60474995"/>
    <w:rsid w:val="60474A8A"/>
    <w:rsid w:val="60495F87"/>
    <w:rsid w:val="604B3F5F"/>
    <w:rsid w:val="604C8F8A"/>
    <w:rsid w:val="604EB202"/>
    <w:rsid w:val="605574D4"/>
    <w:rsid w:val="605909A1"/>
    <w:rsid w:val="6059C09D"/>
    <w:rsid w:val="605CDF16"/>
    <w:rsid w:val="606458A8"/>
    <w:rsid w:val="6065A70C"/>
    <w:rsid w:val="60693027"/>
    <w:rsid w:val="606D2961"/>
    <w:rsid w:val="60710886"/>
    <w:rsid w:val="608C3CD1"/>
    <w:rsid w:val="608F6C14"/>
    <w:rsid w:val="609141D7"/>
    <w:rsid w:val="60951FAE"/>
    <w:rsid w:val="609AAAC7"/>
    <w:rsid w:val="60A700F7"/>
    <w:rsid w:val="60A9765E"/>
    <w:rsid w:val="60B796B2"/>
    <w:rsid w:val="60B9B19D"/>
    <w:rsid w:val="60BAB816"/>
    <w:rsid w:val="60BD57A6"/>
    <w:rsid w:val="60CCDAD0"/>
    <w:rsid w:val="60DA63E6"/>
    <w:rsid w:val="60DA744A"/>
    <w:rsid w:val="60DAB4F7"/>
    <w:rsid w:val="60DFBB6B"/>
    <w:rsid w:val="60E00C86"/>
    <w:rsid w:val="60E36AED"/>
    <w:rsid w:val="60E3E588"/>
    <w:rsid w:val="60E4F6CC"/>
    <w:rsid w:val="60EAD8D3"/>
    <w:rsid w:val="60F28947"/>
    <w:rsid w:val="60FADF4D"/>
    <w:rsid w:val="60FC0A91"/>
    <w:rsid w:val="60FCBDCD"/>
    <w:rsid w:val="6101760B"/>
    <w:rsid w:val="6109B3EC"/>
    <w:rsid w:val="610ADECC"/>
    <w:rsid w:val="610D6330"/>
    <w:rsid w:val="610E22CA"/>
    <w:rsid w:val="6114D4D0"/>
    <w:rsid w:val="611603C0"/>
    <w:rsid w:val="6117B1E1"/>
    <w:rsid w:val="61189BE2"/>
    <w:rsid w:val="611A6CE2"/>
    <w:rsid w:val="611C5946"/>
    <w:rsid w:val="611CD9A3"/>
    <w:rsid w:val="611EFD33"/>
    <w:rsid w:val="612191BA"/>
    <w:rsid w:val="6121EF41"/>
    <w:rsid w:val="612CF9EC"/>
    <w:rsid w:val="61309B8A"/>
    <w:rsid w:val="613BB26A"/>
    <w:rsid w:val="6141B09C"/>
    <w:rsid w:val="6145EC52"/>
    <w:rsid w:val="614FE78A"/>
    <w:rsid w:val="6151D2C7"/>
    <w:rsid w:val="615222D1"/>
    <w:rsid w:val="6154BDAC"/>
    <w:rsid w:val="6156EB8F"/>
    <w:rsid w:val="615E5F8E"/>
    <w:rsid w:val="6160D28B"/>
    <w:rsid w:val="6160FD42"/>
    <w:rsid w:val="6162270E"/>
    <w:rsid w:val="61634DD2"/>
    <w:rsid w:val="616391B6"/>
    <w:rsid w:val="6167985D"/>
    <w:rsid w:val="616A74F2"/>
    <w:rsid w:val="61802CF5"/>
    <w:rsid w:val="6181C479"/>
    <w:rsid w:val="619F1465"/>
    <w:rsid w:val="61A0DC2D"/>
    <w:rsid w:val="61A57F43"/>
    <w:rsid w:val="61A7C0AC"/>
    <w:rsid w:val="61ADA623"/>
    <w:rsid w:val="61AEAFC3"/>
    <w:rsid w:val="61BB6D67"/>
    <w:rsid w:val="61C1EDE5"/>
    <w:rsid w:val="61C86F69"/>
    <w:rsid w:val="61C8FBBD"/>
    <w:rsid w:val="61CCBCEF"/>
    <w:rsid w:val="61CE6BB9"/>
    <w:rsid w:val="61D2AB06"/>
    <w:rsid w:val="61DCB479"/>
    <w:rsid w:val="61DE9257"/>
    <w:rsid w:val="61DF5FA8"/>
    <w:rsid w:val="61E72624"/>
    <w:rsid w:val="61E93758"/>
    <w:rsid w:val="61E9E211"/>
    <w:rsid w:val="61F303A7"/>
    <w:rsid w:val="61F93CDD"/>
    <w:rsid w:val="6201819B"/>
    <w:rsid w:val="620D5E09"/>
    <w:rsid w:val="6217BB9E"/>
    <w:rsid w:val="6217E801"/>
    <w:rsid w:val="622F2157"/>
    <w:rsid w:val="62369DF4"/>
    <w:rsid w:val="623CD41C"/>
    <w:rsid w:val="623DA95E"/>
    <w:rsid w:val="6245177B"/>
    <w:rsid w:val="62457D84"/>
    <w:rsid w:val="6245825A"/>
    <w:rsid w:val="6245CC40"/>
    <w:rsid w:val="624C9F0A"/>
    <w:rsid w:val="62507F0E"/>
    <w:rsid w:val="62508F98"/>
    <w:rsid w:val="625337EE"/>
    <w:rsid w:val="62570139"/>
    <w:rsid w:val="62587C7F"/>
    <w:rsid w:val="625FBDEE"/>
    <w:rsid w:val="62646C8B"/>
    <w:rsid w:val="62662A84"/>
    <w:rsid w:val="626A0E3E"/>
    <w:rsid w:val="626FC15F"/>
    <w:rsid w:val="6274FF75"/>
    <w:rsid w:val="62773914"/>
    <w:rsid w:val="6277C0DF"/>
    <w:rsid w:val="627D557C"/>
    <w:rsid w:val="627E4CDF"/>
    <w:rsid w:val="6283F028"/>
    <w:rsid w:val="6285B9CB"/>
    <w:rsid w:val="62867F53"/>
    <w:rsid w:val="6286AE60"/>
    <w:rsid w:val="628AF055"/>
    <w:rsid w:val="628CE518"/>
    <w:rsid w:val="6293365A"/>
    <w:rsid w:val="62968160"/>
    <w:rsid w:val="62990AD5"/>
    <w:rsid w:val="6299FFF0"/>
    <w:rsid w:val="629BDFC3"/>
    <w:rsid w:val="62A08797"/>
    <w:rsid w:val="62A36292"/>
    <w:rsid w:val="62A6642D"/>
    <w:rsid w:val="62AB878F"/>
    <w:rsid w:val="62B2864D"/>
    <w:rsid w:val="62BCA1DE"/>
    <w:rsid w:val="62BFB6EA"/>
    <w:rsid w:val="62C71F3B"/>
    <w:rsid w:val="62C86373"/>
    <w:rsid w:val="62CB2BD4"/>
    <w:rsid w:val="62CC3187"/>
    <w:rsid w:val="62CE22AE"/>
    <w:rsid w:val="62CEFFFE"/>
    <w:rsid w:val="62D7AE42"/>
    <w:rsid w:val="62D7F6DF"/>
    <w:rsid w:val="62D879AB"/>
    <w:rsid w:val="62DB3254"/>
    <w:rsid w:val="62DC240A"/>
    <w:rsid w:val="62DD8EA3"/>
    <w:rsid w:val="62DFFF61"/>
    <w:rsid w:val="62E45AB8"/>
    <w:rsid w:val="62E78B8B"/>
    <w:rsid w:val="62E9D231"/>
    <w:rsid w:val="62EC6845"/>
    <w:rsid w:val="62ED03E3"/>
    <w:rsid w:val="62F1C181"/>
    <w:rsid w:val="62F233B2"/>
    <w:rsid w:val="62F41C57"/>
    <w:rsid w:val="62F4649D"/>
    <w:rsid w:val="6302B3E4"/>
    <w:rsid w:val="63084B32"/>
    <w:rsid w:val="630C85C0"/>
    <w:rsid w:val="630DEF32"/>
    <w:rsid w:val="63149A0C"/>
    <w:rsid w:val="63175E82"/>
    <w:rsid w:val="631BE242"/>
    <w:rsid w:val="63286B0D"/>
    <w:rsid w:val="633023DE"/>
    <w:rsid w:val="6333456D"/>
    <w:rsid w:val="6335869D"/>
    <w:rsid w:val="633ADD44"/>
    <w:rsid w:val="6345562D"/>
    <w:rsid w:val="63456D00"/>
    <w:rsid w:val="6349D5FF"/>
    <w:rsid w:val="634F8DAE"/>
    <w:rsid w:val="6350328B"/>
    <w:rsid w:val="6351A63E"/>
    <w:rsid w:val="63630379"/>
    <w:rsid w:val="636336A1"/>
    <w:rsid w:val="6364152F"/>
    <w:rsid w:val="6365D22A"/>
    <w:rsid w:val="63675153"/>
    <w:rsid w:val="6375630D"/>
    <w:rsid w:val="63798944"/>
    <w:rsid w:val="637AA0B3"/>
    <w:rsid w:val="637EC29C"/>
    <w:rsid w:val="637FA2DB"/>
    <w:rsid w:val="63805633"/>
    <w:rsid w:val="6381D318"/>
    <w:rsid w:val="638CBD22"/>
    <w:rsid w:val="639BB525"/>
    <w:rsid w:val="639C795A"/>
    <w:rsid w:val="639F2B0E"/>
    <w:rsid w:val="63A26F85"/>
    <w:rsid w:val="63A772E5"/>
    <w:rsid w:val="63A788BE"/>
    <w:rsid w:val="63A7D9D0"/>
    <w:rsid w:val="63ADCD24"/>
    <w:rsid w:val="63B987D3"/>
    <w:rsid w:val="63BF8F48"/>
    <w:rsid w:val="63C08546"/>
    <w:rsid w:val="63D11C73"/>
    <w:rsid w:val="63D45AAB"/>
    <w:rsid w:val="63D5CFA1"/>
    <w:rsid w:val="63D73839"/>
    <w:rsid w:val="63D78378"/>
    <w:rsid w:val="63DA14F6"/>
    <w:rsid w:val="63DB643E"/>
    <w:rsid w:val="63DC4D9A"/>
    <w:rsid w:val="63E154D9"/>
    <w:rsid w:val="63E7C3CB"/>
    <w:rsid w:val="63F013D3"/>
    <w:rsid w:val="63F47352"/>
    <w:rsid w:val="63F557CD"/>
    <w:rsid w:val="63F63771"/>
    <w:rsid w:val="63FD37B9"/>
    <w:rsid w:val="63FF6999"/>
    <w:rsid w:val="640C9A20"/>
    <w:rsid w:val="640DEB23"/>
    <w:rsid w:val="64126374"/>
    <w:rsid w:val="6417243A"/>
    <w:rsid w:val="6418F102"/>
    <w:rsid w:val="6422328B"/>
    <w:rsid w:val="642472C6"/>
    <w:rsid w:val="642829AE"/>
    <w:rsid w:val="64313E9C"/>
    <w:rsid w:val="64387741"/>
    <w:rsid w:val="64393154"/>
    <w:rsid w:val="643B0762"/>
    <w:rsid w:val="643C4328"/>
    <w:rsid w:val="6448E06B"/>
    <w:rsid w:val="644C1957"/>
    <w:rsid w:val="644DADAC"/>
    <w:rsid w:val="64532D97"/>
    <w:rsid w:val="6454C957"/>
    <w:rsid w:val="645A6A24"/>
    <w:rsid w:val="645B874B"/>
    <w:rsid w:val="6466A9DE"/>
    <w:rsid w:val="646796FF"/>
    <w:rsid w:val="646ADA47"/>
    <w:rsid w:val="646D76CF"/>
    <w:rsid w:val="6470E5B2"/>
    <w:rsid w:val="64731F0E"/>
    <w:rsid w:val="64737752"/>
    <w:rsid w:val="6473E469"/>
    <w:rsid w:val="64767984"/>
    <w:rsid w:val="64770AC0"/>
    <w:rsid w:val="647B0115"/>
    <w:rsid w:val="647EB226"/>
    <w:rsid w:val="6483AA17"/>
    <w:rsid w:val="6485CB33"/>
    <w:rsid w:val="648A1C87"/>
    <w:rsid w:val="6490AAA4"/>
    <w:rsid w:val="6491D22D"/>
    <w:rsid w:val="64A09E23"/>
    <w:rsid w:val="64A2457F"/>
    <w:rsid w:val="64A820C2"/>
    <w:rsid w:val="64A8B965"/>
    <w:rsid w:val="64B8D799"/>
    <w:rsid w:val="64BCDCA7"/>
    <w:rsid w:val="64BDE256"/>
    <w:rsid w:val="64C3C0C2"/>
    <w:rsid w:val="64C47154"/>
    <w:rsid w:val="64CAD6AF"/>
    <w:rsid w:val="64D9B0D2"/>
    <w:rsid w:val="64DC57BD"/>
    <w:rsid w:val="64E0A3E4"/>
    <w:rsid w:val="64E3E7E8"/>
    <w:rsid w:val="64E7A330"/>
    <w:rsid w:val="64E81540"/>
    <w:rsid w:val="64E99CA1"/>
    <w:rsid w:val="64EC5C0C"/>
    <w:rsid w:val="64EDCDD1"/>
    <w:rsid w:val="64FB8F54"/>
    <w:rsid w:val="650183C6"/>
    <w:rsid w:val="6504BF3D"/>
    <w:rsid w:val="65076E3C"/>
    <w:rsid w:val="650F785B"/>
    <w:rsid w:val="65109360"/>
    <w:rsid w:val="65149190"/>
    <w:rsid w:val="65150AFD"/>
    <w:rsid w:val="65167EE3"/>
    <w:rsid w:val="651837ED"/>
    <w:rsid w:val="651FC255"/>
    <w:rsid w:val="652F1E67"/>
    <w:rsid w:val="65331868"/>
    <w:rsid w:val="653A4537"/>
    <w:rsid w:val="654262D6"/>
    <w:rsid w:val="65447D71"/>
    <w:rsid w:val="6553D151"/>
    <w:rsid w:val="65541A5A"/>
    <w:rsid w:val="6559A95C"/>
    <w:rsid w:val="655F5DA6"/>
    <w:rsid w:val="6562CCBA"/>
    <w:rsid w:val="65686960"/>
    <w:rsid w:val="65688365"/>
    <w:rsid w:val="657370F4"/>
    <w:rsid w:val="657946DA"/>
    <w:rsid w:val="658689DA"/>
    <w:rsid w:val="6588DB84"/>
    <w:rsid w:val="658FC9AF"/>
    <w:rsid w:val="658FCCD7"/>
    <w:rsid w:val="659A41A8"/>
    <w:rsid w:val="659B7B63"/>
    <w:rsid w:val="659CC927"/>
    <w:rsid w:val="659F9DF1"/>
    <w:rsid w:val="65A069C6"/>
    <w:rsid w:val="65A1D02C"/>
    <w:rsid w:val="65AB7147"/>
    <w:rsid w:val="65ADE074"/>
    <w:rsid w:val="65B1369B"/>
    <w:rsid w:val="65B60A47"/>
    <w:rsid w:val="65B75E44"/>
    <w:rsid w:val="65B7E878"/>
    <w:rsid w:val="65C296FB"/>
    <w:rsid w:val="65D4EA44"/>
    <w:rsid w:val="65D66AA3"/>
    <w:rsid w:val="65D8C5A1"/>
    <w:rsid w:val="65E1584A"/>
    <w:rsid w:val="65E23098"/>
    <w:rsid w:val="65ECE2E5"/>
    <w:rsid w:val="65F0830F"/>
    <w:rsid w:val="65F758A2"/>
    <w:rsid w:val="65FB2765"/>
    <w:rsid w:val="65FD1052"/>
    <w:rsid w:val="65FD16A9"/>
    <w:rsid w:val="65FDAA5A"/>
    <w:rsid w:val="65FE88C6"/>
    <w:rsid w:val="65FF07DD"/>
    <w:rsid w:val="6606B0E5"/>
    <w:rsid w:val="66113247"/>
    <w:rsid w:val="6612A242"/>
    <w:rsid w:val="6618C9A2"/>
    <w:rsid w:val="661B2B7C"/>
    <w:rsid w:val="66201AD4"/>
    <w:rsid w:val="663A19E9"/>
    <w:rsid w:val="6641FC75"/>
    <w:rsid w:val="66421E9B"/>
    <w:rsid w:val="6642C4BA"/>
    <w:rsid w:val="66457091"/>
    <w:rsid w:val="6646CCCD"/>
    <w:rsid w:val="665050C9"/>
    <w:rsid w:val="665157F5"/>
    <w:rsid w:val="6651E255"/>
    <w:rsid w:val="6658C0E2"/>
    <w:rsid w:val="665AAD85"/>
    <w:rsid w:val="665F8493"/>
    <w:rsid w:val="6664377A"/>
    <w:rsid w:val="666829CF"/>
    <w:rsid w:val="666A1B99"/>
    <w:rsid w:val="666A21C1"/>
    <w:rsid w:val="666DFFD8"/>
    <w:rsid w:val="66724B35"/>
    <w:rsid w:val="667636A1"/>
    <w:rsid w:val="667BAB60"/>
    <w:rsid w:val="667D5FE9"/>
    <w:rsid w:val="66864104"/>
    <w:rsid w:val="668700C0"/>
    <w:rsid w:val="668A3B70"/>
    <w:rsid w:val="66949ED6"/>
    <w:rsid w:val="66954F47"/>
    <w:rsid w:val="6697765D"/>
    <w:rsid w:val="669ABBF3"/>
    <w:rsid w:val="669E0815"/>
    <w:rsid w:val="66A5760D"/>
    <w:rsid w:val="66A966EC"/>
    <w:rsid w:val="66AC3625"/>
    <w:rsid w:val="66B6AE5B"/>
    <w:rsid w:val="66C2181A"/>
    <w:rsid w:val="66C27C98"/>
    <w:rsid w:val="66C47C8C"/>
    <w:rsid w:val="66C563D2"/>
    <w:rsid w:val="66CCB014"/>
    <w:rsid w:val="66D0FB86"/>
    <w:rsid w:val="66D73B7D"/>
    <w:rsid w:val="66DB7D83"/>
    <w:rsid w:val="66DD028E"/>
    <w:rsid w:val="66E6FA4C"/>
    <w:rsid w:val="66EEDFC0"/>
    <w:rsid w:val="66F1328B"/>
    <w:rsid w:val="66F13FCC"/>
    <w:rsid w:val="66F96794"/>
    <w:rsid w:val="66FA4D3A"/>
    <w:rsid w:val="66FBE265"/>
    <w:rsid w:val="670566F5"/>
    <w:rsid w:val="6705D6A7"/>
    <w:rsid w:val="6708BF0F"/>
    <w:rsid w:val="67090210"/>
    <w:rsid w:val="670C7BA5"/>
    <w:rsid w:val="670F06F5"/>
    <w:rsid w:val="67129116"/>
    <w:rsid w:val="671A1208"/>
    <w:rsid w:val="671C114C"/>
    <w:rsid w:val="671D5D65"/>
    <w:rsid w:val="671EA163"/>
    <w:rsid w:val="67220810"/>
    <w:rsid w:val="67239EB8"/>
    <w:rsid w:val="6726B567"/>
    <w:rsid w:val="672ABA09"/>
    <w:rsid w:val="6730678C"/>
    <w:rsid w:val="6732B323"/>
    <w:rsid w:val="6736A0F3"/>
    <w:rsid w:val="6737FEB9"/>
    <w:rsid w:val="673C1E21"/>
    <w:rsid w:val="673C3FAE"/>
    <w:rsid w:val="67420E2C"/>
    <w:rsid w:val="6742BF40"/>
    <w:rsid w:val="674738DB"/>
    <w:rsid w:val="674B685F"/>
    <w:rsid w:val="6755BBA4"/>
    <w:rsid w:val="6755C949"/>
    <w:rsid w:val="67570255"/>
    <w:rsid w:val="675ED6A9"/>
    <w:rsid w:val="6767D667"/>
    <w:rsid w:val="676AF663"/>
    <w:rsid w:val="676CDB8A"/>
    <w:rsid w:val="6772A128"/>
    <w:rsid w:val="678A1CA7"/>
    <w:rsid w:val="678AD809"/>
    <w:rsid w:val="67908075"/>
    <w:rsid w:val="67954171"/>
    <w:rsid w:val="679A2000"/>
    <w:rsid w:val="67A3092E"/>
    <w:rsid w:val="67A8BB80"/>
    <w:rsid w:val="67AC5CF5"/>
    <w:rsid w:val="67B3FCC1"/>
    <w:rsid w:val="67B738E9"/>
    <w:rsid w:val="67B90B1F"/>
    <w:rsid w:val="67B9F7D4"/>
    <w:rsid w:val="67BEE823"/>
    <w:rsid w:val="67C149C5"/>
    <w:rsid w:val="67C9400D"/>
    <w:rsid w:val="67CD835F"/>
    <w:rsid w:val="67DA2E5B"/>
    <w:rsid w:val="67DFDD18"/>
    <w:rsid w:val="67EE8DEC"/>
    <w:rsid w:val="67F0ADF0"/>
    <w:rsid w:val="67F49417"/>
    <w:rsid w:val="67F6DA46"/>
    <w:rsid w:val="67F7E9FA"/>
    <w:rsid w:val="67FB45C5"/>
    <w:rsid w:val="67FC3EA3"/>
    <w:rsid w:val="67FD7499"/>
    <w:rsid w:val="6809F693"/>
    <w:rsid w:val="680B46AD"/>
    <w:rsid w:val="6812136E"/>
    <w:rsid w:val="681269EA"/>
    <w:rsid w:val="681EFB8C"/>
    <w:rsid w:val="68228B45"/>
    <w:rsid w:val="68242D45"/>
    <w:rsid w:val="68249DC6"/>
    <w:rsid w:val="68252938"/>
    <w:rsid w:val="6827B1E3"/>
    <w:rsid w:val="682DFA4A"/>
    <w:rsid w:val="682EDF64"/>
    <w:rsid w:val="6831EEA5"/>
    <w:rsid w:val="68320ACD"/>
    <w:rsid w:val="68369B43"/>
    <w:rsid w:val="68382012"/>
    <w:rsid w:val="683C0E56"/>
    <w:rsid w:val="68473855"/>
    <w:rsid w:val="68491D5C"/>
    <w:rsid w:val="685A43C7"/>
    <w:rsid w:val="685D57BB"/>
    <w:rsid w:val="685EDB60"/>
    <w:rsid w:val="686485DF"/>
    <w:rsid w:val="686DE808"/>
    <w:rsid w:val="686EB167"/>
    <w:rsid w:val="6872DDC7"/>
    <w:rsid w:val="68754300"/>
    <w:rsid w:val="6879D69C"/>
    <w:rsid w:val="6879FC30"/>
    <w:rsid w:val="687EF77F"/>
    <w:rsid w:val="6887DC9B"/>
    <w:rsid w:val="6889DF6A"/>
    <w:rsid w:val="688B6482"/>
    <w:rsid w:val="688B7F7D"/>
    <w:rsid w:val="6897CEB8"/>
    <w:rsid w:val="689A9A3C"/>
    <w:rsid w:val="68A0AFA5"/>
    <w:rsid w:val="68A86FBA"/>
    <w:rsid w:val="68AEFD7C"/>
    <w:rsid w:val="68B01401"/>
    <w:rsid w:val="68C1410C"/>
    <w:rsid w:val="68C2C563"/>
    <w:rsid w:val="68C2E480"/>
    <w:rsid w:val="68CFC69E"/>
    <w:rsid w:val="68D2387E"/>
    <w:rsid w:val="68DAA9E1"/>
    <w:rsid w:val="68DAFA75"/>
    <w:rsid w:val="68DDE12E"/>
    <w:rsid w:val="68E517AF"/>
    <w:rsid w:val="68E546AB"/>
    <w:rsid w:val="68E9875D"/>
    <w:rsid w:val="68EC0109"/>
    <w:rsid w:val="68EC61EA"/>
    <w:rsid w:val="68ED9854"/>
    <w:rsid w:val="68F7A93A"/>
    <w:rsid w:val="68FC4175"/>
    <w:rsid w:val="68FCB358"/>
    <w:rsid w:val="68FFB1BE"/>
    <w:rsid w:val="6904459A"/>
    <w:rsid w:val="690AB2B6"/>
    <w:rsid w:val="690DD3B0"/>
    <w:rsid w:val="691719A5"/>
    <w:rsid w:val="69180C54"/>
    <w:rsid w:val="69189035"/>
    <w:rsid w:val="691B0553"/>
    <w:rsid w:val="691B1276"/>
    <w:rsid w:val="6925DDE1"/>
    <w:rsid w:val="69289D89"/>
    <w:rsid w:val="692D1041"/>
    <w:rsid w:val="69340447"/>
    <w:rsid w:val="6935FF17"/>
    <w:rsid w:val="6936B435"/>
    <w:rsid w:val="693A029E"/>
    <w:rsid w:val="694EA1D2"/>
    <w:rsid w:val="69519AD9"/>
    <w:rsid w:val="695EF884"/>
    <w:rsid w:val="69642021"/>
    <w:rsid w:val="69695B8B"/>
    <w:rsid w:val="696D0C54"/>
    <w:rsid w:val="696E540B"/>
    <w:rsid w:val="69736AC5"/>
    <w:rsid w:val="69737DCF"/>
    <w:rsid w:val="6981B808"/>
    <w:rsid w:val="6984C093"/>
    <w:rsid w:val="69923D0B"/>
    <w:rsid w:val="699FCA64"/>
    <w:rsid w:val="69A96699"/>
    <w:rsid w:val="69AB8ADA"/>
    <w:rsid w:val="69AF5FDC"/>
    <w:rsid w:val="69C4E0F4"/>
    <w:rsid w:val="69C5DAC5"/>
    <w:rsid w:val="69CAF521"/>
    <w:rsid w:val="69CE87AA"/>
    <w:rsid w:val="69CFA155"/>
    <w:rsid w:val="69D04608"/>
    <w:rsid w:val="69D1DEAC"/>
    <w:rsid w:val="69D30B97"/>
    <w:rsid w:val="69D6E469"/>
    <w:rsid w:val="69D8C40F"/>
    <w:rsid w:val="69DA619D"/>
    <w:rsid w:val="69DE938B"/>
    <w:rsid w:val="69DEC5D6"/>
    <w:rsid w:val="69E132BD"/>
    <w:rsid w:val="69E23FDA"/>
    <w:rsid w:val="69E932C6"/>
    <w:rsid w:val="69EB07A6"/>
    <w:rsid w:val="69EBF341"/>
    <w:rsid w:val="69EEF158"/>
    <w:rsid w:val="69F0E26B"/>
    <w:rsid w:val="69F1FB1C"/>
    <w:rsid w:val="69F3EA35"/>
    <w:rsid w:val="69F40BCA"/>
    <w:rsid w:val="69F634CF"/>
    <w:rsid w:val="6A00CDDC"/>
    <w:rsid w:val="6A016CB4"/>
    <w:rsid w:val="6A02DEDE"/>
    <w:rsid w:val="6A088E6B"/>
    <w:rsid w:val="6A0DEF9D"/>
    <w:rsid w:val="6A0F0924"/>
    <w:rsid w:val="6A1336F8"/>
    <w:rsid w:val="6A13CD7F"/>
    <w:rsid w:val="6A180BE5"/>
    <w:rsid w:val="6A1A2BAC"/>
    <w:rsid w:val="6A1A5FAB"/>
    <w:rsid w:val="6A1EA110"/>
    <w:rsid w:val="6A215DAC"/>
    <w:rsid w:val="6A23AFF9"/>
    <w:rsid w:val="6A28D5D5"/>
    <w:rsid w:val="6A29B971"/>
    <w:rsid w:val="6A2B11D8"/>
    <w:rsid w:val="6A305998"/>
    <w:rsid w:val="6A315EFB"/>
    <w:rsid w:val="6A36E416"/>
    <w:rsid w:val="6A382FF3"/>
    <w:rsid w:val="6A3AB06F"/>
    <w:rsid w:val="6A3E4D2C"/>
    <w:rsid w:val="6A404D36"/>
    <w:rsid w:val="6A45DEC0"/>
    <w:rsid w:val="6A48C96D"/>
    <w:rsid w:val="6A52E4D5"/>
    <w:rsid w:val="6A54BF0D"/>
    <w:rsid w:val="6A54C839"/>
    <w:rsid w:val="6A5805C4"/>
    <w:rsid w:val="6A5834D3"/>
    <w:rsid w:val="6A5CC576"/>
    <w:rsid w:val="6A5D8381"/>
    <w:rsid w:val="6A5E702A"/>
    <w:rsid w:val="6A621C2A"/>
    <w:rsid w:val="6A630266"/>
    <w:rsid w:val="6A631DD3"/>
    <w:rsid w:val="6A66B440"/>
    <w:rsid w:val="6A688EA9"/>
    <w:rsid w:val="6A6A85EA"/>
    <w:rsid w:val="6A6B1524"/>
    <w:rsid w:val="6A710C65"/>
    <w:rsid w:val="6A734DF5"/>
    <w:rsid w:val="6A771407"/>
    <w:rsid w:val="6A87EFFC"/>
    <w:rsid w:val="6A8C833D"/>
    <w:rsid w:val="6A98A441"/>
    <w:rsid w:val="6A9E743E"/>
    <w:rsid w:val="6AA0C9AB"/>
    <w:rsid w:val="6AA2B4DD"/>
    <w:rsid w:val="6AA8643A"/>
    <w:rsid w:val="6AAC4A18"/>
    <w:rsid w:val="6AAE8D4C"/>
    <w:rsid w:val="6AB06E60"/>
    <w:rsid w:val="6AB9F91A"/>
    <w:rsid w:val="6ABAF1D5"/>
    <w:rsid w:val="6ABE8C02"/>
    <w:rsid w:val="6AC63D75"/>
    <w:rsid w:val="6ACA396F"/>
    <w:rsid w:val="6ACA9D1F"/>
    <w:rsid w:val="6ACF37D3"/>
    <w:rsid w:val="6AD64BCC"/>
    <w:rsid w:val="6ADD8FF7"/>
    <w:rsid w:val="6AE2820A"/>
    <w:rsid w:val="6AE2D8E0"/>
    <w:rsid w:val="6AED7058"/>
    <w:rsid w:val="6AF3E80C"/>
    <w:rsid w:val="6AF66337"/>
    <w:rsid w:val="6AF8181A"/>
    <w:rsid w:val="6AFCBFC2"/>
    <w:rsid w:val="6AFF22F7"/>
    <w:rsid w:val="6B07046F"/>
    <w:rsid w:val="6B09CFE1"/>
    <w:rsid w:val="6B0A4363"/>
    <w:rsid w:val="6B0B6593"/>
    <w:rsid w:val="6B0EEC48"/>
    <w:rsid w:val="6B1221CC"/>
    <w:rsid w:val="6B12344C"/>
    <w:rsid w:val="6B134518"/>
    <w:rsid w:val="6B16D417"/>
    <w:rsid w:val="6B1930C1"/>
    <w:rsid w:val="6B1B33D4"/>
    <w:rsid w:val="6B1F9D66"/>
    <w:rsid w:val="6B218296"/>
    <w:rsid w:val="6B39C31B"/>
    <w:rsid w:val="6B3C41A9"/>
    <w:rsid w:val="6B3F10CC"/>
    <w:rsid w:val="6B4384C3"/>
    <w:rsid w:val="6B4835FD"/>
    <w:rsid w:val="6B4B6EDC"/>
    <w:rsid w:val="6B55B009"/>
    <w:rsid w:val="6B5D7ABE"/>
    <w:rsid w:val="6B625FD5"/>
    <w:rsid w:val="6B666655"/>
    <w:rsid w:val="6B78371E"/>
    <w:rsid w:val="6B78F7D7"/>
    <w:rsid w:val="6B7B4B33"/>
    <w:rsid w:val="6B7EAECE"/>
    <w:rsid w:val="6B87DC43"/>
    <w:rsid w:val="6B92AD0E"/>
    <w:rsid w:val="6B9F8BBE"/>
    <w:rsid w:val="6BA3DF66"/>
    <w:rsid w:val="6BACCDC6"/>
    <w:rsid w:val="6BACDCB1"/>
    <w:rsid w:val="6BB8C359"/>
    <w:rsid w:val="6BBDB7BB"/>
    <w:rsid w:val="6BC28DD5"/>
    <w:rsid w:val="6BC743BE"/>
    <w:rsid w:val="6BCF0482"/>
    <w:rsid w:val="6BCFF0E8"/>
    <w:rsid w:val="6BD70F7C"/>
    <w:rsid w:val="6BE65ADD"/>
    <w:rsid w:val="6BEDD5D9"/>
    <w:rsid w:val="6BFE49AB"/>
    <w:rsid w:val="6BFFC9EF"/>
    <w:rsid w:val="6C028D0D"/>
    <w:rsid w:val="6C092313"/>
    <w:rsid w:val="6C0CD111"/>
    <w:rsid w:val="6C0F0E59"/>
    <w:rsid w:val="6C12FB65"/>
    <w:rsid w:val="6C15219C"/>
    <w:rsid w:val="6C17C991"/>
    <w:rsid w:val="6C1E419D"/>
    <w:rsid w:val="6C1EBADC"/>
    <w:rsid w:val="6C1FF2F5"/>
    <w:rsid w:val="6C1FF51A"/>
    <w:rsid w:val="6C2121CE"/>
    <w:rsid w:val="6C226A99"/>
    <w:rsid w:val="6C278E6D"/>
    <w:rsid w:val="6C2850E5"/>
    <w:rsid w:val="6C2DFDB1"/>
    <w:rsid w:val="6C301F84"/>
    <w:rsid w:val="6C303CF2"/>
    <w:rsid w:val="6C40D839"/>
    <w:rsid w:val="6C41CF25"/>
    <w:rsid w:val="6C428873"/>
    <w:rsid w:val="6C464F87"/>
    <w:rsid w:val="6C4D420E"/>
    <w:rsid w:val="6C510ADF"/>
    <w:rsid w:val="6C511CCA"/>
    <w:rsid w:val="6C523B5C"/>
    <w:rsid w:val="6C53E877"/>
    <w:rsid w:val="6C54980F"/>
    <w:rsid w:val="6C5E0DA6"/>
    <w:rsid w:val="6C61F437"/>
    <w:rsid w:val="6C62EA26"/>
    <w:rsid w:val="6C67B749"/>
    <w:rsid w:val="6C69E9E2"/>
    <w:rsid w:val="6C70A270"/>
    <w:rsid w:val="6C72ADA3"/>
    <w:rsid w:val="6C7B503F"/>
    <w:rsid w:val="6C7BBCB1"/>
    <w:rsid w:val="6C7C51A5"/>
    <w:rsid w:val="6C867B35"/>
    <w:rsid w:val="6C8A8867"/>
    <w:rsid w:val="6C8C8559"/>
    <w:rsid w:val="6C8CBA08"/>
    <w:rsid w:val="6C9075FF"/>
    <w:rsid w:val="6C955344"/>
    <w:rsid w:val="6C996CE0"/>
    <w:rsid w:val="6C99C33E"/>
    <w:rsid w:val="6C9E7B26"/>
    <w:rsid w:val="6C9E85C3"/>
    <w:rsid w:val="6C9F038C"/>
    <w:rsid w:val="6C9FDCFB"/>
    <w:rsid w:val="6CA28887"/>
    <w:rsid w:val="6CA37E23"/>
    <w:rsid w:val="6CA57CAD"/>
    <w:rsid w:val="6CA58933"/>
    <w:rsid w:val="6CA5B94F"/>
    <w:rsid w:val="6CA8DDBF"/>
    <w:rsid w:val="6CAEA850"/>
    <w:rsid w:val="6CB20883"/>
    <w:rsid w:val="6CB31E7E"/>
    <w:rsid w:val="6CB70FC8"/>
    <w:rsid w:val="6CB75B07"/>
    <w:rsid w:val="6CBA0C8F"/>
    <w:rsid w:val="6CBBA012"/>
    <w:rsid w:val="6CC6592B"/>
    <w:rsid w:val="6CCC19E9"/>
    <w:rsid w:val="6CCD4C3B"/>
    <w:rsid w:val="6CD86FA3"/>
    <w:rsid w:val="6CDC9A13"/>
    <w:rsid w:val="6CDC9AEA"/>
    <w:rsid w:val="6CDFFD60"/>
    <w:rsid w:val="6CE01C00"/>
    <w:rsid w:val="6CE04627"/>
    <w:rsid w:val="6CE0BEDC"/>
    <w:rsid w:val="6CE1EA54"/>
    <w:rsid w:val="6CE99EDF"/>
    <w:rsid w:val="6CEC914A"/>
    <w:rsid w:val="6CECBDE4"/>
    <w:rsid w:val="6CEEBD26"/>
    <w:rsid w:val="6CEF5097"/>
    <w:rsid w:val="6CEFDBF6"/>
    <w:rsid w:val="6CF045B2"/>
    <w:rsid w:val="6CF1D40F"/>
    <w:rsid w:val="6CF823FA"/>
    <w:rsid w:val="6CFE658F"/>
    <w:rsid w:val="6CFF87F0"/>
    <w:rsid w:val="6D06ABB5"/>
    <w:rsid w:val="6D0D03E7"/>
    <w:rsid w:val="6D0F95CA"/>
    <w:rsid w:val="6D12CBDC"/>
    <w:rsid w:val="6D17797F"/>
    <w:rsid w:val="6D177A21"/>
    <w:rsid w:val="6D1BB5AE"/>
    <w:rsid w:val="6D1DF98D"/>
    <w:rsid w:val="6D1E0B5B"/>
    <w:rsid w:val="6D22A70D"/>
    <w:rsid w:val="6D2512EF"/>
    <w:rsid w:val="6D3C590A"/>
    <w:rsid w:val="6D3DD3EA"/>
    <w:rsid w:val="6D465B31"/>
    <w:rsid w:val="6D4B22FD"/>
    <w:rsid w:val="6D540FEA"/>
    <w:rsid w:val="6D55CF60"/>
    <w:rsid w:val="6D5DCB95"/>
    <w:rsid w:val="6D6471A5"/>
    <w:rsid w:val="6D67401F"/>
    <w:rsid w:val="6D67741B"/>
    <w:rsid w:val="6D678223"/>
    <w:rsid w:val="6D6878FE"/>
    <w:rsid w:val="6D6EA9C7"/>
    <w:rsid w:val="6D700B3D"/>
    <w:rsid w:val="6D712B70"/>
    <w:rsid w:val="6D716BB6"/>
    <w:rsid w:val="6D754AA8"/>
    <w:rsid w:val="6D7C97FC"/>
    <w:rsid w:val="6D8A3E5A"/>
    <w:rsid w:val="6D8AC490"/>
    <w:rsid w:val="6D8C47A1"/>
    <w:rsid w:val="6D8EC5A5"/>
    <w:rsid w:val="6D912306"/>
    <w:rsid w:val="6D9382D0"/>
    <w:rsid w:val="6D9794E1"/>
    <w:rsid w:val="6D9B8DF4"/>
    <w:rsid w:val="6D9BF283"/>
    <w:rsid w:val="6D9F05DC"/>
    <w:rsid w:val="6DA183F0"/>
    <w:rsid w:val="6DA76AE7"/>
    <w:rsid w:val="6DA8D53D"/>
    <w:rsid w:val="6DA9EB10"/>
    <w:rsid w:val="6DAB5555"/>
    <w:rsid w:val="6DB20C64"/>
    <w:rsid w:val="6DB8C4B9"/>
    <w:rsid w:val="6DBBBDFE"/>
    <w:rsid w:val="6DC624C3"/>
    <w:rsid w:val="6DC780C5"/>
    <w:rsid w:val="6DCB9968"/>
    <w:rsid w:val="6DCCB631"/>
    <w:rsid w:val="6DCD210F"/>
    <w:rsid w:val="6DD897BE"/>
    <w:rsid w:val="6DDCF9BE"/>
    <w:rsid w:val="6DE1362B"/>
    <w:rsid w:val="6DE979D0"/>
    <w:rsid w:val="6DECE052"/>
    <w:rsid w:val="6DF8785D"/>
    <w:rsid w:val="6DF944CE"/>
    <w:rsid w:val="6DFB5C44"/>
    <w:rsid w:val="6DFB6678"/>
    <w:rsid w:val="6E0AD081"/>
    <w:rsid w:val="6E0B1C92"/>
    <w:rsid w:val="6E0EDFCE"/>
    <w:rsid w:val="6E10B686"/>
    <w:rsid w:val="6E11A132"/>
    <w:rsid w:val="6E149FF7"/>
    <w:rsid w:val="6E16DB7D"/>
    <w:rsid w:val="6E185CBE"/>
    <w:rsid w:val="6E1B9603"/>
    <w:rsid w:val="6E1F5EC5"/>
    <w:rsid w:val="6E2AE1C3"/>
    <w:rsid w:val="6E2FAA83"/>
    <w:rsid w:val="6E3029D5"/>
    <w:rsid w:val="6E3D8137"/>
    <w:rsid w:val="6E4037E8"/>
    <w:rsid w:val="6E42C7FB"/>
    <w:rsid w:val="6E42F247"/>
    <w:rsid w:val="6E486B3C"/>
    <w:rsid w:val="6E49627E"/>
    <w:rsid w:val="6E4AE45E"/>
    <w:rsid w:val="6E4D11AD"/>
    <w:rsid w:val="6E515303"/>
    <w:rsid w:val="6E534D3A"/>
    <w:rsid w:val="6E53DAF8"/>
    <w:rsid w:val="6E5F9E10"/>
    <w:rsid w:val="6E631381"/>
    <w:rsid w:val="6E68173C"/>
    <w:rsid w:val="6E69E83C"/>
    <w:rsid w:val="6E73890E"/>
    <w:rsid w:val="6E769C8D"/>
    <w:rsid w:val="6E8277AF"/>
    <w:rsid w:val="6E82B2DD"/>
    <w:rsid w:val="6E85A786"/>
    <w:rsid w:val="6E8C0EFA"/>
    <w:rsid w:val="6E8CE6A6"/>
    <w:rsid w:val="6E976C34"/>
    <w:rsid w:val="6EA0EC59"/>
    <w:rsid w:val="6EA11472"/>
    <w:rsid w:val="6EA3C0C6"/>
    <w:rsid w:val="6EA4339A"/>
    <w:rsid w:val="6EAF5898"/>
    <w:rsid w:val="6EB32EFD"/>
    <w:rsid w:val="6EB60E0F"/>
    <w:rsid w:val="6EB6CBB6"/>
    <w:rsid w:val="6EBC5E50"/>
    <w:rsid w:val="6EC35E70"/>
    <w:rsid w:val="6EC71F88"/>
    <w:rsid w:val="6ECB1EC0"/>
    <w:rsid w:val="6ED07AF9"/>
    <w:rsid w:val="6ED741CD"/>
    <w:rsid w:val="6ED7A848"/>
    <w:rsid w:val="6EE4D871"/>
    <w:rsid w:val="6EE61E9F"/>
    <w:rsid w:val="6EE6F066"/>
    <w:rsid w:val="6EF32C5D"/>
    <w:rsid w:val="6EF4D239"/>
    <w:rsid w:val="6EF63CE7"/>
    <w:rsid w:val="6EFB3E5B"/>
    <w:rsid w:val="6EFD1DE6"/>
    <w:rsid w:val="6EFED1BE"/>
    <w:rsid w:val="6F00E3F2"/>
    <w:rsid w:val="6F020B7C"/>
    <w:rsid w:val="6F085A9B"/>
    <w:rsid w:val="6F0AEEA2"/>
    <w:rsid w:val="6F0BDA33"/>
    <w:rsid w:val="6F0CEF7A"/>
    <w:rsid w:val="6F1029CD"/>
    <w:rsid w:val="6F120CCE"/>
    <w:rsid w:val="6F15ABA4"/>
    <w:rsid w:val="6F163356"/>
    <w:rsid w:val="6F1AEAF6"/>
    <w:rsid w:val="6F1B4BAA"/>
    <w:rsid w:val="6F1B7F87"/>
    <w:rsid w:val="6F22C3AB"/>
    <w:rsid w:val="6F240806"/>
    <w:rsid w:val="6F2D4A0B"/>
    <w:rsid w:val="6F2E10B9"/>
    <w:rsid w:val="6F2F4EE7"/>
    <w:rsid w:val="6F33C52E"/>
    <w:rsid w:val="6F3524A2"/>
    <w:rsid w:val="6F355AD7"/>
    <w:rsid w:val="6F36CFF9"/>
    <w:rsid w:val="6F38F29C"/>
    <w:rsid w:val="6F396FAA"/>
    <w:rsid w:val="6F3CDE27"/>
    <w:rsid w:val="6F49EE9C"/>
    <w:rsid w:val="6F4DA899"/>
    <w:rsid w:val="6F4EA0AD"/>
    <w:rsid w:val="6F4EA7A8"/>
    <w:rsid w:val="6F4F60F9"/>
    <w:rsid w:val="6F53487B"/>
    <w:rsid w:val="6F5F3C04"/>
    <w:rsid w:val="6F5FC6D7"/>
    <w:rsid w:val="6F6B7F14"/>
    <w:rsid w:val="6F6B8AAA"/>
    <w:rsid w:val="6F6C9644"/>
    <w:rsid w:val="6F6FCA24"/>
    <w:rsid w:val="6F766A80"/>
    <w:rsid w:val="6F79EE14"/>
    <w:rsid w:val="6F8052B3"/>
    <w:rsid w:val="6F83F5C2"/>
    <w:rsid w:val="6F8402AD"/>
    <w:rsid w:val="6F8815A0"/>
    <w:rsid w:val="6F8B6618"/>
    <w:rsid w:val="6F8C3558"/>
    <w:rsid w:val="6F8FAE02"/>
    <w:rsid w:val="6F91CAF3"/>
    <w:rsid w:val="6F9852E1"/>
    <w:rsid w:val="6F9A655B"/>
    <w:rsid w:val="6F9D3B0F"/>
    <w:rsid w:val="6F9FF768"/>
    <w:rsid w:val="6FAC3F58"/>
    <w:rsid w:val="6FAD5EFC"/>
    <w:rsid w:val="6FB36AC2"/>
    <w:rsid w:val="6FB7AA67"/>
    <w:rsid w:val="6FC8C01F"/>
    <w:rsid w:val="6FCC974B"/>
    <w:rsid w:val="6FCCEE6B"/>
    <w:rsid w:val="6FD1D39C"/>
    <w:rsid w:val="6FD2004B"/>
    <w:rsid w:val="6FDDAADD"/>
    <w:rsid w:val="6FED7852"/>
    <w:rsid w:val="6FF31A89"/>
    <w:rsid w:val="6FFCF92C"/>
    <w:rsid w:val="70011E79"/>
    <w:rsid w:val="700192F7"/>
    <w:rsid w:val="7004CAC3"/>
    <w:rsid w:val="7007A715"/>
    <w:rsid w:val="7008BDB6"/>
    <w:rsid w:val="700B637E"/>
    <w:rsid w:val="700D5FD3"/>
    <w:rsid w:val="70130800"/>
    <w:rsid w:val="7019EFB4"/>
    <w:rsid w:val="701AADD8"/>
    <w:rsid w:val="701F4290"/>
    <w:rsid w:val="701FD82E"/>
    <w:rsid w:val="7022F911"/>
    <w:rsid w:val="70271AD4"/>
    <w:rsid w:val="702942F2"/>
    <w:rsid w:val="7030665D"/>
    <w:rsid w:val="7035D8A9"/>
    <w:rsid w:val="703D5F0B"/>
    <w:rsid w:val="70490FB2"/>
    <w:rsid w:val="7049C79D"/>
    <w:rsid w:val="704C15F8"/>
    <w:rsid w:val="704DC6C4"/>
    <w:rsid w:val="704E6A7F"/>
    <w:rsid w:val="7053ABC6"/>
    <w:rsid w:val="70545628"/>
    <w:rsid w:val="70545A13"/>
    <w:rsid w:val="705F22D7"/>
    <w:rsid w:val="7062BA75"/>
    <w:rsid w:val="7064BE34"/>
    <w:rsid w:val="7065E367"/>
    <w:rsid w:val="706F7D95"/>
    <w:rsid w:val="7076B962"/>
    <w:rsid w:val="70784A06"/>
    <w:rsid w:val="707B9D8A"/>
    <w:rsid w:val="707D6C03"/>
    <w:rsid w:val="707E2BF7"/>
    <w:rsid w:val="7084B4EF"/>
    <w:rsid w:val="708DE784"/>
    <w:rsid w:val="7090499A"/>
    <w:rsid w:val="70929A39"/>
    <w:rsid w:val="7092C53D"/>
    <w:rsid w:val="7094FCBB"/>
    <w:rsid w:val="7096EF61"/>
    <w:rsid w:val="70994482"/>
    <w:rsid w:val="709F188F"/>
    <w:rsid w:val="70A6F0EF"/>
    <w:rsid w:val="70AB2CE9"/>
    <w:rsid w:val="70AF5327"/>
    <w:rsid w:val="70B527C0"/>
    <w:rsid w:val="70B8DB35"/>
    <w:rsid w:val="70BC6BDF"/>
    <w:rsid w:val="70BE5333"/>
    <w:rsid w:val="70BE6834"/>
    <w:rsid w:val="70C1BE4F"/>
    <w:rsid w:val="70C25957"/>
    <w:rsid w:val="70C45CB4"/>
    <w:rsid w:val="70C8B325"/>
    <w:rsid w:val="70CDCE1A"/>
    <w:rsid w:val="70D364A2"/>
    <w:rsid w:val="70D41606"/>
    <w:rsid w:val="70DAA7F6"/>
    <w:rsid w:val="70DB723F"/>
    <w:rsid w:val="70E1CBE6"/>
    <w:rsid w:val="70E1E6CA"/>
    <w:rsid w:val="70F4CCD9"/>
    <w:rsid w:val="70F67C03"/>
    <w:rsid w:val="70F71E6E"/>
    <w:rsid w:val="70FA0318"/>
    <w:rsid w:val="70FACA0C"/>
    <w:rsid w:val="7101DFF0"/>
    <w:rsid w:val="71051A82"/>
    <w:rsid w:val="711CF41E"/>
    <w:rsid w:val="711D2F26"/>
    <w:rsid w:val="711E20B8"/>
    <w:rsid w:val="711FBD20"/>
    <w:rsid w:val="71255E4F"/>
    <w:rsid w:val="712A395B"/>
    <w:rsid w:val="712D1B16"/>
    <w:rsid w:val="713B10DE"/>
    <w:rsid w:val="713BEFEC"/>
    <w:rsid w:val="713EAFB9"/>
    <w:rsid w:val="71468D1E"/>
    <w:rsid w:val="7149B384"/>
    <w:rsid w:val="714AF718"/>
    <w:rsid w:val="71500C78"/>
    <w:rsid w:val="715790F3"/>
    <w:rsid w:val="7162436E"/>
    <w:rsid w:val="71653A18"/>
    <w:rsid w:val="71693FB0"/>
    <w:rsid w:val="7169B468"/>
    <w:rsid w:val="716B4379"/>
    <w:rsid w:val="716E2960"/>
    <w:rsid w:val="71727EDD"/>
    <w:rsid w:val="7176482C"/>
    <w:rsid w:val="717A5C3C"/>
    <w:rsid w:val="717F3B03"/>
    <w:rsid w:val="71831B06"/>
    <w:rsid w:val="718D7DB2"/>
    <w:rsid w:val="7193A4F4"/>
    <w:rsid w:val="71952CC0"/>
    <w:rsid w:val="7197012A"/>
    <w:rsid w:val="71981A3E"/>
    <w:rsid w:val="719B52D2"/>
    <w:rsid w:val="719F3A04"/>
    <w:rsid w:val="71A151E5"/>
    <w:rsid w:val="71A613B7"/>
    <w:rsid w:val="71ABC73F"/>
    <w:rsid w:val="71B25B2B"/>
    <w:rsid w:val="71B3CB58"/>
    <w:rsid w:val="71BC9DAD"/>
    <w:rsid w:val="71BDE2C2"/>
    <w:rsid w:val="71C55E00"/>
    <w:rsid w:val="71CB8CB4"/>
    <w:rsid w:val="71CC4589"/>
    <w:rsid w:val="71CD585C"/>
    <w:rsid w:val="71D0F9C2"/>
    <w:rsid w:val="71D34E81"/>
    <w:rsid w:val="71D381AE"/>
    <w:rsid w:val="71D3C980"/>
    <w:rsid w:val="71D8E5C5"/>
    <w:rsid w:val="71DF5946"/>
    <w:rsid w:val="71E60BDC"/>
    <w:rsid w:val="71E7DD80"/>
    <w:rsid w:val="71E90A60"/>
    <w:rsid w:val="71EA46CD"/>
    <w:rsid w:val="71EF58C3"/>
    <w:rsid w:val="71F6BD79"/>
    <w:rsid w:val="71F89332"/>
    <w:rsid w:val="7201C08E"/>
    <w:rsid w:val="7206C8E1"/>
    <w:rsid w:val="720D6EA9"/>
    <w:rsid w:val="720DC21E"/>
    <w:rsid w:val="7210BBB4"/>
    <w:rsid w:val="7211D6D4"/>
    <w:rsid w:val="72180FFB"/>
    <w:rsid w:val="721B2927"/>
    <w:rsid w:val="721EEE5E"/>
    <w:rsid w:val="721F0271"/>
    <w:rsid w:val="722053A0"/>
    <w:rsid w:val="7232A5CE"/>
    <w:rsid w:val="723A1D24"/>
    <w:rsid w:val="723AE8F0"/>
    <w:rsid w:val="723B72D3"/>
    <w:rsid w:val="72412CE2"/>
    <w:rsid w:val="7241B71D"/>
    <w:rsid w:val="7243F8C4"/>
    <w:rsid w:val="7245713C"/>
    <w:rsid w:val="7249110E"/>
    <w:rsid w:val="72497D00"/>
    <w:rsid w:val="724EAE67"/>
    <w:rsid w:val="725C9DCD"/>
    <w:rsid w:val="725E6C5B"/>
    <w:rsid w:val="725EDA7C"/>
    <w:rsid w:val="72610639"/>
    <w:rsid w:val="72637FAB"/>
    <w:rsid w:val="7263D25C"/>
    <w:rsid w:val="7267A707"/>
    <w:rsid w:val="72698AD9"/>
    <w:rsid w:val="726E69FA"/>
    <w:rsid w:val="726FCD5C"/>
    <w:rsid w:val="7275924A"/>
    <w:rsid w:val="72778009"/>
    <w:rsid w:val="7277ADE1"/>
    <w:rsid w:val="727AAACE"/>
    <w:rsid w:val="727BDD9D"/>
    <w:rsid w:val="727F3D3B"/>
    <w:rsid w:val="728FE06A"/>
    <w:rsid w:val="72900454"/>
    <w:rsid w:val="7295ED95"/>
    <w:rsid w:val="72995265"/>
    <w:rsid w:val="72A262DB"/>
    <w:rsid w:val="72A7381F"/>
    <w:rsid w:val="72A81A5F"/>
    <w:rsid w:val="72B4B1EC"/>
    <w:rsid w:val="72B4D74C"/>
    <w:rsid w:val="72B92B95"/>
    <w:rsid w:val="72BFC7F3"/>
    <w:rsid w:val="72C19717"/>
    <w:rsid w:val="72C2E416"/>
    <w:rsid w:val="72C30A32"/>
    <w:rsid w:val="72C5857E"/>
    <w:rsid w:val="72D026E0"/>
    <w:rsid w:val="72D5BA8B"/>
    <w:rsid w:val="72DB0C2E"/>
    <w:rsid w:val="72E36EE1"/>
    <w:rsid w:val="72E882DA"/>
    <w:rsid w:val="72EBF42F"/>
    <w:rsid w:val="72ED01DE"/>
    <w:rsid w:val="72F00157"/>
    <w:rsid w:val="72F3A7F3"/>
    <w:rsid w:val="72F938FA"/>
    <w:rsid w:val="72FBFD2D"/>
    <w:rsid w:val="72FC1EFE"/>
    <w:rsid w:val="7301A379"/>
    <w:rsid w:val="73052184"/>
    <w:rsid w:val="73097DB0"/>
    <w:rsid w:val="7317F5F8"/>
    <w:rsid w:val="731BA0BC"/>
    <w:rsid w:val="732287F5"/>
    <w:rsid w:val="7326AFB6"/>
    <w:rsid w:val="73272ABA"/>
    <w:rsid w:val="732B443A"/>
    <w:rsid w:val="732C1149"/>
    <w:rsid w:val="732C85FE"/>
    <w:rsid w:val="733C0A1C"/>
    <w:rsid w:val="733CF1B5"/>
    <w:rsid w:val="73450E8F"/>
    <w:rsid w:val="7345C55A"/>
    <w:rsid w:val="73467CAB"/>
    <w:rsid w:val="73485BF3"/>
    <w:rsid w:val="7349D46D"/>
    <w:rsid w:val="734D076A"/>
    <w:rsid w:val="7350B576"/>
    <w:rsid w:val="735321FC"/>
    <w:rsid w:val="735D4825"/>
    <w:rsid w:val="736023B0"/>
    <w:rsid w:val="73641779"/>
    <w:rsid w:val="73661970"/>
    <w:rsid w:val="736774E9"/>
    <w:rsid w:val="736C6FCD"/>
    <w:rsid w:val="736DE180"/>
    <w:rsid w:val="736E8FAF"/>
    <w:rsid w:val="73782F33"/>
    <w:rsid w:val="737D1F68"/>
    <w:rsid w:val="737E72AA"/>
    <w:rsid w:val="737EDEC0"/>
    <w:rsid w:val="737FAECC"/>
    <w:rsid w:val="7382A33A"/>
    <w:rsid w:val="7386957D"/>
    <w:rsid w:val="7388555E"/>
    <w:rsid w:val="738BF44A"/>
    <w:rsid w:val="739179D4"/>
    <w:rsid w:val="7392FF48"/>
    <w:rsid w:val="73974364"/>
    <w:rsid w:val="739A89B8"/>
    <w:rsid w:val="739AD8C7"/>
    <w:rsid w:val="739C48EE"/>
    <w:rsid w:val="73AD781F"/>
    <w:rsid w:val="73B17A04"/>
    <w:rsid w:val="73B3C610"/>
    <w:rsid w:val="73B87ABD"/>
    <w:rsid w:val="73BADD7F"/>
    <w:rsid w:val="73BBCBCA"/>
    <w:rsid w:val="73BD76BA"/>
    <w:rsid w:val="73BD834B"/>
    <w:rsid w:val="73C38C90"/>
    <w:rsid w:val="73CAD961"/>
    <w:rsid w:val="73CD4E82"/>
    <w:rsid w:val="73D62434"/>
    <w:rsid w:val="73D6E8B8"/>
    <w:rsid w:val="73DBC4E8"/>
    <w:rsid w:val="73E17B4B"/>
    <w:rsid w:val="73E1F800"/>
    <w:rsid w:val="73E4AA2A"/>
    <w:rsid w:val="73E4FC02"/>
    <w:rsid w:val="73E5DF9D"/>
    <w:rsid w:val="73E6F3E9"/>
    <w:rsid w:val="73F0D7BC"/>
    <w:rsid w:val="73F1A21F"/>
    <w:rsid w:val="73F8637B"/>
    <w:rsid w:val="73FE76E8"/>
    <w:rsid w:val="73FEDC99"/>
    <w:rsid w:val="7401EF94"/>
    <w:rsid w:val="7403D8A5"/>
    <w:rsid w:val="740784D8"/>
    <w:rsid w:val="74085C59"/>
    <w:rsid w:val="7408B0F8"/>
    <w:rsid w:val="7408FA6C"/>
    <w:rsid w:val="740F7454"/>
    <w:rsid w:val="7410309A"/>
    <w:rsid w:val="7412891C"/>
    <w:rsid w:val="7412ACE0"/>
    <w:rsid w:val="741E92E2"/>
    <w:rsid w:val="74204080"/>
    <w:rsid w:val="74260454"/>
    <w:rsid w:val="7426A12B"/>
    <w:rsid w:val="7427B26F"/>
    <w:rsid w:val="742AD2D5"/>
    <w:rsid w:val="742B6CD1"/>
    <w:rsid w:val="743A0E88"/>
    <w:rsid w:val="743B6B1D"/>
    <w:rsid w:val="74494FC8"/>
    <w:rsid w:val="744985F4"/>
    <w:rsid w:val="744B4545"/>
    <w:rsid w:val="744B5CFA"/>
    <w:rsid w:val="74508500"/>
    <w:rsid w:val="7450B26D"/>
    <w:rsid w:val="7451A569"/>
    <w:rsid w:val="745270F3"/>
    <w:rsid w:val="7458719A"/>
    <w:rsid w:val="745BDBC1"/>
    <w:rsid w:val="745D1304"/>
    <w:rsid w:val="74648947"/>
    <w:rsid w:val="7465D2F1"/>
    <w:rsid w:val="746D6D16"/>
    <w:rsid w:val="7472736D"/>
    <w:rsid w:val="7475E4D0"/>
    <w:rsid w:val="747AC65C"/>
    <w:rsid w:val="747B9C67"/>
    <w:rsid w:val="747BE86F"/>
    <w:rsid w:val="747E64AB"/>
    <w:rsid w:val="747F796A"/>
    <w:rsid w:val="7483061D"/>
    <w:rsid w:val="7487D657"/>
    <w:rsid w:val="7488063B"/>
    <w:rsid w:val="748A739B"/>
    <w:rsid w:val="74909FDC"/>
    <w:rsid w:val="7496EFC8"/>
    <w:rsid w:val="749C5ADA"/>
    <w:rsid w:val="74AD1FF1"/>
    <w:rsid w:val="74AD31E9"/>
    <w:rsid w:val="74AE753B"/>
    <w:rsid w:val="74B380A1"/>
    <w:rsid w:val="74B4BD7D"/>
    <w:rsid w:val="74C0DA52"/>
    <w:rsid w:val="74C59059"/>
    <w:rsid w:val="74C74719"/>
    <w:rsid w:val="74CD50D8"/>
    <w:rsid w:val="74CDD319"/>
    <w:rsid w:val="74CF6730"/>
    <w:rsid w:val="74D37C0C"/>
    <w:rsid w:val="74D4DEFB"/>
    <w:rsid w:val="74D62825"/>
    <w:rsid w:val="74DEBEF3"/>
    <w:rsid w:val="74E0BD4B"/>
    <w:rsid w:val="74E566E4"/>
    <w:rsid w:val="74E876DD"/>
    <w:rsid w:val="74EFD8A6"/>
    <w:rsid w:val="74F3A035"/>
    <w:rsid w:val="74FC54DE"/>
    <w:rsid w:val="74FDDB60"/>
    <w:rsid w:val="7508117E"/>
    <w:rsid w:val="750AE7EB"/>
    <w:rsid w:val="750D81FD"/>
    <w:rsid w:val="75109DD5"/>
    <w:rsid w:val="75146F20"/>
    <w:rsid w:val="75180549"/>
    <w:rsid w:val="7518ABFD"/>
    <w:rsid w:val="7523EF67"/>
    <w:rsid w:val="75243E7B"/>
    <w:rsid w:val="752451A2"/>
    <w:rsid w:val="7525A977"/>
    <w:rsid w:val="75293D19"/>
    <w:rsid w:val="7531B508"/>
    <w:rsid w:val="75385CE6"/>
    <w:rsid w:val="753A2ED2"/>
    <w:rsid w:val="7541AE5D"/>
    <w:rsid w:val="7544926C"/>
    <w:rsid w:val="7553E27B"/>
    <w:rsid w:val="75541B40"/>
    <w:rsid w:val="755D8273"/>
    <w:rsid w:val="755E34B4"/>
    <w:rsid w:val="755F05C3"/>
    <w:rsid w:val="75680690"/>
    <w:rsid w:val="756C4FA3"/>
    <w:rsid w:val="7572A4F8"/>
    <w:rsid w:val="757776C9"/>
    <w:rsid w:val="7578BF21"/>
    <w:rsid w:val="7579AD19"/>
    <w:rsid w:val="758ADCA0"/>
    <w:rsid w:val="7593E53C"/>
    <w:rsid w:val="75948C0A"/>
    <w:rsid w:val="759D9C98"/>
    <w:rsid w:val="75A04A22"/>
    <w:rsid w:val="75A8D21D"/>
    <w:rsid w:val="75AA4FC2"/>
    <w:rsid w:val="75AB6427"/>
    <w:rsid w:val="75B38496"/>
    <w:rsid w:val="75B545DB"/>
    <w:rsid w:val="75B7306B"/>
    <w:rsid w:val="75BC0715"/>
    <w:rsid w:val="75C2E1AA"/>
    <w:rsid w:val="75C33D68"/>
    <w:rsid w:val="75C591CD"/>
    <w:rsid w:val="75C6B0BC"/>
    <w:rsid w:val="75D00BB5"/>
    <w:rsid w:val="75D6A889"/>
    <w:rsid w:val="75E016C4"/>
    <w:rsid w:val="75E4D31C"/>
    <w:rsid w:val="75E5F56D"/>
    <w:rsid w:val="75E6AB8D"/>
    <w:rsid w:val="75EF9C6F"/>
    <w:rsid w:val="75F34A5A"/>
    <w:rsid w:val="75F7DA2E"/>
    <w:rsid w:val="75F8E94E"/>
    <w:rsid w:val="75F937D9"/>
    <w:rsid w:val="75FAC6B1"/>
    <w:rsid w:val="75FB13A0"/>
    <w:rsid w:val="75FB2566"/>
    <w:rsid w:val="75FCE392"/>
    <w:rsid w:val="75FE580E"/>
    <w:rsid w:val="761215BE"/>
    <w:rsid w:val="76132979"/>
    <w:rsid w:val="7617DB4A"/>
    <w:rsid w:val="7617EC6F"/>
    <w:rsid w:val="76180D75"/>
    <w:rsid w:val="761BD084"/>
    <w:rsid w:val="761BDFCF"/>
    <w:rsid w:val="761EEF99"/>
    <w:rsid w:val="7624DD6B"/>
    <w:rsid w:val="7628AAC9"/>
    <w:rsid w:val="762AE05F"/>
    <w:rsid w:val="7639997F"/>
    <w:rsid w:val="763EF68B"/>
    <w:rsid w:val="76409592"/>
    <w:rsid w:val="76418F47"/>
    <w:rsid w:val="7644D9D1"/>
    <w:rsid w:val="7646FED5"/>
    <w:rsid w:val="7649C514"/>
    <w:rsid w:val="76501D43"/>
    <w:rsid w:val="7651E281"/>
    <w:rsid w:val="7655E8DB"/>
    <w:rsid w:val="765CA7E2"/>
    <w:rsid w:val="7666E1BA"/>
    <w:rsid w:val="76695FED"/>
    <w:rsid w:val="766C434D"/>
    <w:rsid w:val="7677D205"/>
    <w:rsid w:val="768561DD"/>
    <w:rsid w:val="768938A6"/>
    <w:rsid w:val="768D5F69"/>
    <w:rsid w:val="76949D0A"/>
    <w:rsid w:val="7699CC47"/>
    <w:rsid w:val="769C435A"/>
    <w:rsid w:val="769DFA5B"/>
    <w:rsid w:val="76A0C97F"/>
    <w:rsid w:val="76A25917"/>
    <w:rsid w:val="76A6B709"/>
    <w:rsid w:val="76A7B26C"/>
    <w:rsid w:val="76A97A35"/>
    <w:rsid w:val="76ABF2D6"/>
    <w:rsid w:val="76B61F66"/>
    <w:rsid w:val="76B67810"/>
    <w:rsid w:val="76B799B1"/>
    <w:rsid w:val="76BB838D"/>
    <w:rsid w:val="76BF3ED4"/>
    <w:rsid w:val="76C02814"/>
    <w:rsid w:val="76C47600"/>
    <w:rsid w:val="76D44293"/>
    <w:rsid w:val="76D74BB2"/>
    <w:rsid w:val="76D8E3D6"/>
    <w:rsid w:val="76DD9BD3"/>
    <w:rsid w:val="76EE0383"/>
    <w:rsid w:val="76F02176"/>
    <w:rsid w:val="76F4D3ED"/>
    <w:rsid w:val="76FA153A"/>
    <w:rsid w:val="76FB08BE"/>
    <w:rsid w:val="77082CC9"/>
    <w:rsid w:val="77097DDE"/>
    <w:rsid w:val="770F6665"/>
    <w:rsid w:val="77138325"/>
    <w:rsid w:val="77169E65"/>
    <w:rsid w:val="771781D1"/>
    <w:rsid w:val="771A1170"/>
    <w:rsid w:val="771AAE30"/>
    <w:rsid w:val="771AC0E9"/>
    <w:rsid w:val="771E18DE"/>
    <w:rsid w:val="77207EAE"/>
    <w:rsid w:val="77215DAD"/>
    <w:rsid w:val="7721FBC0"/>
    <w:rsid w:val="77224E6D"/>
    <w:rsid w:val="772FCECF"/>
    <w:rsid w:val="7732C0FF"/>
    <w:rsid w:val="7735E362"/>
    <w:rsid w:val="773B5F20"/>
    <w:rsid w:val="773CD051"/>
    <w:rsid w:val="7741D1A9"/>
    <w:rsid w:val="77468B74"/>
    <w:rsid w:val="774ACDF1"/>
    <w:rsid w:val="774C31CF"/>
    <w:rsid w:val="774E490D"/>
    <w:rsid w:val="7751FA4B"/>
    <w:rsid w:val="775647BA"/>
    <w:rsid w:val="775CE85C"/>
    <w:rsid w:val="775CF177"/>
    <w:rsid w:val="775D3C70"/>
    <w:rsid w:val="77629DC9"/>
    <w:rsid w:val="7762ED0D"/>
    <w:rsid w:val="77635F44"/>
    <w:rsid w:val="7765922A"/>
    <w:rsid w:val="7766E68F"/>
    <w:rsid w:val="7768EB80"/>
    <w:rsid w:val="776D3409"/>
    <w:rsid w:val="776E776A"/>
    <w:rsid w:val="777C4FFD"/>
    <w:rsid w:val="77826715"/>
    <w:rsid w:val="7797A5D4"/>
    <w:rsid w:val="7797BA88"/>
    <w:rsid w:val="779991E6"/>
    <w:rsid w:val="779D691A"/>
    <w:rsid w:val="77AB4007"/>
    <w:rsid w:val="77AF4215"/>
    <w:rsid w:val="77B342AE"/>
    <w:rsid w:val="77B852C9"/>
    <w:rsid w:val="77B8AD70"/>
    <w:rsid w:val="77B95D89"/>
    <w:rsid w:val="77BCCA53"/>
    <w:rsid w:val="77C2ADDC"/>
    <w:rsid w:val="77C5E7C6"/>
    <w:rsid w:val="77C62794"/>
    <w:rsid w:val="77D2381B"/>
    <w:rsid w:val="77E5660C"/>
    <w:rsid w:val="77E673E0"/>
    <w:rsid w:val="77E77546"/>
    <w:rsid w:val="77ECC91E"/>
    <w:rsid w:val="77F04070"/>
    <w:rsid w:val="77FD1D3D"/>
    <w:rsid w:val="77FD4A14"/>
    <w:rsid w:val="7804EF32"/>
    <w:rsid w:val="7805FB2D"/>
    <w:rsid w:val="780BC542"/>
    <w:rsid w:val="78121DF8"/>
    <w:rsid w:val="7814FB0B"/>
    <w:rsid w:val="78185FA2"/>
    <w:rsid w:val="781BF236"/>
    <w:rsid w:val="7831C969"/>
    <w:rsid w:val="7834E82F"/>
    <w:rsid w:val="783D9E68"/>
    <w:rsid w:val="7842E6C0"/>
    <w:rsid w:val="78436DE9"/>
    <w:rsid w:val="78483204"/>
    <w:rsid w:val="78544F93"/>
    <w:rsid w:val="785AD39C"/>
    <w:rsid w:val="7870D803"/>
    <w:rsid w:val="7871D7C4"/>
    <w:rsid w:val="78750FF1"/>
    <w:rsid w:val="787F670A"/>
    <w:rsid w:val="7881264D"/>
    <w:rsid w:val="7888CB2D"/>
    <w:rsid w:val="7889ECDC"/>
    <w:rsid w:val="788C41E1"/>
    <w:rsid w:val="788CC88B"/>
    <w:rsid w:val="788CE752"/>
    <w:rsid w:val="788E3AE7"/>
    <w:rsid w:val="788F9B1F"/>
    <w:rsid w:val="789A0551"/>
    <w:rsid w:val="789B9CA9"/>
    <w:rsid w:val="789C4611"/>
    <w:rsid w:val="78A23E13"/>
    <w:rsid w:val="78A36037"/>
    <w:rsid w:val="78A6485E"/>
    <w:rsid w:val="78A78EFE"/>
    <w:rsid w:val="78A90FC3"/>
    <w:rsid w:val="78AD860A"/>
    <w:rsid w:val="78ADB4BE"/>
    <w:rsid w:val="78B5FC67"/>
    <w:rsid w:val="78B79C3E"/>
    <w:rsid w:val="78BEB45F"/>
    <w:rsid w:val="78C58B61"/>
    <w:rsid w:val="78C5FCF6"/>
    <w:rsid w:val="78C61506"/>
    <w:rsid w:val="78CB3861"/>
    <w:rsid w:val="78CD1717"/>
    <w:rsid w:val="78CDB1E3"/>
    <w:rsid w:val="78D113C8"/>
    <w:rsid w:val="78D9F3A5"/>
    <w:rsid w:val="78DF3925"/>
    <w:rsid w:val="78E50C15"/>
    <w:rsid w:val="78E55AE3"/>
    <w:rsid w:val="78E5EA70"/>
    <w:rsid w:val="78E71DE5"/>
    <w:rsid w:val="78F4F1DC"/>
    <w:rsid w:val="78FE8A2B"/>
    <w:rsid w:val="78FF543C"/>
    <w:rsid w:val="7905E5CF"/>
    <w:rsid w:val="790A2FF0"/>
    <w:rsid w:val="79166756"/>
    <w:rsid w:val="791A0ADC"/>
    <w:rsid w:val="791AC69E"/>
    <w:rsid w:val="792222C5"/>
    <w:rsid w:val="7927A5AA"/>
    <w:rsid w:val="792ADA39"/>
    <w:rsid w:val="792BC2FB"/>
    <w:rsid w:val="792D501A"/>
    <w:rsid w:val="7931A0BF"/>
    <w:rsid w:val="7931E2A8"/>
    <w:rsid w:val="7936C85B"/>
    <w:rsid w:val="79375324"/>
    <w:rsid w:val="7952ED96"/>
    <w:rsid w:val="7953C6C1"/>
    <w:rsid w:val="7955663A"/>
    <w:rsid w:val="795B5F64"/>
    <w:rsid w:val="795C42BA"/>
    <w:rsid w:val="79655E01"/>
    <w:rsid w:val="7966F776"/>
    <w:rsid w:val="7968D706"/>
    <w:rsid w:val="797319E9"/>
    <w:rsid w:val="79790434"/>
    <w:rsid w:val="797BCD0C"/>
    <w:rsid w:val="797E4747"/>
    <w:rsid w:val="797EE027"/>
    <w:rsid w:val="79811FF9"/>
    <w:rsid w:val="79835952"/>
    <w:rsid w:val="7986BD75"/>
    <w:rsid w:val="798778ED"/>
    <w:rsid w:val="798D1D1F"/>
    <w:rsid w:val="798DD686"/>
    <w:rsid w:val="7995112A"/>
    <w:rsid w:val="79972FE7"/>
    <w:rsid w:val="799CAFD3"/>
    <w:rsid w:val="799DEDED"/>
    <w:rsid w:val="799F361C"/>
    <w:rsid w:val="79A2130F"/>
    <w:rsid w:val="79A41E2D"/>
    <w:rsid w:val="79A55B00"/>
    <w:rsid w:val="79A78C88"/>
    <w:rsid w:val="79A88759"/>
    <w:rsid w:val="79B1EFBD"/>
    <w:rsid w:val="79B412D7"/>
    <w:rsid w:val="79B46054"/>
    <w:rsid w:val="79BB85DB"/>
    <w:rsid w:val="79BD99CC"/>
    <w:rsid w:val="79CBD20C"/>
    <w:rsid w:val="79D3C1A1"/>
    <w:rsid w:val="79D72D4B"/>
    <w:rsid w:val="79D918DA"/>
    <w:rsid w:val="79D9FE77"/>
    <w:rsid w:val="79DEB02C"/>
    <w:rsid w:val="79DF92F8"/>
    <w:rsid w:val="79E1DB95"/>
    <w:rsid w:val="79E28237"/>
    <w:rsid w:val="79E79FCB"/>
    <w:rsid w:val="79E7C12F"/>
    <w:rsid w:val="79FB35C8"/>
    <w:rsid w:val="7A02D691"/>
    <w:rsid w:val="7A043992"/>
    <w:rsid w:val="7A0480E1"/>
    <w:rsid w:val="7A0640CF"/>
    <w:rsid w:val="7A066871"/>
    <w:rsid w:val="7A17FA2C"/>
    <w:rsid w:val="7A1F6C7F"/>
    <w:rsid w:val="7A207D34"/>
    <w:rsid w:val="7A21BB3C"/>
    <w:rsid w:val="7A255FE3"/>
    <w:rsid w:val="7A263359"/>
    <w:rsid w:val="7A28741D"/>
    <w:rsid w:val="7A29E624"/>
    <w:rsid w:val="7A2A456C"/>
    <w:rsid w:val="7A2B3EC0"/>
    <w:rsid w:val="7A2BEC72"/>
    <w:rsid w:val="7A32D039"/>
    <w:rsid w:val="7A39EFF9"/>
    <w:rsid w:val="7A3B24EF"/>
    <w:rsid w:val="7A3BBB0C"/>
    <w:rsid w:val="7A3FC81B"/>
    <w:rsid w:val="7A4436C8"/>
    <w:rsid w:val="7A45F321"/>
    <w:rsid w:val="7A4720D6"/>
    <w:rsid w:val="7A47EA0B"/>
    <w:rsid w:val="7A51F889"/>
    <w:rsid w:val="7A5D2722"/>
    <w:rsid w:val="7A611C20"/>
    <w:rsid w:val="7A70F915"/>
    <w:rsid w:val="7A710C85"/>
    <w:rsid w:val="7A712241"/>
    <w:rsid w:val="7A724C5F"/>
    <w:rsid w:val="7A7529AB"/>
    <w:rsid w:val="7A8300F3"/>
    <w:rsid w:val="7A87C3B2"/>
    <w:rsid w:val="7A89C2D4"/>
    <w:rsid w:val="7A8EE213"/>
    <w:rsid w:val="7A91A269"/>
    <w:rsid w:val="7A93FAC1"/>
    <w:rsid w:val="7A9D64FD"/>
    <w:rsid w:val="7AA0C022"/>
    <w:rsid w:val="7AA33B5C"/>
    <w:rsid w:val="7AA4A2E3"/>
    <w:rsid w:val="7AA894E7"/>
    <w:rsid w:val="7AA96A1A"/>
    <w:rsid w:val="7AAABEA2"/>
    <w:rsid w:val="7AAFB07E"/>
    <w:rsid w:val="7AB1E5EC"/>
    <w:rsid w:val="7AB4DAD6"/>
    <w:rsid w:val="7AB7DD04"/>
    <w:rsid w:val="7ABE0CBF"/>
    <w:rsid w:val="7AC4CAFF"/>
    <w:rsid w:val="7AC622DE"/>
    <w:rsid w:val="7AE64D7A"/>
    <w:rsid w:val="7AF086D6"/>
    <w:rsid w:val="7AF64849"/>
    <w:rsid w:val="7AF6EDC8"/>
    <w:rsid w:val="7AFA9D33"/>
    <w:rsid w:val="7AFD1224"/>
    <w:rsid w:val="7B01ADD2"/>
    <w:rsid w:val="7B09DD84"/>
    <w:rsid w:val="7B0A64DE"/>
    <w:rsid w:val="7B0ABB22"/>
    <w:rsid w:val="7B135BA2"/>
    <w:rsid w:val="7B16DA3B"/>
    <w:rsid w:val="7B19945B"/>
    <w:rsid w:val="7B1B04B2"/>
    <w:rsid w:val="7B1BAE7C"/>
    <w:rsid w:val="7B1CFD50"/>
    <w:rsid w:val="7B1E7AD5"/>
    <w:rsid w:val="7B23EF6A"/>
    <w:rsid w:val="7B2EA408"/>
    <w:rsid w:val="7B303C51"/>
    <w:rsid w:val="7B3A5567"/>
    <w:rsid w:val="7B3EC8B4"/>
    <w:rsid w:val="7B3F62A4"/>
    <w:rsid w:val="7B405048"/>
    <w:rsid w:val="7B47E108"/>
    <w:rsid w:val="7B4B365F"/>
    <w:rsid w:val="7B4CB3A1"/>
    <w:rsid w:val="7B4DD544"/>
    <w:rsid w:val="7B4E4187"/>
    <w:rsid w:val="7B5DBFEC"/>
    <w:rsid w:val="7B6047B2"/>
    <w:rsid w:val="7B635AF9"/>
    <w:rsid w:val="7B6519F1"/>
    <w:rsid w:val="7B65D7A0"/>
    <w:rsid w:val="7B684385"/>
    <w:rsid w:val="7B6F36B1"/>
    <w:rsid w:val="7B6F87B9"/>
    <w:rsid w:val="7B7051F0"/>
    <w:rsid w:val="7B724A8E"/>
    <w:rsid w:val="7B743AA2"/>
    <w:rsid w:val="7B74D598"/>
    <w:rsid w:val="7B8B59BF"/>
    <w:rsid w:val="7B8DC0B9"/>
    <w:rsid w:val="7B907F06"/>
    <w:rsid w:val="7B9137E6"/>
    <w:rsid w:val="7B942621"/>
    <w:rsid w:val="7B9564A1"/>
    <w:rsid w:val="7B974C5A"/>
    <w:rsid w:val="7B9841F7"/>
    <w:rsid w:val="7B9B6666"/>
    <w:rsid w:val="7B9DC466"/>
    <w:rsid w:val="7BA69154"/>
    <w:rsid w:val="7BA813B6"/>
    <w:rsid w:val="7BAE11A0"/>
    <w:rsid w:val="7BB308F7"/>
    <w:rsid w:val="7BB9ECE2"/>
    <w:rsid w:val="7BC2AAF2"/>
    <w:rsid w:val="7BC2D4E4"/>
    <w:rsid w:val="7BC3EAC3"/>
    <w:rsid w:val="7BC78C8A"/>
    <w:rsid w:val="7BCEDFB2"/>
    <w:rsid w:val="7BD18869"/>
    <w:rsid w:val="7BD434BA"/>
    <w:rsid w:val="7BD9475D"/>
    <w:rsid w:val="7BDF5513"/>
    <w:rsid w:val="7BE15841"/>
    <w:rsid w:val="7BEAF37F"/>
    <w:rsid w:val="7BEB1036"/>
    <w:rsid w:val="7BEBF98F"/>
    <w:rsid w:val="7BED7124"/>
    <w:rsid w:val="7BEDDED8"/>
    <w:rsid w:val="7BF0798A"/>
    <w:rsid w:val="7BF0D218"/>
    <w:rsid w:val="7BF668D1"/>
    <w:rsid w:val="7BFBC075"/>
    <w:rsid w:val="7C024B01"/>
    <w:rsid w:val="7C03144F"/>
    <w:rsid w:val="7C102A6B"/>
    <w:rsid w:val="7C17AF33"/>
    <w:rsid w:val="7C2230F9"/>
    <w:rsid w:val="7C277541"/>
    <w:rsid w:val="7C2808A0"/>
    <w:rsid w:val="7C29EC2E"/>
    <w:rsid w:val="7C3486B1"/>
    <w:rsid w:val="7C382BC1"/>
    <w:rsid w:val="7C3C9083"/>
    <w:rsid w:val="7C3D39F7"/>
    <w:rsid w:val="7C4542A5"/>
    <w:rsid w:val="7C496C90"/>
    <w:rsid w:val="7C4F68D4"/>
    <w:rsid w:val="7C50E593"/>
    <w:rsid w:val="7C543DD4"/>
    <w:rsid w:val="7C560977"/>
    <w:rsid w:val="7C575A60"/>
    <w:rsid w:val="7C58486E"/>
    <w:rsid w:val="7C643E0D"/>
    <w:rsid w:val="7C66826E"/>
    <w:rsid w:val="7C6B6404"/>
    <w:rsid w:val="7C6BAD9E"/>
    <w:rsid w:val="7C724B94"/>
    <w:rsid w:val="7C757E5C"/>
    <w:rsid w:val="7C75B8EE"/>
    <w:rsid w:val="7C769962"/>
    <w:rsid w:val="7C76EF84"/>
    <w:rsid w:val="7C770B88"/>
    <w:rsid w:val="7C78DEA0"/>
    <w:rsid w:val="7C816438"/>
    <w:rsid w:val="7C86B03D"/>
    <w:rsid w:val="7C87A6C5"/>
    <w:rsid w:val="7C87F9B8"/>
    <w:rsid w:val="7C9F03E3"/>
    <w:rsid w:val="7CA2D951"/>
    <w:rsid w:val="7CA6B244"/>
    <w:rsid w:val="7CA85709"/>
    <w:rsid w:val="7CAD05CE"/>
    <w:rsid w:val="7CB9CCA0"/>
    <w:rsid w:val="7CBD356C"/>
    <w:rsid w:val="7CC3891F"/>
    <w:rsid w:val="7CC719D5"/>
    <w:rsid w:val="7CC7883F"/>
    <w:rsid w:val="7CC8AAD0"/>
    <w:rsid w:val="7CCBA1C5"/>
    <w:rsid w:val="7CCE3220"/>
    <w:rsid w:val="7CD06C46"/>
    <w:rsid w:val="7CD5518C"/>
    <w:rsid w:val="7CD61DE7"/>
    <w:rsid w:val="7CD754BB"/>
    <w:rsid w:val="7CD7E952"/>
    <w:rsid w:val="7CD9B1AD"/>
    <w:rsid w:val="7CDAEFDC"/>
    <w:rsid w:val="7CE6971F"/>
    <w:rsid w:val="7CEE7CF0"/>
    <w:rsid w:val="7D0C5724"/>
    <w:rsid w:val="7D143D14"/>
    <w:rsid w:val="7D1B42BF"/>
    <w:rsid w:val="7D25A1ED"/>
    <w:rsid w:val="7D27CA96"/>
    <w:rsid w:val="7D2A94B5"/>
    <w:rsid w:val="7D3076A8"/>
    <w:rsid w:val="7D3151CF"/>
    <w:rsid w:val="7D323F12"/>
    <w:rsid w:val="7D324E16"/>
    <w:rsid w:val="7D398D80"/>
    <w:rsid w:val="7D3C3F00"/>
    <w:rsid w:val="7D4055E5"/>
    <w:rsid w:val="7D41904E"/>
    <w:rsid w:val="7D422C77"/>
    <w:rsid w:val="7D445F44"/>
    <w:rsid w:val="7D4DBB1B"/>
    <w:rsid w:val="7D50A070"/>
    <w:rsid w:val="7D51BA87"/>
    <w:rsid w:val="7D55A270"/>
    <w:rsid w:val="7D56355E"/>
    <w:rsid w:val="7D56A07E"/>
    <w:rsid w:val="7D597D1D"/>
    <w:rsid w:val="7D5BE54F"/>
    <w:rsid w:val="7D5C0EEE"/>
    <w:rsid w:val="7D5FE8D6"/>
    <w:rsid w:val="7D68A095"/>
    <w:rsid w:val="7D6A9325"/>
    <w:rsid w:val="7D72FB95"/>
    <w:rsid w:val="7D72FD36"/>
    <w:rsid w:val="7D743DC3"/>
    <w:rsid w:val="7D74B44D"/>
    <w:rsid w:val="7D7620A6"/>
    <w:rsid w:val="7D7DB52C"/>
    <w:rsid w:val="7D841B0E"/>
    <w:rsid w:val="7D8457B4"/>
    <w:rsid w:val="7D8CADBA"/>
    <w:rsid w:val="7D8F3584"/>
    <w:rsid w:val="7D9B8627"/>
    <w:rsid w:val="7DA180C5"/>
    <w:rsid w:val="7DA2A0F6"/>
    <w:rsid w:val="7DA5E6FD"/>
    <w:rsid w:val="7DA9072D"/>
    <w:rsid w:val="7DA986A2"/>
    <w:rsid w:val="7DAD59A4"/>
    <w:rsid w:val="7DAEFE33"/>
    <w:rsid w:val="7DB1F182"/>
    <w:rsid w:val="7DB8328F"/>
    <w:rsid w:val="7DB887BC"/>
    <w:rsid w:val="7DB90D9E"/>
    <w:rsid w:val="7DBDBAAB"/>
    <w:rsid w:val="7DCDF963"/>
    <w:rsid w:val="7DD300DD"/>
    <w:rsid w:val="7DDF10D6"/>
    <w:rsid w:val="7DE004E5"/>
    <w:rsid w:val="7DE3A646"/>
    <w:rsid w:val="7DE47CFF"/>
    <w:rsid w:val="7DE550A7"/>
    <w:rsid w:val="7DF030C8"/>
    <w:rsid w:val="7DF096E6"/>
    <w:rsid w:val="7DF5DC3A"/>
    <w:rsid w:val="7DF71A47"/>
    <w:rsid w:val="7DF74C59"/>
    <w:rsid w:val="7DFE7219"/>
    <w:rsid w:val="7E051259"/>
    <w:rsid w:val="7E0A31C5"/>
    <w:rsid w:val="7E0B6205"/>
    <w:rsid w:val="7E0B9DA9"/>
    <w:rsid w:val="7E0DED57"/>
    <w:rsid w:val="7E1031A5"/>
    <w:rsid w:val="7E182D69"/>
    <w:rsid w:val="7E18D13F"/>
    <w:rsid w:val="7E1F2306"/>
    <w:rsid w:val="7E30A517"/>
    <w:rsid w:val="7E3218F5"/>
    <w:rsid w:val="7E335A62"/>
    <w:rsid w:val="7E35DCFF"/>
    <w:rsid w:val="7E403F1B"/>
    <w:rsid w:val="7E416F5C"/>
    <w:rsid w:val="7E4FF74E"/>
    <w:rsid w:val="7E54DF9D"/>
    <w:rsid w:val="7E5D5E45"/>
    <w:rsid w:val="7E6012AA"/>
    <w:rsid w:val="7E602B05"/>
    <w:rsid w:val="7E64184C"/>
    <w:rsid w:val="7E6BBB75"/>
    <w:rsid w:val="7E6E1749"/>
    <w:rsid w:val="7E74D77A"/>
    <w:rsid w:val="7E794EAD"/>
    <w:rsid w:val="7E815D9E"/>
    <w:rsid w:val="7E833EC2"/>
    <w:rsid w:val="7E83EC7E"/>
    <w:rsid w:val="7E83FA95"/>
    <w:rsid w:val="7E8B7162"/>
    <w:rsid w:val="7E966CB8"/>
    <w:rsid w:val="7E96ECA2"/>
    <w:rsid w:val="7E9F0B89"/>
    <w:rsid w:val="7E9F582B"/>
    <w:rsid w:val="7EA1291C"/>
    <w:rsid w:val="7EA77AC5"/>
    <w:rsid w:val="7EAAF0E6"/>
    <w:rsid w:val="7EB36D63"/>
    <w:rsid w:val="7EB7D885"/>
    <w:rsid w:val="7EBAC567"/>
    <w:rsid w:val="7EBC7DF7"/>
    <w:rsid w:val="7EC500B6"/>
    <w:rsid w:val="7EC6E892"/>
    <w:rsid w:val="7ECC61F0"/>
    <w:rsid w:val="7ED14046"/>
    <w:rsid w:val="7ED697D2"/>
    <w:rsid w:val="7EDE65A8"/>
    <w:rsid w:val="7EE29E72"/>
    <w:rsid w:val="7EE34659"/>
    <w:rsid w:val="7EE47ADE"/>
    <w:rsid w:val="7EE4F47B"/>
    <w:rsid w:val="7EE7A61C"/>
    <w:rsid w:val="7EEA9A6E"/>
    <w:rsid w:val="7EEACE4A"/>
    <w:rsid w:val="7EEB65B5"/>
    <w:rsid w:val="7EF194BD"/>
    <w:rsid w:val="7EFFFD02"/>
    <w:rsid w:val="7F18E984"/>
    <w:rsid w:val="7F2A584A"/>
    <w:rsid w:val="7F2DB656"/>
    <w:rsid w:val="7F315261"/>
    <w:rsid w:val="7F319225"/>
    <w:rsid w:val="7F3285B1"/>
    <w:rsid w:val="7F32B4CF"/>
    <w:rsid w:val="7F32E39A"/>
    <w:rsid w:val="7F33CE8D"/>
    <w:rsid w:val="7F3A0B60"/>
    <w:rsid w:val="7F46DE3C"/>
    <w:rsid w:val="7F4C528B"/>
    <w:rsid w:val="7F4D23F0"/>
    <w:rsid w:val="7F4DFFA9"/>
    <w:rsid w:val="7F4FA676"/>
    <w:rsid w:val="7F515143"/>
    <w:rsid w:val="7F535DBA"/>
    <w:rsid w:val="7F536112"/>
    <w:rsid w:val="7F54A72B"/>
    <w:rsid w:val="7F564B0D"/>
    <w:rsid w:val="7F57D8A0"/>
    <w:rsid w:val="7F676BE4"/>
    <w:rsid w:val="7F684D51"/>
    <w:rsid w:val="7F6A5850"/>
    <w:rsid w:val="7F6BADF2"/>
    <w:rsid w:val="7F6D0073"/>
    <w:rsid w:val="7F6F1D35"/>
    <w:rsid w:val="7F73DF75"/>
    <w:rsid w:val="7F787AF9"/>
    <w:rsid w:val="7F7C1D47"/>
    <w:rsid w:val="7F7E7E0B"/>
    <w:rsid w:val="7F85599E"/>
    <w:rsid w:val="7F892877"/>
    <w:rsid w:val="7F8E73D6"/>
    <w:rsid w:val="7F8EBE9E"/>
    <w:rsid w:val="7F8F9D99"/>
    <w:rsid w:val="7F904205"/>
    <w:rsid w:val="7F9B149C"/>
    <w:rsid w:val="7F9F1B71"/>
    <w:rsid w:val="7FB073BB"/>
    <w:rsid w:val="7FB1927B"/>
    <w:rsid w:val="7FB3927D"/>
    <w:rsid w:val="7FB397A4"/>
    <w:rsid w:val="7FB5285C"/>
    <w:rsid w:val="7FBBE993"/>
    <w:rsid w:val="7FBD76F3"/>
    <w:rsid w:val="7FBDB49B"/>
    <w:rsid w:val="7FBE2CCF"/>
    <w:rsid w:val="7FC03EB9"/>
    <w:rsid w:val="7FC09AE1"/>
    <w:rsid w:val="7FC16ACF"/>
    <w:rsid w:val="7FC567E0"/>
    <w:rsid w:val="7FD745D2"/>
    <w:rsid w:val="7FD79BC7"/>
    <w:rsid w:val="7FDEDC35"/>
    <w:rsid w:val="7FE0359E"/>
    <w:rsid w:val="7FE2301D"/>
    <w:rsid w:val="7FE371F7"/>
    <w:rsid w:val="7FE3BAEE"/>
    <w:rsid w:val="7FE5B57C"/>
    <w:rsid w:val="7FE61468"/>
    <w:rsid w:val="7FF794BE"/>
    <w:rsid w:val="7FF7DA22"/>
    <w:rsid w:val="7FF96E6D"/>
    <w:rsid w:val="7FFC3E1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0CF28"/>
  <w15:docId w15:val="{968009FF-EE87-4049-95B3-0F636273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F4"/>
    <w:rPr>
      <w:rFonts w:ascii="Arial" w:eastAsiaTheme="minorEastAsia" w:hAnsi="Arial"/>
      <w:szCs w:val="24"/>
      <w:lang w:eastAsia="ja-JP"/>
    </w:rPr>
  </w:style>
  <w:style w:type="paragraph" w:styleId="Heading1">
    <w:name w:val="heading 1"/>
    <w:basedOn w:val="Normal"/>
    <w:next w:val="Normal"/>
    <w:link w:val="Heading1Char"/>
    <w:uiPriority w:val="9"/>
    <w:qFormat/>
    <w:rsid w:val="00F8712E"/>
    <w:pPr>
      <w:jc w:val="center"/>
      <w:outlineLvl w:val="0"/>
    </w:pPr>
    <w:rPr>
      <w:b/>
      <w:color w:val="FEFFFF" w:themeColor="background1"/>
      <w:sz w:val="48"/>
      <w:szCs w:val="48"/>
    </w:rPr>
  </w:style>
  <w:style w:type="paragraph" w:styleId="Heading2">
    <w:name w:val="heading 2"/>
    <w:aliases w:val="Board Brief - Paragraph Heading 2"/>
    <w:basedOn w:val="Heading1"/>
    <w:next w:val="Normal"/>
    <w:link w:val="Heading2Char"/>
    <w:uiPriority w:val="9"/>
    <w:unhideWhenUsed/>
    <w:qFormat/>
    <w:rsid w:val="00F317CA"/>
    <w:pPr>
      <w:numPr>
        <w:numId w:val="19"/>
      </w:numPr>
      <w:spacing w:before="600" w:after="300"/>
      <w:ind w:left="432" w:hanging="432"/>
      <w:jc w:val="left"/>
      <w:outlineLvl w:val="1"/>
    </w:pPr>
    <w:rPr>
      <w:color w:val="6B2976" w:themeColor="background2"/>
      <w:sz w:val="36"/>
      <w:szCs w:val="36"/>
    </w:rPr>
  </w:style>
  <w:style w:type="paragraph" w:styleId="Heading3">
    <w:name w:val="heading 3"/>
    <w:basedOn w:val="Normal"/>
    <w:next w:val="Normal"/>
    <w:link w:val="Heading3Char"/>
    <w:uiPriority w:val="9"/>
    <w:unhideWhenUsed/>
    <w:qFormat/>
    <w:rsid w:val="00D9646F"/>
    <w:pPr>
      <w:keepNext/>
      <w:spacing w:before="360"/>
      <w:ind w:left="431"/>
      <w:outlineLvl w:val="2"/>
    </w:pPr>
    <w:rPr>
      <w:rFonts w:cs="Arial"/>
      <w:b/>
      <w:bCs/>
      <w:i/>
      <w:iCs/>
      <w:szCs w:val="22"/>
      <w:lang w:eastAsia="en-AU"/>
    </w:rPr>
  </w:style>
  <w:style w:type="paragraph" w:styleId="Heading4">
    <w:name w:val="heading 4"/>
    <w:basedOn w:val="Normal"/>
    <w:next w:val="Normal"/>
    <w:link w:val="Heading4Char"/>
    <w:uiPriority w:val="9"/>
    <w:unhideWhenUsed/>
    <w:rsid w:val="00352EE0"/>
    <w:pPr>
      <w:keepNext/>
      <w:spacing w:before="300"/>
      <w:ind w:left="864" w:hanging="864"/>
      <w:outlineLvl w:val="3"/>
    </w:pPr>
    <w:rPr>
      <w:bCs/>
      <w:i/>
      <w:iCs/>
      <w:color w:val="6B2976" w:themeColor="background2"/>
      <w:szCs w:val="22"/>
    </w:rPr>
  </w:style>
  <w:style w:type="paragraph" w:styleId="Heading5">
    <w:name w:val="heading 5"/>
    <w:basedOn w:val="Normal"/>
    <w:next w:val="Normal"/>
    <w:link w:val="Heading5Char"/>
    <w:uiPriority w:val="9"/>
    <w:unhideWhenUsed/>
    <w:rsid w:val="00EC4364"/>
    <w:pPr>
      <w:spacing w:before="400"/>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C57CD1"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12E"/>
    <w:rPr>
      <w:rFonts w:ascii="Arial" w:eastAsiaTheme="minorEastAsia" w:hAnsi="Arial"/>
      <w:b/>
      <w:color w:val="FEFFFF" w:themeColor="background1"/>
      <w:sz w:val="48"/>
      <w:szCs w:val="48"/>
      <w:lang w:eastAsia="ja-JP"/>
    </w:rPr>
  </w:style>
  <w:style w:type="character" w:customStyle="1" w:styleId="Heading2Char">
    <w:name w:val="Heading 2 Char"/>
    <w:aliases w:val="Board Brief - Paragraph Heading 2 Char"/>
    <w:basedOn w:val="DefaultParagraphFont"/>
    <w:link w:val="Heading2"/>
    <w:uiPriority w:val="9"/>
    <w:rsid w:val="00F317CA"/>
    <w:rPr>
      <w:rFonts w:ascii="Arial" w:eastAsiaTheme="minorEastAsia" w:hAnsi="Arial"/>
      <w:b/>
      <w:color w:val="6B2976" w:themeColor="background2"/>
      <w:sz w:val="36"/>
      <w:szCs w:val="36"/>
      <w:lang w:eastAsia="ja-JP"/>
    </w:rPr>
  </w:style>
  <w:style w:type="character" w:customStyle="1" w:styleId="Heading3Char">
    <w:name w:val="Heading 3 Char"/>
    <w:basedOn w:val="DefaultParagraphFont"/>
    <w:link w:val="Heading3"/>
    <w:uiPriority w:val="9"/>
    <w:rsid w:val="00D9646F"/>
    <w:rPr>
      <w:rFonts w:ascii="Arial" w:eastAsiaTheme="minorEastAsia" w:hAnsi="Arial" w:cs="Arial"/>
      <w:b/>
      <w:bCs/>
      <w:i/>
      <w:iCs/>
      <w:lang w:eastAsia="en-AU"/>
    </w:rPr>
  </w:style>
  <w:style w:type="character" w:customStyle="1" w:styleId="Heading4Char">
    <w:name w:val="Heading 4 Char"/>
    <w:basedOn w:val="DefaultParagraphFont"/>
    <w:link w:val="Heading4"/>
    <w:uiPriority w:val="9"/>
    <w:rsid w:val="00352EE0"/>
    <w:rPr>
      <w:rFonts w:ascii="Arial" w:eastAsiaTheme="minorEastAsia" w:hAnsi="Arial"/>
      <w:bCs/>
      <w:i/>
      <w:iCs/>
      <w:color w:val="6B2976" w:themeColor="background2"/>
      <w:lang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57CD1"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lang w:eastAsia="ja-JP"/>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lang w:eastAsia="ja-JP"/>
    </w:rPr>
  </w:style>
  <w:style w:type="paragraph" w:styleId="ListParagraph">
    <w:name w:val="List Paragraph"/>
    <w:aliases w:val="First level bullet point,List Paragraph1,List Paragraph11,Bullet point,L,Recommendation,Figure_name,Bullet- First level,Listenabsatz1,#List Paragraph,NFP GP Bulleted List,List Paragraph2,Bullet Point,Bullet points,Content descriptions,列出段"/>
    <w:basedOn w:val="Normal"/>
    <w:link w:val="ListParagraphChar"/>
    <w:uiPriority w:val="34"/>
    <w:qFormat/>
    <w:rsid w:val="00427897"/>
    <w:pPr>
      <w:ind w:left="284" w:hanging="284"/>
    </w:pPr>
  </w:style>
  <w:style w:type="table" w:customStyle="1" w:styleId="GUIDEQUESTION">
    <w:name w:val="GUIDE QUESTION"/>
    <w:basedOn w:val="TableNormal"/>
    <w:uiPriority w:val="99"/>
    <w:rsid w:val="00427897"/>
    <w:tblPr>
      <w:tblBorders>
        <w:top w:val="single" w:sz="4" w:space="0" w:color="auto"/>
        <w:left w:val="single" w:sz="4" w:space="0" w:color="auto"/>
        <w:bottom w:val="single" w:sz="4" w:space="0" w:color="auto"/>
        <w:right w:val="single" w:sz="4" w:space="0" w:color="auto"/>
      </w:tblBorders>
    </w:tblPr>
    <w:tcPr>
      <w:shd w:val="clear" w:color="auto" w:fill="E7F3D8" w:themeFill="text2" w:themeFillTint="33"/>
    </w:tcPr>
  </w:style>
  <w:style w:type="paragraph" w:styleId="Caption">
    <w:name w:val="caption"/>
    <w:basedOn w:val="Normal"/>
    <w:next w:val="Normal"/>
    <w:link w:val="CaptionChar"/>
    <w:uiPriority w:val="35"/>
    <w:unhideWhenUsed/>
    <w:qFormat/>
    <w:rsid w:val="007F2E84"/>
    <w:pPr>
      <w:keepNext/>
      <w:spacing w:before="300"/>
      <w:jc w:val="center"/>
    </w:pPr>
    <w:rPr>
      <w:b/>
      <w:bCs/>
      <w:caps/>
      <w:color w:val="6B2976" w:themeColor="background2"/>
      <w:sz w:val="16"/>
      <w:szCs w:val="18"/>
    </w:rPr>
  </w:style>
  <w:style w:type="character" w:customStyle="1" w:styleId="CaptionChar">
    <w:name w:val="Caption Char"/>
    <w:basedOn w:val="DefaultParagraphFont"/>
    <w:link w:val="Caption"/>
    <w:uiPriority w:val="35"/>
    <w:rsid w:val="007F2E84"/>
    <w:rPr>
      <w:rFonts w:ascii="Arial" w:eastAsiaTheme="minorEastAsia" w:hAnsi="Arial"/>
      <w:b/>
      <w:bCs/>
      <w:caps/>
      <w:color w:val="6B2976" w:themeColor="background2"/>
      <w:sz w:val="16"/>
      <w:szCs w:val="18"/>
      <w:lang w:eastAsia="ja-JP"/>
    </w:rPr>
  </w:style>
  <w:style w:type="paragraph" w:styleId="Header">
    <w:name w:val="header"/>
    <w:basedOn w:val="Normal"/>
    <w:link w:val="HeaderChar"/>
    <w:uiPriority w:val="99"/>
    <w:unhideWhenUsed/>
    <w:qFormat/>
    <w:rsid w:val="008936FB"/>
    <w:pPr>
      <w:pBdr>
        <w:bottom w:val="single" w:sz="8" w:space="1" w:color="auto"/>
      </w:pBdr>
      <w:tabs>
        <w:tab w:val="center" w:pos="4513"/>
        <w:tab w:val="right" w:pos="9026"/>
      </w:tabs>
      <w:spacing w:before="0" w:after="0" w:line="240" w:lineRule="auto"/>
    </w:pPr>
    <w:rPr>
      <w:color w:val="6B2976" w:themeColor="background2"/>
    </w:rPr>
  </w:style>
  <w:style w:type="character" w:customStyle="1" w:styleId="HeaderChar">
    <w:name w:val="Header Char"/>
    <w:basedOn w:val="DefaultParagraphFont"/>
    <w:link w:val="Header"/>
    <w:uiPriority w:val="99"/>
    <w:rsid w:val="008936FB"/>
    <w:rPr>
      <w:rFonts w:ascii="Arial" w:eastAsiaTheme="minorEastAsia" w:hAnsi="Arial"/>
      <w:color w:val="6B2976" w:themeColor="background2"/>
      <w:szCs w:val="24"/>
      <w:lang w:val="en-US" w:eastAsia="ja-JP"/>
    </w:rPr>
  </w:style>
  <w:style w:type="paragraph" w:styleId="Footer">
    <w:name w:val="footer"/>
    <w:basedOn w:val="Normal"/>
    <w:link w:val="FooterChar"/>
    <w:uiPriority w:val="99"/>
    <w:unhideWhenUsed/>
    <w:rsid w:val="008936FB"/>
    <w:pPr>
      <w:pBdr>
        <w:top w:val="single" w:sz="8" w:space="12" w:color="6B2976"/>
      </w:pBdr>
      <w:tabs>
        <w:tab w:val="center" w:pos="4513"/>
        <w:tab w:val="right" w:pos="9026"/>
      </w:tabs>
      <w:spacing w:before="0" w:after="0" w:line="240" w:lineRule="auto"/>
    </w:pPr>
    <w:rPr>
      <w:color w:val="6B2976"/>
      <w:sz w:val="18"/>
    </w:rPr>
  </w:style>
  <w:style w:type="character" w:customStyle="1" w:styleId="FooterChar">
    <w:name w:val="Footer Char"/>
    <w:basedOn w:val="DefaultParagraphFont"/>
    <w:link w:val="Footer"/>
    <w:uiPriority w:val="99"/>
    <w:rsid w:val="008936FB"/>
    <w:rPr>
      <w:rFonts w:ascii="Arial" w:eastAsiaTheme="minorEastAsia" w:hAnsi="Arial"/>
      <w:color w:val="6B2976"/>
      <w:sz w:val="18"/>
      <w:szCs w:val="24"/>
      <w:lang w:val="en-US" w:eastAsia="ja-JP"/>
    </w:rPr>
  </w:style>
  <w:style w:type="character" w:styleId="Hyperlink">
    <w:name w:val="Hyperlink"/>
    <w:basedOn w:val="DefaultParagraphFont"/>
    <w:uiPriority w:val="99"/>
    <w:unhideWhenUsed/>
    <w:rsid w:val="0040062A"/>
    <w:rPr>
      <w:color w:val="0432FF" w:themeColor="hyperlink"/>
      <w:u w:val="single"/>
    </w:rPr>
  </w:style>
  <w:style w:type="paragraph" w:styleId="Revision">
    <w:name w:val="Revision"/>
    <w:hidden/>
    <w:uiPriority w:val="99"/>
    <w:semiHidden/>
    <w:rsid w:val="00CC3262"/>
    <w:pPr>
      <w:spacing w:after="0" w:line="240" w:lineRule="auto"/>
    </w:pPr>
    <w:rPr>
      <w:rFonts w:ascii="Arial" w:eastAsiaTheme="minorEastAsia" w:hAnsi="Arial"/>
      <w:szCs w:val="24"/>
      <w:lang w:val="en-US" w:eastAsia="ja-JP"/>
    </w:rPr>
  </w:style>
  <w:style w:type="paragraph" w:styleId="FootnoteText">
    <w:name w:val="footnote text"/>
    <w:basedOn w:val="Normal"/>
    <w:link w:val="FootnoteTextChar"/>
    <w:uiPriority w:val="99"/>
    <w:unhideWhenUsed/>
    <w:qFormat/>
    <w:rsid w:val="005047C9"/>
    <w:pPr>
      <w:spacing w:after="0" w:line="240" w:lineRule="auto"/>
      <w:ind w:left="425" w:hanging="425"/>
    </w:pPr>
    <w:rPr>
      <w:sz w:val="20"/>
      <w:szCs w:val="20"/>
    </w:rPr>
  </w:style>
  <w:style w:type="character" w:customStyle="1" w:styleId="FootnoteTextChar">
    <w:name w:val="Footnote Text Char"/>
    <w:basedOn w:val="DefaultParagraphFont"/>
    <w:link w:val="FootnoteText"/>
    <w:uiPriority w:val="99"/>
    <w:rsid w:val="005047C9"/>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D31AD3"/>
    <w:rPr>
      <w:vertAlign w:val="superscript"/>
    </w:rPr>
  </w:style>
  <w:style w:type="paragraph" w:customStyle="1" w:styleId="Footnotes">
    <w:name w:val="Footnotes"/>
    <w:basedOn w:val="Normal"/>
    <w:link w:val="FootnotesChar"/>
    <w:qFormat/>
    <w:rsid w:val="00206483"/>
    <w:pPr>
      <w:keepLines/>
      <w:spacing w:before="60" w:after="60" w:line="240" w:lineRule="atLeast"/>
      <w:ind w:left="284" w:hanging="284"/>
    </w:pPr>
    <w:rPr>
      <w:rFonts w:eastAsia="MS Mincho" w:cs="FSMe-Bold"/>
      <w:spacing w:val="-2"/>
      <w:sz w:val="18"/>
      <w:szCs w:val="16"/>
      <w:lang w:eastAsia="en-US"/>
    </w:rPr>
  </w:style>
  <w:style w:type="character" w:customStyle="1" w:styleId="FootnotesChar">
    <w:name w:val="Footnotes Char"/>
    <w:basedOn w:val="DefaultParagraphFont"/>
    <w:link w:val="Footnotes"/>
    <w:rsid w:val="00206483"/>
    <w:rPr>
      <w:rFonts w:ascii="Arial" w:eastAsia="MS Mincho" w:hAnsi="Arial" w:cs="FSMe-Bold"/>
      <w:spacing w:val="-2"/>
      <w:sz w:val="18"/>
      <w:szCs w:val="16"/>
    </w:rPr>
  </w:style>
  <w:style w:type="paragraph" w:styleId="TOAHeading">
    <w:name w:val="toa heading"/>
    <w:basedOn w:val="Normal"/>
    <w:next w:val="Normal"/>
    <w:uiPriority w:val="99"/>
    <w:unhideWhenUsed/>
    <w:rsid w:val="007667AF"/>
    <w:pPr>
      <w:spacing w:before="120" w:after="160" w:line="320" w:lineRule="atLeast"/>
    </w:pPr>
    <w:rPr>
      <w:rFonts w:asciiTheme="majorHAnsi" w:eastAsiaTheme="majorEastAsia" w:hAnsiTheme="majorHAnsi" w:cstheme="majorBidi"/>
      <w:b/>
      <w:bCs/>
      <w:lang w:eastAsia="en-US"/>
    </w:rPr>
  </w:style>
  <w:style w:type="table" w:styleId="TableGrid">
    <w:name w:val="Table Grid"/>
    <w:basedOn w:val="TableNormal"/>
    <w:uiPriority w:val="39"/>
    <w:rsid w:val="00FA66D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A45AD6"/>
    <w:pPr>
      <w:tabs>
        <w:tab w:val="right" w:leader="dot" w:pos="9060"/>
      </w:tabs>
      <w:ind w:left="567" w:hanging="567"/>
    </w:pPr>
    <w:rPr>
      <w:noProof/>
    </w:rPr>
  </w:style>
  <w:style w:type="paragraph" w:styleId="TOC3">
    <w:name w:val="toc 3"/>
    <w:basedOn w:val="Normal"/>
    <w:next w:val="Normal"/>
    <w:autoRedefine/>
    <w:uiPriority w:val="39"/>
    <w:unhideWhenUsed/>
    <w:qFormat/>
    <w:rsid w:val="00721A0E"/>
    <w:pPr>
      <w:tabs>
        <w:tab w:val="right" w:leader="dot" w:pos="9060"/>
      </w:tabs>
      <w:ind w:left="1134" w:hanging="567"/>
    </w:pPr>
  </w:style>
  <w:style w:type="paragraph" w:styleId="TOC1">
    <w:name w:val="toc 1"/>
    <w:basedOn w:val="Normal"/>
    <w:next w:val="Normal"/>
    <w:autoRedefine/>
    <w:uiPriority w:val="39"/>
    <w:unhideWhenUsed/>
    <w:qFormat/>
    <w:rsid w:val="00D30725"/>
    <w:pPr>
      <w:keepNext/>
      <w:tabs>
        <w:tab w:val="right" w:leader="dot" w:pos="9060"/>
      </w:tabs>
      <w:spacing w:before="200"/>
      <w:ind w:left="567" w:hanging="567"/>
    </w:pPr>
    <w:rPr>
      <w:b/>
      <w:noProof/>
    </w:rPr>
  </w:style>
  <w:style w:type="paragraph" w:styleId="NoSpacing">
    <w:name w:val="No Spacing"/>
    <w:link w:val="NoSpacingChar"/>
    <w:uiPriority w:val="1"/>
    <w:unhideWhenUsed/>
    <w:qFormat/>
    <w:rsid w:val="00DE55E6"/>
    <w:pPr>
      <w:spacing w:before="160" w:after="0" w:line="240" w:lineRule="auto"/>
    </w:pPr>
    <w:rPr>
      <w:rFonts w:ascii="Times New Roman" w:eastAsia="Times New Roman" w:hAnsi="Times New Roman" w:cs="Times New Roman"/>
      <w:sz w:val="26"/>
      <w:szCs w:val="20"/>
      <w:lang w:val="en-US"/>
    </w:rPr>
  </w:style>
  <w:style w:type="character" w:customStyle="1" w:styleId="NoSpacingChar">
    <w:name w:val="No Spacing Char"/>
    <w:basedOn w:val="DefaultParagraphFont"/>
    <w:link w:val="NoSpacing"/>
    <w:uiPriority w:val="1"/>
    <w:rsid w:val="00DE55E6"/>
    <w:rPr>
      <w:rFonts w:ascii="Times New Roman" w:eastAsia="Times New Roman" w:hAnsi="Times New Roman" w:cs="Times New Roman"/>
      <w:sz w:val="26"/>
      <w:szCs w:val="20"/>
      <w:lang w:val="en-US"/>
    </w:rPr>
  </w:style>
  <w:style w:type="table" w:styleId="ListTable4-Accent2">
    <w:name w:val="List Table 4 Accent 2"/>
    <w:basedOn w:val="TableNormal"/>
    <w:uiPriority w:val="49"/>
    <w:rsid w:val="00DE55E6"/>
    <w:pPr>
      <w:spacing w:after="0" w:line="240" w:lineRule="auto"/>
    </w:pPr>
    <w:tblPr>
      <w:tblStyleRowBandSize w:val="1"/>
      <w:tblStyleColBandSize w:val="1"/>
      <w:tblBorders>
        <w:top w:val="single" w:sz="4" w:space="0" w:color="B8DC8C" w:themeColor="accent2" w:themeTint="99"/>
        <w:left w:val="single" w:sz="4" w:space="0" w:color="B8DC8C" w:themeColor="accent2" w:themeTint="99"/>
        <w:bottom w:val="single" w:sz="4" w:space="0" w:color="B8DC8C" w:themeColor="accent2" w:themeTint="99"/>
        <w:right w:val="single" w:sz="4" w:space="0" w:color="B8DC8C" w:themeColor="accent2" w:themeTint="99"/>
        <w:insideH w:val="single" w:sz="4" w:space="0" w:color="B8DC8C" w:themeColor="accent2" w:themeTint="99"/>
      </w:tblBorders>
    </w:tblPr>
    <w:tblStylePr w:type="firstRow">
      <w:rPr>
        <w:b/>
        <w:bCs/>
        <w:color w:val="FEFFFF" w:themeColor="background1"/>
      </w:rPr>
      <w:tblPr/>
      <w:tcPr>
        <w:tcBorders>
          <w:top w:val="single" w:sz="4" w:space="0" w:color="8AC640" w:themeColor="accent2"/>
          <w:left w:val="single" w:sz="4" w:space="0" w:color="8AC640" w:themeColor="accent2"/>
          <w:bottom w:val="single" w:sz="4" w:space="0" w:color="8AC640" w:themeColor="accent2"/>
          <w:right w:val="single" w:sz="4" w:space="0" w:color="8AC640" w:themeColor="accent2"/>
          <w:insideH w:val="nil"/>
        </w:tcBorders>
        <w:shd w:val="clear" w:color="auto" w:fill="8AC640" w:themeFill="accent2"/>
      </w:tcPr>
    </w:tblStylePr>
    <w:tblStylePr w:type="lastRow">
      <w:rPr>
        <w:b/>
        <w:bCs/>
      </w:rPr>
      <w:tblPr/>
      <w:tcPr>
        <w:tcBorders>
          <w:top w:val="double" w:sz="4" w:space="0" w:color="B8DC8C" w:themeColor="accent2" w:themeTint="99"/>
        </w:tcBorders>
      </w:tc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2-Accent2">
    <w:name w:val="List Table 2 Accent 2"/>
    <w:basedOn w:val="TableNormal"/>
    <w:uiPriority w:val="47"/>
    <w:rsid w:val="00267493"/>
    <w:pPr>
      <w:spacing w:after="0" w:line="240" w:lineRule="auto"/>
    </w:pPr>
    <w:tblPr>
      <w:tblStyleRowBandSize w:val="1"/>
      <w:tblStyleColBandSize w:val="1"/>
      <w:tblBorders>
        <w:top w:val="single" w:sz="4" w:space="0" w:color="B8DC8C" w:themeColor="accent2" w:themeTint="99"/>
        <w:bottom w:val="single" w:sz="4" w:space="0" w:color="B8DC8C" w:themeColor="accent2" w:themeTint="99"/>
        <w:insideH w:val="single" w:sz="4" w:space="0" w:color="B8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D8" w:themeFill="accent2" w:themeFillTint="33"/>
      </w:tcPr>
    </w:tblStylePr>
    <w:tblStylePr w:type="band1Horz">
      <w:tblPr/>
      <w:tcPr>
        <w:shd w:val="clear" w:color="auto" w:fill="E7F3D8" w:themeFill="accent2" w:themeFillTint="33"/>
      </w:tcPr>
    </w:tblStylePr>
  </w:style>
  <w:style w:type="table" w:styleId="ListTable4-Accent1">
    <w:name w:val="List Table 4 Accent 1"/>
    <w:basedOn w:val="TableNormal"/>
    <w:uiPriority w:val="49"/>
    <w:rsid w:val="00D935A3"/>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tcBorders>
        <w:shd w:val="clear" w:color="auto" w:fill="6B2976" w:themeFill="accent1"/>
      </w:tcPr>
    </w:tblStylePr>
    <w:tblStylePr w:type="lastRow">
      <w:rPr>
        <w:b/>
        <w:bCs/>
      </w:rPr>
      <w:tblPr/>
      <w:tcPr>
        <w:tcBorders>
          <w:top w:val="double" w:sz="4" w:space="0" w:color="B962C8"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styleId="FollowedHyperlink">
    <w:name w:val="FollowedHyperlink"/>
    <w:basedOn w:val="DefaultParagraphFont"/>
    <w:uiPriority w:val="99"/>
    <w:semiHidden/>
    <w:unhideWhenUsed/>
    <w:rsid w:val="00754F95"/>
    <w:rPr>
      <w:color w:val="929292" w:themeColor="followedHyperlink"/>
      <w:u w:val="single"/>
    </w:rPr>
  </w:style>
  <w:style w:type="table" w:styleId="GridTable4-Accent1">
    <w:name w:val="Grid Table 4 Accent 1"/>
    <w:basedOn w:val="TableNormal"/>
    <w:uiPriority w:val="49"/>
    <w:rsid w:val="006B14EB"/>
    <w:pPr>
      <w:spacing w:after="0" w:line="240" w:lineRule="auto"/>
    </w:pPr>
    <w:tblPr>
      <w:tblStyleRowBandSize w:val="1"/>
      <w:tblStyleColBandSize w:val="1"/>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character" w:customStyle="1" w:styleId="ListParagraphChar">
    <w:name w:val="List Paragraph Char"/>
    <w:aliases w:val="First level bullet point Char,List Paragraph1 Char,List Paragraph11 Char,Bullet point Char,L Char,Recommendation Char,Figure_name Char,Bullet- First level Char,Listenabsatz1 Char,#List Paragraph Char,NFP GP Bulleted List Char"/>
    <w:basedOn w:val="DefaultParagraphFont"/>
    <w:link w:val="ListParagraph"/>
    <w:uiPriority w:val="34"/>
    <w:qFormat/>
    <w:rsid w:val="00E466EA"/>
    <w:rPr>
      <w:rFonts w:ascii="Arial" w:eastAsiaTheme="minorEastAsia" w:hAnsi="Arial"/>
      <w:szCs w:val="24"/>
      <w:lang w:eastAsia="ja-JP"/>
    </w:rPr>
  </w:style>
  <w:style w:type="paragraph" w:styleId="BalloonText">
    <w:name w:val="Balloon Text"/>
    <w:basedOn w:val="Normal"/>
    <w:link w:val="BalloonTextChar"/>
    <w:uiPriority w:val="99"/>
    <w:semiHidden/>
    <w:unhideWhenUsed/>
    <w:rsid w:val="004F15D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5DD"/>
    <w:rPr>
      <w:rFonts w:ascii="Segoe UI" w:eastAsiaTheme="minorEastAsia" w:hAnsi="Segoe UI" w:cs="Segoe UI"/>
      <w:sz w:val="18"/>
      <w:szCs w:val="18"/>
      <w:lang w:eastAsia="ja-JP"/>
    </w:rPr>
  </w:style>
  <w:style w:type="table" w:styleId="GridTable4">
    <w:name w:val="Grid Table 4"/>
    <w:basedOn w:val="TableNormal"/>
    <w:uiPriority w:val="49"/>
    <w:rsid w:val="00E147EC"/>
    <w:pPr>
      <w:spacing w:after="0" w:line="240" w:lineRule="auto"/>
    </w:pPr>
    <w:tblPr>
      <w:tblStyleRowBandSize w:val="1"/>
      <w:tblStyleColBandSize w:val="1"/>
      <w:tblBorders>
        <w:top w:val="single" w:sz="4" w:space="0" w:color="B962C8" w:themeColor="text1" w:themeTint="99"/>
        <w:left w:val="single" w:sz="4" w:space="0" w:color="B962C8" w:themeColor="text1" w:themeTint="99"/>
        <w:bottom w:val="single" w:sz="4" w:space="0" w:color="B962C8" w:themeColor="text1" w:themeTint="99"/>
        <w:right w:val="single" w:sz="4" w:space="0" w:color="B962C8" w:themeColor="text1" w:themeTint="99"/>
        <w:insideH w:val="single" w:sz="4" w:space="0" w:color="B962C8" w:themeColor="text1" w:themeTint="99"/>
        <w:insideV w:val="single" w:sz="4" w:space="0" w:color="B962C8" w:themeColor="text1" w:themeTint="99"/>
      </w:tblBorders>
    </w:tblPr>
    <w:tblStylePr w:type="firstRow">
      <w:rPr>
        <w:b/>
        <w:bCs/>
        <w:color w:val="FEFFFF" w:themeColor="background1"/>
      </w:rPr>
      <w:tblPr/>
      <w:tcPr>
        <w:tcBorders>
          <w:top w:val="single" w:sz="4" w:space="0" w:color="6B2976" w:themeColor="text1"/>
          <w:left w:val="single" w:sz="4" w:space="0" w:color="6B2976" w:themeColor="text1"/>
          <w:bottom w:val="single" w:sz="4" w:space="0" w:color="6B2976" w:themeColor="text1"/>
          <w:right w:val="single" w:sz="4" w:space="0" w:color="6B2976" w:themeColor="text1"/>
          <w:insideH w:val="nil"/>
          <w:insideV w:val="nil"/>
        </w:tcBorders>
        <w:shd w:val="clear" w:color="auto" w:fill="6B2976" w:themeFill="text1"/>
      </w:tcPr>
    </w:tblStylePr>
    <w:tblStylePr w:type="lastRow">
      <w:rPr>
        <w:b/>
        <w:bCs/>
      </w:rPr>
      <w:tblPr/>
      <w:tcPr>
        <w:tcBorders>
          <w:top w:val="double" w:sz="4" w:space="0" w:color="6B2976" w:themeColor="text1"/>
        </w:tcBorders>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customStyle="1" w:styleId="QUESTION">
    <w:name w:val="QUESTION"/>
    <w:basedOn w:val="Normal"/>
    <w:link w:val="QUESTIONChar"/>
    <w:qFormat/>
    <w:rsid w:val="001D6AD3"/>
    <w:pPr>
      <w:numPr>
        <w:numId w:val="4"/>
      </w:numPr>
      <w:tabs>
        <w:tab w:val="left" w:pos="851"/>
      </w:tabs>
      <w:ind w:left="851" w:right="284" w:hanging="567"/>
    </w:pPr>
  </w:style>
  <w:style w:type="paragraph" w:styleId="TableofFigures">
    <w:name w:val="table of figures"/>
    <w:basedOn w:val="Normal"/>
    <w:next w:val="Normal"/>
    <w:uiPriority w:val="99"/>
    <w:unhideWhenUsed/>
    <w:rsid w:val="00480AA3"/>
    <w:pPr>
      <w:spacing w:after="0"/>
    </w:pPr>
  </w:style>
  <w:style w:type="character" w:customStyle="1" w:styleId="QUESTIONChar">
    <w:name w:val="QUESTION Char"/>
    <w:basedOn w:val="ListParagraphChar"/>
    <w:link w:val="QUESTION"/>
    <w:rsid w:val="001D6AD3"/>
    <w:rPr>
      <w:rFonts w:ascii="Arial" w:eastAsiaTheme="minorEastAsia" w:hAnsi="Arial"/>
      <w:szCs w:val="24"/>
      <w:lang w:eastAsia="ja-JP"/>
    </w:rPr>
  </w:style>
  <w:style w:type="character" w:styleId="PlaceholderText">
    <w:name w:val="Placeholder Text"/>
    <w:basedOn w:val="DefaultParagraphFont"/>
    <w:uiPriority w:val="99"/>
    <w:semiHidden/>
    <w:rsid w:val="00CA472D"/>
    <w:rPr>
      <w:color w:val="808080"/>
    </w:rPr>
  </w:style>
  <w:style w:type="character" w:styleId="CommentReference">
    <w:name w:val="annotation reference"/>
    <w:basedOn w:val="DefaultParagraphFont"/>
    <w:uiPriority w:val="99"/>
    <w:semiHidden/>
    <w:unhideWhenUsed/>
    <w:rsid w:val="00FD3455"/>
    <w:rPr>
      <w:sz w:val="16"/>
      <w:szCs w:val="16"/>
    </w:rPr>
  </w:style>
  <w:style w:type="paragraph" w:styleId="CommentText">
    <w:name w:val="annotation text"/>
    <w:basedOn w:val="Normal"/>
    <w:link w:val="CommentTextChar"/>
    <w:uiPriority w:val="99"/>
    <w:unhideWhenUsed/>
    <w:rsid w:val="00FD3455"/>
    <w:pPr>
      <w:spacing w:line="240" w:lineRule="auto"/>
    </w:pPr>
    <w:rPr>
      <w:sz w:val="20"/>
      <w:szCs w:val="20"/>
    </w:rPr>
  </w:style>
  <w:style w:type="character" w:customStyle="1" w:styleId="CommentTextChar">
    <w:name w:val="Comment Text Char"/>
    <w:basedOn w:val="DefaultParagraphFont"/>
    <w:link w:val="CommentText"/>
    <w:uiPriority w:val="99"/>
    <w:rsid w:val="00FD3455"/>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FD3455"/>
    <w:rPr>
      <w:b/>
      <w:bCs/>
    </w:rPr>
  </w:style>
  <w:style w:type="character" w:customStyle="1" w:styleId="CommentSubjectChar">
    <w:name w:val="Comment Subject Char"/>
    <w:basedOn w:val="CommentTextChar"/>
    <w:link w:val="CommentSubject"/>
    <w:uiPriority w:val="99"/>
    <w:semiHidden/>
    <w:rsid w:val="00FD3455"/>
    <w:rPr>
      <w:rFonts w:ascii="Arial" w:eastAsiaTheme="minorEastAsia" w:hAnsi="Arial"/>
      <w:b/>
      <w:bCs/>
      <w:sz w:val="20"/>
      <w:szCs w:val="20"/>
      <w:lang w:eastAsia="ja-JP"/>
    </w:rPr>
  </w:style>
  <w:style w:type="paragraph" w:styleId="NormalWeb">
    <w:name w:val="Normal (Web)"/>
    <w:basedOn w:val="Normal"/>
    <w:uiPriority w:val="99"/>
    <w:unhideWhenUsed/>
    <w:rsid w:val="000B3214"/>
    <w:pPr>
      <w:spacing w:beforeAutospacing="1" w:afterAutospacing="1" w:line="240" w:lineRule="auto"/>
    </w:pPr>
    <w:rPr>
      <w:rFonts w:ascii="Times New Roman" w:eastAsia="Times New Roman" w:hAnsi="Times New Roman" w:cs="Times New Roman"/>
      <w:sz w:val="24"/>
      <w:lang w:eastAsia="en-AU"/>
    </w:rPr>
  </w:style>
  <w:style w:type="paragraph" w:customStyle="1" w:styleId="Labels">
    <w:name w:val="Labels"/>
    <w:basedOn w:val="Caption"/>
    <w:link w:val="LabelsChar"/>
    <w:qFormat/>
    <w:rsid w:val="002F21A5"/>
    <w:rPr>
      <w:lang w:val="en-US"/>
    </w:rPr>
  </w:style>
  <w:style w:type="character" w:customStyle="1" w:styleId="LabelsChar">
    <w:name w:val="Labels Char"/>
    <w:basedOn w:val="CaptionChar"/>
    <w:link w:val="Labels"/>
    <w:rsid w:val="002F21A5"/>
    <w:rPr>
      <w:rFonts w:ascii="Arial" w:eastAsiaTheme="minorEastAsia" w:hAnsi="Arial"/>
      <w:b/>
      <w:bCs/>
      <w:caps/>
      <w:color w:val="6B2976" w:themeColor="background2"/>
      <w:sz w:val="16"/>
      <w:szCs w:val="18"/>
      <w:lang w:val="en-US" w:eastAsia="ja-JP"/>
    </w:rPr>
  </w:style>
  <w:style w:type="paragraph" w:customStyle="1" w:styleId="CEOBrief-Paragraph2">
    <w:name w:val="CEO Brief - Paragraph 2"/>
    <w:basedOn w:val="Normal"/>
    <w:qFormat/>
    <w:rsid w:val="004E53E1"/>
    <w:pPr>
      <w:spacing w:before="0" w:after="120" w:line="264" w:lineRule="auto"/>
      <w:ind w:left="1418" w:hanging="709"/>
    </w:pPr>
    <w:rPr>
      <w:rFonts w:cs="Arial"/>
      <w:sz w:val="21"/>
      <w:szCs w:val="21"/>
      <w:lang w:eastAsia="en-US"/>
    </w:rPr>
  </w:style>
  <w:style w:type="character" w:styleId="UnresolvedMention">
    <w:name w:val="Unresolved Mention"/>
    <w:basedOn w:val="DefaultParagraphFont"/>
    <w:uiPriority w:val="99"/>
    <w:semiHidden/>
    <w:unhideWhenUsed/>
    <w:rsid w:val="00591606"/>
    <w:rPr>
      <w:color w:val="605E5C"/>
      <w:shd w:val="clear" w:color="auto" w:fill="E1DFDD"/>
    </w:rPr>
  </w:style>
  <w:style w:type="paragraph" w:customStyle="1" w:styleId="Footnote">
    <w:name w:val="Footnote"/>
    <w:basedOn w:val="Normal"/>
    <w:link w:val="FootnoteChar"/>
    <w:qFormat/>
    <w:rsid w:val="002956CA"/>
    <w:pPr>
      <w:spacing w:before="60" w:after="60" w:line="240" w:lineRule="atLeast"/>
      <w:ind w:left="284" w:hanging="284"/>
    </w:pPr>
    <w:rPr>
      <w:sz w:val="18"/>
    </w:rPr>
  </w:style>
  <w:style w:type="character" w:customStyle="1" w:styleId="FootnoteChar">
    <w:name w:val="Footnote Char"/>
    <w:basedOn w:val="DefaultParagraphFont"/>
    <w:link w:val="Footnote"/>
    <w:rsid w:val="002956CA"/>
    <w:rPr>
      <w:rFonts w:ascii="Arial" w:eastAsiaTheme="minorEastAsia" w:hAnsi="Arial"/>
      <w:sz w:val="18"/>
      <w:szCs w:val="24"/>
      <w:lang w:eastAsia="ja-JP"/>
    </w:rPr>
  </w:style>
  <w:style w:type="character" w:styleId="EndnoteReference">
    <w:name w:val="endnote reference"/>
    <w:basedOn w:val="DefaultParagraphFont"/>
    <w:uiPriority w:val="99"/>
    <w:unhideWhenUsed/>
    <w:rsid w:val="002956CA"/>
    <w:rPr>
      <w:vertAlign w:val="superscript"/>
    </w:rPr>
  </w:style>
  <w:style w:type="paragraph" w:customStyle="1" w:styleId="Default">
    <w:name w:val="Default"/>
    <w:rsid w:val="00335BBE"/>
    <w:pPr>
      <w:autoSpaceDE w:val="0"/>
      <w:autoSpaceDN w:val="0"/>
      <w:adjustRightInd w:val="0"/>
      <w:spacing w:before="0" w:after="0" w:line="240" w:lineRule="auto"/>
    </w:pPr>
    <w:rPr>
      <w:rFonts w:ascii="Times New Roman" w:hAnsi="Times New Roman" w:cs="Times New Roman"/>
      <w:color w:val="000000"/>
      <w:sz w:val="24"/>
      <w:szCs w:val="24"/>
      <w:lang w:bidi="th-TH"/>
    </w:rPr>
  </w:style>
  <w:style w:type="character" w:customStyle="1" w:styleId="normaltextrun">
    <w:name w:val="normaltextrun"/>
    <w:basedOn w:val="DefaultParagraphFont"/>
    <w:rsid w:val="00961C82"/>
  </w:style>
  <w:style w:type="character" w:customStyle="1" w:styleId="eop">
    <w:name w:val="eop"/>
    <w:basedOn w:val="DefaultParagraphFont"/>
    <w:rsid w:val="00961C82"/>
  </w:style>
  <w:style w:type="paragraph" w:styleId="TOCHeading">
    <w:name w:val="TOC Heading"/>
    <w:basedOn w:val="Heading1"/>
    <w:next w:val="Normal"/>
    <w:uiPriority w:val="39"/>
    <w:unhideWhenUsed/>
    <w:qFormat/>
    <w:rsid w:val="00A45AD6"/>
    <w:pPr>
      <w:keepNext/>
      <w:keepLines/>
      <w:spacing w:before="240" w:after="0" w:line="259" w:lineRule="auto"/>
      <w:outlineLvl w:val="9"/>
    </w:pPr>
    <w:rPr>
      <w:rFonts w:asciiTheme="majorHAnsi" w:eastAsiaTheme="majorEastAsia" w:hAnsiTheme="majorHAnsi" w:cstheme="majorBidi"/>
      <w:b w:val="0"/>
      <w:color w:val="4F1E58" w:themeColor="accent1" w:themeShade="BF"/>
      <w:sz w:val="32"/>
      <w:szCs w:val="32"/>
      <w:lang w:val="en-US" w:eastAsia="en-US"/>
    </w:rPr>
  </w:style>
  <w:style w:type="table" w:styleId="GridTable1Light">
    <w:name w:val="Grid Table 1 Light"/>
    <w:basedOn w:val="TableNormal"/>
    <w:uiPriority w:val="46"/>
    <w:rsid w:val="00DE209F"/>
    <w:pPr>
      <w:spacing w:after="0" w:line="240" w:lineRule="auto"/>
    </w:pPr>
    <w:tblPr>
      <w:tblStyleRowBandSize w:val="1"/>
      <w:tblStyleColBandSize w:val="1"/>
      <w:tblBorders>
        <w:top w:val="single" w:sz="4" w:space="0" w:color="D096DA" w:themeColor="text1" w:themeTint="66"/>
        <w:left w:val="single" w:sz="4" w:space="0" w:color="D096DA" w:themeColor="text1" w:themeTint="66"/>
        <w:bottom w:val="single" w:sz="4" w:space="0" w:color="D096DA" w:themeColor="text1" w:themeTint="66"/>
        <w:right w:val="single" w:sz="4" w:space="0" w:color="D096DA" w:themeColor="text1" w:themeTint="66"/>
        <w:insideH w:val="single" w:sz="4" w:space="0" w:color="D096DA" w:themeColor="text1" w:themeTint="66"/>
        <w:insideV w:val="single" w:sz="4" w:space="0" w:color="D096DA" w:themeColor="text1" w:themeTint="66"/>
      </w:tblBorders>
    </w:tblPr>
    <w:tblStylePr w:type="firstRow">
      <w:rPr>
        <w:b/>
        <w:bCs/>
      </w:rPr>
      <w:tblPr/>
      <w:tcPr>
        <w:tcBorders>
          <w:bottom w:val="single" w:sz="12" w:space="0" w:color="B962C8" w:themeColor="text1" w:themeTint="99"/>
        </w:tcBorders>
      </w:tcPr>
    </w:tblStylePr>
    <w:tblStylePr w:type="lastRow">
      <w:rPr>
        <w:b/>
        <w:bCs/>
      </w:rPr>
      <w:tblPr/>
      <w:tcPr>
        <w:tcBorders>
          <w:top w:val="double" w:sz="2" w:space="0" w:color="B962C8" w:themeColor="text1"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pPr>
      <w:spacing w:after="0" w:line="240" w:lineRule="auto"/>
    </w:pPr>
    <w:tblPr>
      <w:tblStyleRowBandSize w:val="1"/>
      <w:tblStyleColBandSize w:val="1"/>
      <w:tblBorders>
        <w:top w:val="single" w:sz="4" w:space="0" w:color="FCC875" w:themeColor="accent4" w:themeTint="99"/>
        <w:left w:val="single" w:sz="4" w:space="0" w:color="FCC875" w:themeColor="accent4" w:themeTint="99"/>
        <w:bottom w:val="single" w:sz="4" w:space="0" w:color="FCC875" w:themeColor="accent4" w:themeTint="99"/>
        <w:right w:val="single" w:sz="4" w:space="0" w:color="FCC875" w:themeColor="accent4" w:themeTint="99"/>
        <w:insideH w:val="single" w:sz="4" w:space="0" w:color="FCC875" w:themeColor="accent4" w:themeTint="99"/>
        <w:insideV w:val="single" w:sz="4" w:space="0" w:color="FCC875" w:themeColor="accent4" w:themeTint="99"/>
      </w:tblBorders>
    </w:tblPr>
    <w:tblStylePr w:type="firstRow">
      <w:rPr>
        <w:b/>
        <w:bCs/>
        <w:color w:val="FEFFFF" w:themeColor="background1"/>
      </w:rPr>
      <w:tblPr/>
      <w:tcPr>
        <w:tcBorders>
          <w:top w:val="single" w:sz="4" w:space="0" w:color="FAA41A" w:themeColor="accent4"/>
          <w:left w:val="single" w:sz="4" w:space="0" w:color="FAA41A" w:themeColor="accent4"/>
          <w:bottom w:val="single" w:sz="4" w:space="0" w:color="FAA41A" w:themeColor="accent4"/>
          <w:right w:val="single" w:sz="4" w:space="0" w:color="FAA41A" w:themeColor="accent4"/>
          <w:insideH w:val="nil"/>
          <w:insideV w:val="nil"/>
        </w:tcBorders>
        <w:shd w:val="clear" w:color="auto" w:fill="FAA41A" w:themeFill="accent4"/>
      </w:tcPr>
    </w:tblStylePr>
    <w:tblStylePr w:type="lastRow">
      <w:rPr>
        <w:b/>
        <w:bCs/>
      </w:rPr>
      <w:tblPr/>
      <w:tcPr>
        <w:tcBorders>
          <w:top w:val="double" w:sz="4" w:space="0" w:color="FAA41A" w:themeColor="accent4"/>
        </w:tcBorders>
      </w:tcPr>
    </w:tblStylePr>
    <w:tblStylePr w:type="firstCol">
      <w:rPr>
        <w:b/>
        <w:bCs/>
      </w:rPr>
    </w:tblStylePr>
    <w:tblStylePr w:type="lastCol">
      <w:rPr>
        <w:b/>
        <w:bCs/>
      </w:rPr>
    </w:tblStylePr>
    <w:tblStylePr w:type="band1Vert">
      <w:tblPr/>
      <w:tcPr>
        <w:shd w:val="clear" w:color="auto" w:fill="FEECD1" w:themeFill="accent4" w:themeFillTint="33"/>
      </w:tcPr>
    </w:tblStylePr>
    <w:tblStylePr w:type="band1Horz">
      <w:tblPr/>
      <w:tcPr>
        <w:shd w:val="clear" w:color="auto" w:fill="FEECD1" w:themeFill="accent4" w:themeFillTint="33"/>
      </w:tcPr>
    </w:tblStylePr>
  </w:style>
  <w:style w:type="character" w:styleId="Mention">
    <w:name w:val="Mention"/>
    <w:basedOn w:val="DefaultParagraphFont"/>
    <w:uiPriority w:val="99"/>
    <w:unhideWhenUsed/>
    <w:rsid w:val="00067DF7"/>
    <w:rPr>
      <w:color w:val="2B579A"/>
      <w:shd w:val="clear" w:color="auto" w:fill="E1DFDD"/>
    </w:rPr>
  </w:style>
  <w:style w:type="character" w:customStyle="1" w:styleId="DotPointChar">
    <w:name w:val="Dot Point Char"/>
    <w:basedOn w:val="DefaultParagraphFont"/>
    <w:link w:val="DotPoint"/>
    <w:locked/>
    <w:rsid w:val="003C4252"/>
    <w:rPr>
      <w:rFonts w:ascii="Arial" w:eastAsiaTheme="minorEastAsia" w:hAnsi="Arial" w:cs="Arial"/>
      <w:szCs w:val="24"/>
      <w:lang w:eastAsia="ja-JP"/>
    </w:rPr>
  </w:style>
  <w:style w:type="paragraph" w:customStyle="1" w:styleId="DotPoint">
    <w:name w:val="Dot Point"/>
    <w:basedOn w:val="Normal"/>
    <w:link w:val="DotPointChar"/>
    <w:qFormat/>
    <w:rsid w:val="003C4252"/>
    <w:pPr>
      <w:numPr>
        <w:numId w:val="5"/>
      </w:numPr>
    </w:pPr>
    <w:rPr>
      <w:rFonts w:cs="Arial"/>
    </w:rPr>
  </w:style>
  <w:style w:type="paragraph" w:styleId="EndnoteText">
    <w:name w:val="endnote text"/>
    <w:basedOn w:val="Normal"/>
    <w:link w:val="EndnoteTextChar"/>
    <w:uiPriority w:val="99"/>
    <w:unhideWhenUsed/>
    <w:qFormat/>
    <w:rsid w:val="00C13800"/>
    <w:pPr>
      <w:spacing w:before="60" w:after="60" w:line="240" w:lineRule="atLeast"/>
      <w:ind w:left="284" w:hanging="284"/>
    </w:pPr>
    <w:rPr>
      <w:sz w:val="18"/>
      <w:szCs w:val="20"/>
    </w:rPr>
  </w:style>
  <w:style w:type="character" w:customStyle="1" w:styleId="EndnoteTextChar">
    <w:name w:val="Endnote Text Char"/>
    <w:basedOn w:val="DefaultParagraphFont"/>
    <w:link w:val="EndnoteText"/>
    <w:uiPriority w:val="99"/>
    <w:rsid w:val="00C13800"/>
    <w:rPr>
      <w:rFonts w:ascii="Arial" w:eastAsiaTheme="minorEastAsia" w:hAnsi="Arial"/>
      <w:sz w:val="18"/>
      <w:szCs w:val="20"/>
      <w:lang w:eastAsia="ja-JP"/>
    </w:rPr>
  </w:style>
  <w:style w:type="table" w:styleId="ListTable3-Accent6">
    <w:name w:val="List Table 3 Accent 6"/>
    <w:basedOn w:val="TableNormal"/>
    <w:uiPriority w:val="48"/>
    <w:rsid w:val="001807B8"/>
    <w:pPr>
      <w:spacing w:before="0" w:after="0" w:line="240" w:lineRule="auto"/>
    </w:pPr>
    <w:rPr>
      <w:lang w:val="en-GB"/>
    </w:rPr>
    <w:tblPr>
      <w:tblStyleRowBandSize w:val="1"/>
      <w:tblStyleColBandSize w:val="1"/>
      <w:tblBorders>
        <w:top w:val="single" w:sz="4" w:space="0" w:color="E35205" w:themeColor="accent6"/>
        <w:left w:val="single" w:sz="4" w:space="0" w:color="E35205" w:themeColor="accent6"/>
        <w:bottom w:val="single" w:sz="4" w:space="0" w:color="E35205" w:themeColor="accent6"/>
        <w:right w:val="single" w:sz="4" w:space="0" w:color="E35205" w:themeColor="accent6"/>
      </w:tblBorders>
    </w:tblPr>
    <w:tblStylePr w:type="firstRow">
      <w:rPr>
        <w:b/>
        <w:bCs/>
        <w:color w:val="FEFFFF" w:themeColor="background1"/>
      </w:rPr>
      <w:tblPr/>
      <w:tcPr>
        <w:shd w:val="clear" w:color="auto" w:fill="E35205" w:themeFill="accent6"/>
      </w:tcPr>
    </w:tblStylePr>
    <w:tblStylePr w:type="lastRow">
      <w:rPr>
        <w:b/>
        <w:bCs/>
      </w:rPr>
      <w:tblPr/>
      <w:tcPr>
        <w:tcBorders>
          <w:top w:val="double" w:sz="4" w:space="0" w:color="E35205" w:themeColor="accent6"/>
        </w:tcBorders>
        <w:shd w:val="clear" w:color="auto" w:fill="FEFFFF" w:themeFill="background1"/>
      </w:tcPr>
    </w:tblStylePr>
    <w:tblStylePr w:type="firstCol">
      <w:rPr>
        <w:b/>
        <w:bCs/>
      </w:rPr>
      <w:tblPr/>
      <w:tcPr>
        <w:tcBorders>
          <w:right w:val="nil"/>
        </w:tcBorders>
        <w:shd w:val="clear" w:color="auto" w:fill="FEFFFF" w:themeFill="background1"/>
      </w:tcPr>
    </w:tblStylePr>
    <w:tblStylePr w:type="lastCol">
      <w:rPr>
        <w:b/>
        <w:bCs/>
      </w:rPr>
      <w:tblPr/>
      <w:tcPr>
        <w:tcBorders>
          <w:left w:val="nil"/>
        </w:tcBorders>
        <w:shd w:val="clear" w:color="auto" w:fill="FEFFFF" w:themeFill="background1"/>
      </w:tcPr>
    </w:tblStylePr>
    <w:tblStylePr w:type="band1Vert">
      <w:tblPr/>
      <w:tcPr>
        <w:tcBorders>
          <w:left w:val="single" w:sz="4" w:space="0" w:color="E35205" w:themeColor="accent6"/>
          <w:right w:val="single" w:sz="4" w:space="0" w:color="E35205" w:themeColor="accent6"/>
        </w:tcBorders>
      </w:tcPr>
    </w:tblStylePr>
    <w:tblStylePr w:type="band1Horz">
      <w:tblPr/>
      <w:tcPr>
        <w:tcBorders>
          <w:top w:val="single" w:sz="4" w:space="0" w:color="E35205" w:themeColor="accent6"/>
          <w:bottom w:val="single" w:sz="4" w:space="0" w:color="E3520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205" w:themeColor="accent6"/>
          <w:left w:val="nil"/>
        </w:tcBorders>
      </w:tcPr>
    </w:tblStylePr>
    <w:tblStylePr w:type="swCell">
      <w:tblPr/>
      <w:tcPr>
        <w:tcBorders>
          <w:top w:val="double" w:sz="4" w:space="0" w:color="E35205" w:themeColor="accent6"/>
          <w:right w:val="nil"/>
        </w:tcBorders>
      </w:tcPr>
    </w:tblStylePr>
  </w:style>
  <w:style w:type="table" w:styleId="TableGridLight">
    <w:name w:val="Grid Table Light"/>
    <w:basedOn w:val="TableNormal"/>
    <w:uiPriority w:val="40"/>
    <w:rsid w:val="004D63B2"/>
    <w:pPr>
      <w:spacing w:after="0" w:line="240" w:lineRule="auto"/>
    </w:p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table" w:customStyle="1" w:styleId="GridTable4-Accent12">
    <w:name w:val="Grid Table 4 - Accent 12"/>
    <w:basedOn w:val="TableNormal"/>
    <w:uiPriority w:val="49"/>
    <w:rsid w:val="00C727CC"/>
    <w:pPr>
      <w:spacing w:before="40" w:after="40" w:line="240" w:lineRule="auto"/>
    </w:pPr>
    <w:rPr>
      <w:sz w:val="16"/>
    </w:rPr>
    <w:tblPr>
      <w:tblStyleRowBandSize w:val="1"/>
      <w:tblStyleColBandSize w:val="1"/>
      <w:tblInd w:w="0" w:type="nil"/>
      <w:tblBorders>
        <w:top w:val="single" w:sz="4" w:space="0" w:color="B962C8" w:themeColor="accent1" w:themeTint="99"/>
        <w:left w:val="single" w:sz="4" w:space="0" w:color="B962C8" w:themeColor="accent1" w:themeTint="99"/>
        <w:bottom w:val="single" w:sz="4" w:space="0" w:color="B962C8" w:themeColor="accent1" w:themeTint="99"/>
        <w:right w:val="single" w:sz="4" w:space="0" w:color="B962C8" w:themeColor="accent1" w:themeTint="99"/>
        <w:insideH w:val="single" w:sz="4" w:space="0" w:color="B962C8" w:themeColor="accent1" w:themeTint="99"/>
        <w:insideV w:val="single" w:sz="4" w:space="0" w:color="B962C8" w:themeColor="accent1" w:themeTint="99"/>
      </w:tblBorders>
    </w:tblPr>
    <w:tblStylePr w:type="firstRow">
      <w:rPr>
        <w:b/>
        <w:bCs/>
        <w:color w:val="FEFFFF" w:themeColor="background1"/>
      </w:rPr>
      <w:tblPr/>
      <w:tcPr>
        <w:tcBorders>
          <w:top w:val="single" w:sz="4" w:space="0" w:color="6B2976" w:themeColor="accent1"/>
          <w:left w:val="single" w:sz="4" w:space="0" w:color="6B2976" w:themeColor="accent1"/>
          <w:bottom w:val="single" w:sz="4" w:space="0" w:color="6B2976" w:themeColor="accent1"/>
          <w:right w:val="single" w:sz="4" w:space="0" w:color="6B2976" w:themeColor="accent1"/>
          <w:insideH w:val="nil"/>
          <w:insideV w:val="nil"/>
        </w:tcBorders>
        <w:shd w:val="clear" w:color="auto" w:fill="6B2976" w:themeFill="accent1"/>
      </w:tcPr>
    </w:tblStylePr>
    <w:tblStylePr w:type="lastRow">
      <w:rPr>
        <w:b/>
        <w:bCs/>
      </w:rPr>
      <w:tblPr/>
      <w:tcPr>
        <w:tcBorders>
          <w:top w:val="double" w:sz="4" w:space="0" w:color="6B29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oardBrief-Paragraph2">
    <w:name w:val="Board Brief - Paragraph 2"/>
    <w:basedOn w:val="Normal"/>
    <w:uiPriority w:val="2"/>
    <w:qFormat/>
    <w:rsid w:val="00E9165A"/>
    <w:pPr>
      <w:tabs>
        <w:tab w:val="num" w:pos="360"/>
      </w:tabs>
      <w:spacing w:before="0" w:after="120" w:line="264" w:lineRule="auto"/>
    </w:pPr>
    <w:rPr>
      <w:rFonts w:cs="Arial"/>
      <w:sz w:val="21"/>
      <w:szCs w:val="21"/>
      <w:lang w:eastAsia="en-US"/>
    </w:rPr>
  </w:style>
  <w:style w:type="paragraph" w:styleId="HTMLPreformatted">
    <w:name w:val="HTML Preformatted"/>
    <w:basedOn w:val="Normal"/>
    <w:link w:val="HTMLPreformattedChar"/>
    <w:uiPriority w:val="99"/>
    <w:unhideWhenUsed/>
    <w:rsid w:val="00CA0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A0E97"/>
    <w:rPr>
      <w:rFonts w:ascii="Courier New" w:eastAsia="Times New Roman" w:hAnsi="Courier New" w:cs="Courier New"/>
      <w:sz w:val="20"/>
      <w:szCs w:val="20"/>
      <w:lang w:eastAsia="en-AU"/>
    </w:rPr>
  </w:style>
  <w:style w:type="paragraph" w:customStyle="1" w:styleId="paragraph">
    <w:name w:val="paragraph"/>
    <w:basedOn w:val="Normal"/>
    <w:rsid w:val="007E21AF"/>
    <w:pPr>
      <w:spacing w:beforeAutospacing="1" w:afterAutospacing="1" w:line="240" w:lineRule="auto"/>
    </w:pPr>
    <w:rPr>
      <w:rFonts w:ascii="Times New Roman" w:eastAsia="Times New Roman" w:hAnsi="Times New Roman" w:cs="Times New Roman"/>
      <w:sz w:val="24"/>
      <w:lang w:eastAsia="en-AU"/>
    </w:rPr>
  </w:style>
  <w:style w:type="paragraph" w:customStyle="1" w:styleId="RecText">
    <w:name w:val="Rec Text"/>
    <w:basedOn w:val="Normal"/>
    <w:link w:val="RecTextChar"/>
    <w:qFormat/>
    <w:rsid w:val="00732553"/>
    <w:pPr>
      <w:ind w:left="284" w:right="284"/>
    </w:pPr>
    <w:rPr>
      <w:i/>
      <w:color w:val="6B2976" w:themeColor="text1"/>
    </w:rPr>
  </w:style>
  <w:style w:type="paragraph" w:customStyle="1" w:styleId="RecDotPoint">
    <w:name w:val="Rec Dot Point"/>
    <w:basedOn w:val="DotPoint"/>
    <w:link w:val="RecDotPointChar"/>
    <w:qFormat/>
    <w:rsid w:val="00732553"/>
    <w:pPr>
      <w:numPr>
        <w:numId w:val="2"/>
      </w:numPr>
    </w:pPr>
    <w:rPr>
      <w:i/>
      <w:color w:val="6B2976" w:themeColor="text1"/>
    </w:rPr>
  </w:style>
  <w:style w:type="character" w:customStyle="1" w:styleId="RecTextChar">
    <w:name w:val="Rec Text Char"/>
    <w:basedOn w:val="DefaultParagraphFont"/>
    <w:link w:val="RecText"/>
    <w:rsid w:val="00732553"/>
    <w:rPr>
      <w:rFonts w:ascii="Arial" w:eastAsiaTheme="minorEastAsia" w:hAnsi="Arial"/>
      <w:i/>
      <w:color w:val="6B2976" w:themeColor="text1"/>
      <w:szCs w:val="24"/>
      <w:lang w:eastAsia="ja-JP"/>
    </w:rPr>
  </w:style>
  <w:style w:type="character" w:customStyle="1" w:styleId="RecDotPointChar">
    <w:name w:val="Rec Dot Point Char"/>
    <w:basedOn w:val="DotPointChar"/>
    <w:link w:val="RecDotPoint"/>
    <w:rsid w:val="00732553"/>
    <w:rPr>
      <w:rFonts w:ascii="Arial" w:eastAsiaTheme="minorEastAsia" w:hAnsi="Arial" w:cs="Arial"/>
      <w:i/>
      <w:color w:val="6B2976" w:themeColor="text1"/>
      <w:szCs w:val="24"/>
      <w:lang w:eastAsia="ja-JP"/>
    </w:rPr>
  </w:style>
  <w:style w:type="paragraph" w:customStyle="1" w:styleId="RecHeading">
    <w:name w:val="Rec Heading"/>
    <w:basedOn w:val="RecText"/>
    <w:link w:val="RecHeadingChar"/>
    <w:qFormat/>
    <w:rsid w:val="00732553"/>
    <w:pPr>
      <w:keepNext/>
      <w:spacing w:before="200"/>
    </w:pPr>
    <w:rPr>
      <w:u w:val="single"/>
    </w:rPr>
  </w:style>
  <w:style w:type="character" w:customStyle="1" w:styleId="RecHeadingChar">
    <w:name w:val="Rec Heading Char"/>
    <w:basedOn w:val="RecTextChar"/>
    <w:link w:val="RecHeading"/>
    <w:rsid w:val="00732553"/>
    <w:rPr>
      <w:rFonts w:ascii="Arial" w:eastAsiaTheme="minorEastAsia" w:hAnsi="Arial"/>
      <w:i/>
      <w:color w:val="6B2976" w:themeColor="text1"/>
      <w:szCs w:val="24"/>
      <w:u w:val="single"/>
      <w:lang w:eastAsia="ja-JP"/>
    </w:rPr>
  </w:style>
  <w:style w:type="character" w:customStyle="1" w:styleId="ui-provider">
    <w:name w:val="ui-provider"/>
    <w:basedOn w:val="DefaultParagraphFont"/>
    <w:rsid w:val="00AC0EC0"/>
  </w:style>
  <w:style w:type="paragraph" w:customStyle="1" w:styleId="pf0">
    <w:name w:val="pf0"/>
    <w:basedOn w:val="Normal"/>
    <w:rsid w:val="000F76A7"/>
    <w:pPr>
      <w:spacing w:beforeAutospacing="1" w:afterAutospacing="1" w:line="240" w:lineRule="auto"/>
    </w:pPr>
    <w:rPr>
      <w:rFonts w:ascii="Times New Roman" w:eastAsia="Times New Roman" w:hAnsi="Times New Roman" w:cs="Times New Roman"/>
      <w:sz w:val="24"/>
      <w:lang w:eastAsia="en-AU"/>
    </w:rPr>
  </w:style>
  <w:style w:type="character" w:customStyle="1" w:styleId="cf01">
    <w:name w:val="cf01"/>
    <w:basedOn w:val="DefaultParagraphFont"/>
    <w:rsid w:val="000F76A7"/>
    <w:rPr>
      <w:rFonts w:ascii="Segoe UI" w:hAnsi="Segoe UI" w:cs="Segoe UI" w:hint="default"/>
      <w:i/>
      <w:iCs/>
      <w:sz w:val="18"/>
      <w:szCs w:val="18"/>
    </w:rPr>
  </w:style>
  <w:style w:type="character" w:styleId="Emphasis">
    <w:name w:val="Emphasis"/>
    <w:basedOn w:val="DefaultParagraphFont"/>
    <w:uiPriority w:val="20"/>
    <w:qFormat/>
    <w:rsid w:val="002A0898"/>
    <w:rPr>
      <w:i/>
      <w:iCs/>
    </w:rPr>
  </w:style>
  <w:style w:type="character" w:customStyle="1" w:styleId="findhit">
    <w:name w:val="findhit"/>
    <w:basedOn w:val="DefaultParagraphFont"/>
    <w:rsid w:val="009C3586"/>
  </w:style>
  <w:style w:type="paragraph" w:customStyle="1" w:styleId="StyleHeading2">
    <w:name w:val="Style Heading 2"/>
    <w:basedOn w:val="Heading2"/>
    <w:next w:val="Heading2"/>
    <w:link w:val="StyleHeading2Char"/>
    <w:qFormat/>
    <w:rsid w:val="00D057B2"/>
  </w:style>
  <w:style w:type="character" w:customStyle="1" w:styleId="StyleHeading2Char">
    <w:name w:val="Style Heading 2 Char"/>
    <w:basedOn w:val="Heading2Char"/>
    <w:link w:val="StyleHeading2"/>
    <w:rsid w:val="00D057B2"/>
    <w:rPr>
      <w:rFonts w:ascii="Arial" w:eastAsiaTheme="minorEastAsia" w:hAnsi="Arial"/>
      <w:b/>
      <w:color w:val="6B2976" w:themeColor="background2"/>
      <w:sz w:val="36"/>
      <w:szCs w:val="36"/>
      <w:lang w:eastAsia="ja-JP"/>
    </w:rPr>
  </w:style>
  <w:style w:type="paragraph" w:customStyle="1" w:styleId="Heading41">
    <w:name w:val="Heading 4 1"/>
    <w:basedOn w:val="Heading4"/>
    <w:link w:val="Heading41Char"/>
    <w:qFormat/>
    <w:rsid w:val="00CE1BD3"/>
    <w:rPr>
      <w:b/>
      <w:bCs w:val="0"/>
    </w:rPr>
  </w:style>
  <w:style w:type="character" w:customStyle="1" w:styleId="Heading41Char">
    <w:name w:val="Heading 4 1 Char"/>
    <w:basedOn w:val="Heading4Char"/>
    <w:link w:val="Heading41"/>
    <w:rsid w:val="00CE1BD3"/>
    <w:rPr>
      <w:rFonts w:ascii="Arial" w:eastAsiaTheme="minorEastAsia" w:hAnsi="Arial"/>
      <w:b/>
      <w:bCs w:val="0"/>
      <w:i/>
      <w:iCs/>
      <w:color w:val="6B2976" w:themeColor="background2"/>
      <w:lang w:eastAsia="ja-JP"/>
    </w:rPr>
  </w:style>
  <w:style w:type="paragraph" w:customStyle="1" w:styleId="Style1">
    <w:name w:val="Style1"/>
    <w:basedOn w:val="StyleHeading2"/>
    <w:next w:val="Heading2"/>
    <w:link w:val="Style1Char"/>
    <w:qFormat/>
    <w:rsid w:val="00A00CD5"/>
  </w:style>
  <w:style w:type="character" w:customStyle="1" w:styleId="Style1Char">
    <w:name w:val="Style1 Char"/>
    <w:basedOn w:val="StyleHeading2Char"/>
    <w:link w:val="Style1"/>
    <w:rsid w:val="00A00CD5"/>
    <w:rPr>
      <w:rFonts w:ascii="Arial" w:eastAsiaTheme="minorEastAsia" w:hAnsi="Arial"/>
      <w:b/>
      <w:color w:val="6B2976" w:themeColor="background2"/>
      <w:sz w:val="36"/>
      <w:szCs w:val="36"/>
      <w:lang w:eastAsia="ja-JP"/>
    </w:rPr>
  </w:style>
  <w:style w:type="paragraph" w:customStyle="1" w:styleId="Style2">
    <w:name w:val="Style2"/>
    <w:basedOn w:val="Heading1"/>
    <w:next w:val="Heading1"/>
    <w:link w:val="Style2Char"/>
    <w:qFormat/>
    <w:rsid w:val="00F8712E"/>
  </w:style>
  <w:style w:type="character" w:customStyle="1" w:styleId="Style2Char">
    <w:name w:val="Style2 Char"/>
    <w:basedOn w:val="Heading1Char"/>
    <w:link w:val="Style2"/>
    <w:rsid w:val="00F8712E"/>
    <w:rPr>
      <w:rFonts w:ascii="Arial" w:eastAsiaTheme="minorEastAsia" w:hAnsi="Arial"/>
      <w:b/>
      <w:color w:val="FEFFFF" w:themeColor="background1"/>
      <w:sz w:val="48"/>
      <w:szCs w:val="4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14">
      <w:bodyDiv w:val="1"/>
      <w:marLeft w:val="0"/>
      <w:marRight w:val="0"/>
      <w:marTop w:val="0"/>
      <w:marBottom w:val="0"/>
      <w:divBdr>
        <w:top w:val="none" w:sz="0" w:space="0" w:color="auto"/>
        <w:left w:val="none" w:sz="0" w:space="0" w:color="auto"/>
        <w:bottom w:val="none" w:sz="0" w:space="0" w:color="auto"/>
        <w:right w:val="none" w:sz="0" w:space="0" w:color="auto"/>
      </w:divBdr>
    </w:div>
    <w:div w:id="28723269">
      <w:bodyDiv w:val="1"/>
      <w:marLeft w:val="0"/>
      <w:marRight w:val="0"/>
      <w:marTop w:val="0"/>
      <w:marBottom w:val="0"/>
      <w:divBdr>
        <w:top w:val="none" w:sz="0" w:space="0" w:color="auto"/>
        <w:left w:val="none" w:sz="0" w:space="0" w:color="auto"/>
        <w:bottom w:val="none" w:sz="0" w:space="0" w:color="auto"/>
        <w:right w:val="none" w:sz="0" w:space="0" w:color="auto"/>
      </w:divBdr>
    </w:div>
    <w:div w:id="36054765">
      <w:bodyDiv w:val="1"/>
      <w:marLeft w:val="0"/>
      <w:marRight w:val="0"/>
      <w:marTop w:val="0"/>
      <w:marBottom w:val="0"/>
      <w:divBdr>
        <w:top w:val="none" w:sz="0" w:space="0" w:color="auto"/>
        <w:left w:val="none" w:sz="0" w:space="0" w:color="auto"/>
        <w:bottom w:val="none" w:sz="0" w:space="0" w:color="auto"/>
        <w:right w:val="none" w:sz="0" w:space="0" w:color="auto"/>
      </w:divBdr>
    </w:div>
    <w:div w:id="74058352">
      <w:bodyDiv w:val="1"/>
      <w:marLeft w:val="0"/>
      <w:marRight w:val="0"/>
      <w:marTop w:val="0"/>
      <w:marBottom w:val="0"/>
      <w:divBdr>
        <w:top w:val="none" w:sz="0" w:space="0" w:color="auto"/>
        <w:left w:val="none" w:sz="0" w:space="0" w:color="auto"/>
        <w:bottom w:val="none" w:sz="0" w:space="0" w:color="auto"/>
        <w:right w:val="none" w:sz="0" w:space="0" w:color="auto"/>
      </w:divBdr>
    </w:div>
    <w:div w:id="80806747">
      <w:bodyDiv w:val="1"/>
      <w:marLeft w:val="0"/>
      <w:marRight w:val="0"/>
      <w:marTop w:val="0"/>
      <w:marBottom w:val="0"/>
      <w:divBdr>
        <w:top w:val="none" w:sz="0" w:space="0" w:color="auto"/>
        <w:left w:val="none" w:sz="0" w:space="0" w:color="auto"/>
        <w:bottom w:val="none" w:sz="0" w:space="0" w:color="auto"/>
        <w:right w:val="none" w:sz="0" w:space="0" w:color="auto"/>
      </w:divBdr>
    </w:div>
    <w:div w:id="82337310">
      <w:bodyDiv w:val="1"/>
      <w:marLeft w:val="0"/>
      <w:marRight w:val="0"/>
      <w:marTop w:val="0"/>
      <w:marBottom w:val="0"/>
      <w:divBdr>
        <w:top w:val="none" w:sz="0" w:space="0" w:color="auto"/>
        <w:left w:val="none" w:sz="0" w:space="0" w:color="auto"/>
        <w:bottom w:val="none" w:sz="0" w:space="0" w:color="auto"/>
        <w:right w:val="none" w:sz="0" w:space="0" w:color="auto"/>
      </w:divBdr>
      <w:divsChild>
        <w:div w:id="281301502">
          <w:marLeft w:val="274"/>
          <w:marRight w:val="0"/>
          <w:marTop w:val="0"/>
          <w:marBottom w:val="60"/>
          <w:divBdr>
            <w:top w:val="none" w:sz="0" w:space="0" w:color="auto"/>
            <w:left w:val="none" w:sz="0" w:space="0" w:color="auto"/>
            <w:bottom w:val="none" w:sz="0" w:space="0" w:color="auto"/>
            <w:right w:val="none" w:sz="0" w:space="0" w:color="auto"/>
          </w:divBdr>
        </w:div>
        <w:div w:id="357705774">
          <w:marLeft w:val="274"/>
          <w:marRight w:val="0"/>
          <w:marTop w:val="0"/>
          <w:marBottom w:val="60"/>
          <w:divBdr>
            <w:top w:val="none" w:sz="0" w:space="0" w:color="auto"/>
            <w:left w:val="none" w:sz="0" w:space="0" w:color="auto"/>
            <w:bottom w:val="none" w:sz="0" w:space="0" w:color="auto"/>
            <w:right w:val="none" w:sz="0" w:space="0" w:color="auto"/>
          </w:divBdr>
        </w:div>
        <w:div w:id="475414422">
          <w:marLeft w:val="274"/>
          <w:marRight w:val="0"/>
          <w:marTop w:val="0"/>
          <w:marBottom w:val="60"/>
          <w:divBdr>
            <w:top w:val="none" w:sz="0" w:space="0" w:color="auto"/>
            <w:left w:val="none" w:sz="0" w:space="0" w:color="auto"/>
            <w:bottom w:val="none" w:sz="0" w:space="0" w:color="auto"/>
            <w:right w:val="none" w:sz="0" w:space="0" w:color="auto"/>
          </w:divBdr>
        </w:div>
        <w:div w:id="479229876">
          <w:marLeft w:val="274"/>
          <w:marRight w:val="0"/>
          <w:marTop w:val="0"/>
          <w:marBottom w:val="60"/>
          <w:divBdr>
            <w:top w:val="none" w:sz="0" w:space="0" w:color="auto"/>
            <w:left w:val="none" w:sz="0" w:space="0" w:color="auto"/>
            <w:bottom w:val="none" w:sz="0" w:space="0" w:color="auto"/>
            <w:right w:val="none" w:sz="0" w:space="0" w:color="auto"/>
          </w:divBdr>
        </w:div>
        <w:div w:id="1861309880">
          <w:marLeft w:val="274"/>
          <w:marRight w:val="0"/>
          <w:marTop w:val="0"/>
          <w:marBottom w:val="60"/>
          <w:divBdr>
            <w:top w:val="none" w:sz="0" w:space="0" w:color="auto"/>
            <w:left w:val="none" w:sz="0" w:space="0" w:color="auto"/>
            <w:bottom w:val="none" w:sz="0" w:space="0" w:color="auto"/>
            <w:right w:val="none" w:sz="0" w:space="0" w:color="auto"/>
          </w:divBdr>
        </w:div>
      </w:divsChild>
    </w:div>
    <w:div w:id="96218598">
      <w:bodyDiv w:val="1"/>
      <w:marLeft w:val="0"/>
      <w:marRight w:val="0"/>
      <w:marTop w:val="0"/>
      <w:marBottom w:val="0"/>
      <w:divBdr>
        <w:top w:val="none" w:sz="0" w:space="0" w:color="auto"/>
        <w:left w:val="none" w:sz="0" w:space="0" w:color="auto"/>
        <w:bottom w:val="none" w:sz="0" w:space="0" w:color="auto"/>
        <w:right w:val="none" w:sz="0" w:space="0" w:color="auto"/>
      </w:divBdr>
      <w:divsChild>
        <w:div w:id="31344956">
          <w:marLeft w:val="274"/>
          <w:marRight w:val="0"/>
          <w:marTop w:val="0"/>
          <w:marBottom w:val="120"/>
          <w:divBdr>
            <w:top w:val="none" w:sz="0" w:space="0" w:color="auto"/>
            <w:left w:val="none" w:sz="0" w:space="0" w:color="auto"/>
            <w:bottom w:val="none" w:sz="0" w:space="0" w:color="auto"/>
            <w:right w:val="none" w:sz="0" w:space="0" w:color="auto"/>
          </w:divBdr>
        </w:div>
        <w:div w:id="63070450">
          <w:marLeft w:val="274"/>
          <w:marRight w:val="0"/>
          <w:marTop w:val="0"/>
          <w:marBottom w:val="120"/>
          <w:divBdr>
            <w:top w:val="none" w:sz="0" w:space="0" w:color="auto"/>
            <w:left w:val="none" w:sz="0" w:space="0" w:color="auto"/>
            <w:bottom w:val="none" w:sz="0" w:space="0" w:color="auto"/>
            <w:right w:val="none" w:sz="0" w:space="0" w:color="auto"/>
          </w:divBdr>
        </w:div>
        <w:div w:id="353115129">
          <w:marLeft w:val="274"/>
          <w:marRight w:val="0"/>
          <w:marTop w:val="0"/>
          <w:marBottom w:val="120"/>
          <w:divBdr>
            <w:top w:val="none" w:sz="0" w:space="0" w:color="auto"/>
            <w:left w:val="none" w:sz="0" w:space="0" w:color="auto"/>
            <w:bottom w:val="none" w:sz="0" w:space="0" w:color="auto"/>
            <w:right w:val="none" w:sz="0" w:space="0" w:color="auto"/>
          </w:divBdr>
        </w:div>
        <w:div w:id="369838216">
          <w:marLeft w:val="274"/>
          <w:marRight w:val="0"/>
          <w:marTop w:val="0"/>
          <w:marBottom w:val="120"/>
          <w:divBdr>
            <w:top w:val="none" w:sz="0" w:space="0" w:color="auto"/>
            <w:left w:val="none" w:sz="0" w:space="0" w:color="auto"/>
            <w:bottom w:val="none" w:sz="0" w:space="0" w:color="auto"/>
            <w:right w:val="none" w:sz="0" w:space="0" w:color="auto"/>
          </w:divBdr>
        </w:div>
        <w:div w:id="465589673">
          <w:marLeft w:val="274"/>
          <w:marRight w:val="0"/>
          <w:marTop w:val="0"/>
          <w:marBottom w:val="120"/>
          <w:divBdr>
            <w:top w:val="none" w:sz="0" w:space="0" w:color="auto"/>
            <w:left w:val="none" w:sz="0" w:space="0" w:color="auto"/>
            <w:bottom w:val="none" w:sz="0" w:space="0" w:color="auto"/>
            <w:right w:val="none" w:sz="0" w:space="0" w:color="auto"/>
          </w:divBdr>
        </w:div>
        <w:div w:id="476654365">
          <w:marLeft w:val="274"/>
          <w:marRight w:val="0"/>
          <w:marTop w:val="0"/>
          <w:marBottom w:val="120"/>
          <w:divBdr>
            <w:top w:val="none" w:sz="0" w:space="0" w:color="auto"/>
            <w:left w:val="none" w:sz="0" w:space="0" w:color="auto"/>
            <w:bottom w:val="none" w:sz="0" w:space="0" w:color="auto"/>
            <w:right w:val="none" w:sz="0" w:space="0" w:color="auto"/>
          </w:divBdr>
        </w:div>
        <w:div w:id="525945202">
          <w:marLeft w:val="274"/>
          <w:marRight w:val="0"/>
          <w:marTop w:val="0"/>
          <w:marBottom w:val="120"/>
          <w:divBdr>
            <w:top w:val="none" w:sz="0" w:space="0" w:color="auto"/>
            <w:left w:val="none" w:sz="0" w:space="0" w:color="auto"/>
            <w:bottom w:val="none" w:sz="0" w:space="0" w:color="auto"/>
            <w:right w:val="none" w:sz="0" w:space="0" w:color="auto"/>
          </w:divBdr>
        </w:div>
        <w:div w:id="582181088">
          <w:marLeft w:val="274"/>
          <w:marRight w:val="0"/>
          <w:marTop w:val="0"/>
          <w:marBottom w:val="120"/>
          <w:divBdr>
            <w:top w:val="none" w:sz="0" w:space="0" w:color="auto"/>
            <w:left w:val="none" w:sz="0" w:space="0" w:color="auto"/>
            <w:bottom w:val="none" w:sz="0" w:space="0" w:color="auto"/>
            <w:right w:val="none" w:sz="0" w:space="0" w:color="auto"/>
          </w:divBdr>
        </w:div>
        <w:div w:id="628778249">
          <w:marLeft w:val="274"/>
          <w:marRight w:val="0"/>
          <w:marTop w:val="0"/>
          <w:marBottom w:val="120"/>
          <w:divBdr>
            <w:top w:val="none" w:sz="0" w:space="0" w:color="auto"/>
            <w:left w:val="none" w:sz="0" w:space="0" w:color="auto"/>
            <w:bottom w:val="none" w:sz="0" w:space="0" w:color="auto"/>
            <w:right w:val="none" w:sz="0" w:space="0" w:color="auto"/>
          </w:divBdr>
        </w:div>
        <w:div w:id="737435568">
          <w:marLeft w:val="274"/>
          <w:marRight w:val="0"/>
          <w:marTop w:val="0"/>
          <w:marBottom w:val="120"/>
          <w:divBdr>
            <w:top w:val="none" w:sz="0" w:space="0" w:color="auto"/>
            <w:left w:val="none" w:sz="0" w:space="0" w:color="auto"/>
            <w:bottom w:val="none" w:sz="0" w:space="0" w:color="auto"/>
            <w:right w:val="none" w:sz="0" w:space="0" w:color="auto"/>
          </w:divBdr>
        </w:div>
        <w:div w:id="742142718">
          <w:marLeft w:val="274"/>
          <w:marRight w:val="0"/>
          <w:marTop w:val="0"/>
          <w:marBottom w:val="120"/>
          <w:divBdr>
            <w:top w:val="none" w:sz="0" w:space="0" w:color="auto"/>
            <w:left w:val="none" w:sz="0" w:space="0" w:color="auto"/>
            <w:bottom w:val="none" w:sz="0" w:space="0" w:color="auto"/>
            <w:right w:val="none" w:sz="0" w:space="0" w:color="auto"/>
          </w:divBdr>
        </w:div>
        <w:div w:id="962807002">
          <w:marLeft w:val="274"/>
          <w:marRight w:val="0"/>
          <w:marTop w:val="0"/>
          <w:marBottom w:val="120"/>
          <w:divBdr>
            <w:top w:val="none" w:sz="0" w:space="0" w:color="auto"/>
            <w:left w:val="none" w:sz="0" w:space="0" w:color="auto"/>
            <w:bottom w:val="none" w:sz="0" w:space="0" w:color="auto"/>
            <w:right w:val="none" w:sz="0" w:space="0" w:color="auto"/>
          </w:divBdr>
        </w:div>
        <w:div w:id="1085348330">
          <w:marLeft w:val="274"/>
          <w:marRight w:val="0"/>
          <w:marTop w:val="0"/>
          <w:marBottom w:val="120"/>
          <w:divBdr>
            <w:top w:val="none" w:sz="0" w:space="0" w:color="auto"/>
            <w:left w:val="none" w:sz="0" w:space="0" w:color="auto"/>
            <w:bottom w:val="none" w:sz="0" w:space="0" w:color="auto"/>
            <w:right w:val="none" w:sz="0" w:space="0" w:color="auto"/>
          </w:divBdr>
        </w:div>
        <w:div w:id="1144930838">
          <w:marLeft w:val="274"/>
          <w:marRight w:val="0"/>
          <w:marTop w:val="0"/>
          <w:marBottom w:val="120"/>
          <w:divBdr>
            <w:top w:val="none" w:sz="0" w:space="0" w:color="auto"/>
            <w:left w:val="none" w:sz="0" w:space="0" w:color="auto"/>
            <w:bottom w:val="none" w:sz="0" w:space="0" w:color="auto"/>
            <w:right w:val="none" w:sz="0" w:space="0" w:color="auto"/>
          </w:divBdr>
        </w:div>
        <w:div w:id="1208644679">
          <w:marLeft w:val="274"/>
          <w:marRight w:val="0"/>
          <w:marTop w:val="0"/>
          <w:marBottom w:val="120"/>
          <w:divBdr>
            <w:top w:val="none" w:sz="0" w:space="0" w:color="auto"/>
            <w:left w:val="none" w:sz="0" w:space="0" w:color="auto"/>
            <w:bottom w:val="none" w:sz="0" w:space="0" w:color="auto"/>
            <w:right w:val="none" w:sz="0" w:space="0" w:color="auto"/>
          </w:divBdr>
        </w:div>
        <w:div w:id="1220363801">
          <w:marLeft w:val="274"/>
          <w:marRight w:val="0"/>
          <w:marTop w:val="0"/>
          <w:marBottom w:val="120"/>
          <w:divBdr>
            <w:top w:val="none" w:sz="0" w:space="0" w:color="auto"/>
            <w:left w:val="none" w:sz="0" w:space="0" w:color="auto"/>
            <w:bottom w:val="none" w:sz="0" w:space="0" w:color="auto"/>
            <w:right w:val="none" w:sz="0" w:space="0" w:color="auto"/>
          </w:divBdr>
        </w:div>
        <w:div w:id="1252394832">
          <w:marLeft w:val="274"/>
          <w:marRight w:val="0"/>
          <w:marTop w:val="0"/>
          <w:marBottom w:val="120"/>
          <w:divBdr>
            <w:top w:val="none" w:sz="0" w:space="0" w:color="auto"/>
            <w:left w:val="none" w:sz="0" w:space="0" w:color="auto"/>
            <w:bottom w:val="none" w:sz="0" w:space="0" w:color="auto"/>
            <w:right w:val="none" w:sz="0" w:space="0" w:color="auto"/>
          </w:divBdr>
        </w:div>
        <w:div w:id="1326208709">
          <w:marLeft w:val="274"/>
          <w:marRight w:val="0"/>
          <w:marTop w:val="0"/>
          <w:marBottom w:val="120"/>
          <w:divBdr>
            <w:top w:val="none" w:sz="0" w:space="0" w:color="auto"/>
            <w:left w:val="none" w:sz="0" w:space="0" w:color="auto"/>
            <w:bottom w:val="none" w:sz="0" w:space="0" w:color="auto"/>
            <w:right w:val="none" w:sz="0" w:space="0" w:color="auto"/>
          </w:divBdr>
        </w:div>
        <w:div w:id="1343971739">
          <w:marLeft w:val="274"/>
          <w:marRight w:val="0"/>
          <w:marTop w:val="0"/>
          <w:marBottom w:val="120"/>
          <w:divBdr>
            <w:top w:val="none" w:sz="0" w:space="0" w:color="auto"/>
            <w:left w:val="none" w:sz="0" w:space="0" w:color="auto"/>
            <w:bottom w:val="none" w:sz="0" w:space="0" w:color="auto"/>
            <w:right w:val="none" w:sz="0" w:space="0" w:color="auto"/>
          </w:divBdr>
        </w:div>
        <w:div w:id="1347055759">
          <w:marLeft w:val="274"/>
          <w:marRight w:val="0"/>
          <w:marTop w:val="0"/>
          <w:marBottom w:val="120"/>
          <w:divBdr>
            <w:top w:val="none" w:sz="0" w:space="0" w:color="auto"/>
            <w:left w:val="none" w:sz="0" w:space="0" w:color="auto"/>
            <w:bottom w:val="none" w:sz="0" w:space="0" w:color="auto"/>
            <w:right w:val="none" w:sz="0" w:space="0" w:color="auto"/>
          </w:divBdr>
        </w:div>
        <w:div w:id="1411077565">
          <w:marLeft w:val="274"/>
          <w:marRight w:val="0"/>
          <w:marTop w:val="0"/>
          <w:marBottom w:val="120"/>
          <w:divBdr>
            <w:top w:val="none" w:sz="0" w:space="0" w:color="auto"/>
            <w:left w:val="none" w:sz="0" w:space="0" w:color="auto"/>
            <w:bottom w:val="none" w:sz="0" w:space="0" w:color="auto"/>
            <w:right w:val="none" w:sz="0" w:space="0" w:color="auto"/>
          </w:divBdr>
        </w:div>
        <w:div w:id="1847867388">
          <w:marLeft w:val="274"/>
          <w:marRight w:val="0"/>
          <w:marTop w:val="0"/>
          <w:marBottom w:val="120"/>
          <w:divBdr>
            <w:top w:val="none" w:sz="0" w:space="0" w:color="auto"/>
            <w:left w:val="none" w:sz="0" w:space="0" w:color="auto"/>
            <w:bottom w:val="none" w:sz="0" w:space="0" w:color="auto"/>
            <w:right w:val="none" w:sz="0" w:space="0" w:color="auto"/>
          </w:divBdr>
        </w:div>
      </w:divsChild>
    </w:div>
    <w:div w:id="106896352">
      <w:bodyDiv w:val="1"/>
      <w:marLeft w:val="0"/>
      <w:marRight w:val="0"/>
      <w:marTop w:val="0"/>
      <w:marBottom w:val="0"/>
      <w:divBdr>
        <w:top w:val="none" w:sz="0" w:space="0" w:color="auto"/>
        <w:left w:val="none" w:sz="0" w:space="0" w:color="auto"/>
        <w:bottom w:val="none" w:sz="0" w:space="0" w:color="auto"/>
        <w:right w:val="none" w:sz="0" w:space="0" w:color="auto"/>
      </w:divBdr>
    </w:div>
    <w:div w:id="122237842">
      <w:bodyDiv w:val="1"/>
      <w:marLeft w:val="0"/>
      <w:marRight w:val="0"/>
      <w:marTop w:val="0"/>
      <w:marBottom w:val="0"/>
      <w:divBdr>
        <w:top w:val="none" w:sz="0" w:space="0" w:color="auto"/>
        <w:left w:val="none" w:sz="0" w:space="0" w:color="auto"/>
        <w:bottom w:val="none" w:sz="0" w:space="0" w:color="auto"/>
        <w:right w:val="none" w:sz="0" w:space="0" w:color="auto"/>
      </w:divBdr>
    </w:div>
    <w:div w:id="125857707">
      <w:bodyDiv w:val="1"/>
      <w:marLeft w:val="0"/>
      <w:marRight w:val="0"/>
      <w:marTop w:val="0"/>
      <w:marBottom w:val="0"/>
      <w:divBdr>
        <w:top w:val="none" w:sz="0" w:space="0" w:color="auto"/>
        <w:left w:val="none" w:sz="0" w:space="0" w:color="auto"/>
        <w:bottom w:val="none" w:sz="0" w:space="0" w:color="auto"/>
        <w:right w:val="none" w:sz="0" w:space="0" w:color="auto"/>
      </w:divBdr>
    </w:div>
    <w:div w:id="131027123">
      <w:bodyDiv w:val="1"/>
      <w:marLeft w:val="0"/>
      <w:marRight w:val="0"/>
      <w:marTop w:val="0"/>
      <w:marBottom w:val="0"/>
      <w:divBdr>
        <w:top w:val="none" w:sz="0" w:space="0" w:color="auto"/>
        <w:left w:val="none" w:sz="0" w:space="0" w:color="auto"/>
        <w:bottom w:val="none" w:sz="0" w:space="0" w:color="auto"/>
        <w:right w:val="none" w:sz="0" w:space="0" w:color="auto"/>
      </w:divBdr>
    </w:div>
    <w:div w:id="131799002">
      <w:bodyDiv w:val="1"/>
      <w:marLeft w:val="0"/>
      <w:marRight w:val="0"/>
      <w:marTop w:val="0"/>
      <w:marBottom w:val="0"/>
      <w:divBdr>
        <w:top w:val="none" w:sz="0" w:space="0" w:color="auto"/>
        <w:left w:val="none" w:sz="0" w:space="0" w:color="auto"/>
        <w:bottom w:val="none" w:sz="0" w:space="0" w:color="auto"/>
        <w:right w:val="none" w:sz="0" w:space="0" w:color="auto"/>
      </w:divBdr>
      <w:divsChild>
        <w:div w:id="449975088">
          <w:marLeft w:val="274"/>
          <w:marRight w:val="0"/>
          <w:marTop w:val="0"/>
          <w:marBottom w:val="0"/>
          <w:divBdr>
            <w:top w:val="none" w:sz="0" w:space="0" w:color="auto"/>
            <w:left w:val="none" w:sz="0" w:space="0" w:color="auto"/>
            <w:bottom w:val="none" w:sz="0" w:space="0" w:color="auto"/>
            <w:right w:val="none" w:sz="0" w:space="0" w:color="auto"/>
          </w:divBdr>
        </w:div>
        <w:div w:id="630942785">
          <w:marLeft w:val="274"/>
          <w:marRight w:val="0"/>
          <w:marTop w:val="0"/>
          <w:marBottom w:val="0"/>
          <w:divBdr>
            <w:top w:val="none" w:sz="0" w:space="0" w:color="auto"/>
            <w:left w:val="none" w:sz="0" w:space="0" w:color="auto"/>
            <w:bottom w:val="none" w:sz="0" w:space="0" w:color="auto"/>
            <w:right w:val="none" w:sz="0" w:space="0" w:color="auto"/>
          </w:divBdr>
        </w:div>
      </w:divsChild>
    </w:div>
    <w:div w:id="139932680">
      <w:bodyDiv w:val="1"/>
      <w:marLeft w:val="0"/>
      <w:marRight w:val="0"/>
      <w:marTop w:val="0"/>
      <w:marBottom w:val="0"/>
      <w:divBdr>
        <w:top w:val="none" w:sz="0" w:space="0" w:color="auto"/>
        <w:left w:val="none" w:sz="0" w:space="0" w:color="auto"/>
        <w:bottom w:val="none" w:sz="0" w:space="0" w:color="auto"/>
        <w:right w:val="none" w:sz="0" w:space="0" w:color="auto"/>
      </w:divBdr>
      <w:divsChild>
        <w:div w:id="44529691">
          <w:marLeft w:val="274"/>
          <w:marRight w:val="0"/>
          <w:marTop w:val="200"/>
          <w:marBottom w:val="0"/>
          <w:divBdr>
            <w:top w:val="none" w:sz="0" w:space="0" w:color="auto"/>
            <w:left w:val="none" w:sz="0" w:space="0" w:color="auto"/>
            <w:bottom w:val="none" w:sz="0" w:space="0" w:color="auto"/>
            <w:right w:val="none" w:sz="0" w:space="0" w:color="auto"/>
          </w:divBdr>
        </w:div>
        <w:div w:id="119693897">
          <w:marLeft w:val="360"/>
          <w:marRight w:val="0"/>
          <w:marTop w:val="200"/>
          <w:marBottom w:val="0"/>
          <w:divBdr>
            <w:top w:val="none" w:sz="0" w:space="0" w:color="auto"/>
            <w:left w:val="none" w:sz="0" w:space="0" w:color="auto"/>
            <w:bottom w:val="none" w:sz="0" w:space="0" w:color="auto"/>
            <w:right w:val="none" w:sz="0" w:space="0" w:color="auto"/>
          </w:divBdr>
        </w:div>
        <w:div w:id="1069186077">
          <w:marLeft w:val="360"/>
          <w:marRight w:val="0"/>
          <w:marTop w:val="200"/>
          <w:marBottom w:val="0"/>
          <w:divBdr>
            <w:top w:val="none" w:sz="0" w:space="0" w:color="auto"/>
            <w:left w:val="none" w:sz="0" w:space="0" w:color="auto"/>
            <w:bottom w:val="none" w:sz="0" w:space="0" w:color="auto"/>
            <w:right w:val="none" w:sz="0" w:space="0" w:color="auto"/>
          </w:divBdr>
        </w:div>
        <w:div w:id="1364287798">
          <w:marLeft w:val="274"/>
          <w:marRight w:val="0"/>
          <w:marTop w:val="200"/>
          <w:marBottom w:val="0"/>
          <w:divBdr>
            <w:top w:val="none" w:sz="0" w:space="0" w:color="auto"/>
            <w:left w:val="none" w:sz="0" w:space="0" w:color="auto"/>
            <w:bottom w:val="none" w:sz="0" w:space="0" w:color="auto"/>
            <w:right w:val="none" w:sz="0" w:space="0" w:color="auto"/>
          </w:divBdr>
        </w:div>
        <w:div w:id="1477868983">
          <w:marLeft w:val="274"/>
          <w:marRight w:val="0"/>
          <w:marTop w:val="200"/>
          <w:marBottom w:val="0"/>
          <w:divBdr>
            <w:top w:val="none" w:sz="0" w:space="0" w:color="auto"/>
            <w:left w:val="none" w:sz="0" w:space="0" w:color="auto"/>
            <w:bottom w:val="none" w:sz="0" w:space="0" w:color="auto"/>
            <w:right w:val="none" w:sz="0" w:space="0" w:color="auto"/>
          </w:divBdr>
        </w:div>
        <w:div w:id="2065252314">
          <w:marLeft w:val="274"/>
          <w:marRight w:val="0"/>
          <w:marTop w:val="200"/>
          <w:marBottom w:val="0"/>
          <w:divBdr>
            <w:top w:val="none" w:sz="0" w:space="0" w:color="auto"/>
            <w:left w:val="none" w:sz="0" w:space="0" w:color="auto"/>
            <w:bottom w:val="none" w:sz="0" w:space="0" w:color="auto"/>
            <w:right w:val="none" w:sz="0" w:space="0" w:color="auto"/>
          </w:divBdr>
        </w:div>
      </w:divsChild>
    </w:div>
    <w:div w:id="150147950">
      <w:bodyDiv w:val="1"/>
      <w:marLeft w:val="0"/>
      <w:marRight w:val="0"/>
      <w:marTop w:val="0"/>
      <w:marBottom w:val="0"/>
      <w:divBdr>
        <w:top w:val="none" w:sz="0" w:space="0" w:color="auto"/>
        <w:left w:val="none" w:sz="0" w:space="0" w:color="auto"/>
        <w:bottom w:val="none" w:sz="0" w:space="0" w:color="auto"/>
        <w:right w:val="none" w:sz="0" w:space="0" w:color="auto"/>
      </w:divBdr>
    </w:div>
    <w:div w:id="161631669">
      <w:bodyDiv w:val="1"/>
      <w:marLeft w:val="0"/>
      <w:marRight w:val="0"/>
      <w:marTop w:val="0"/>
      <w:marBottom w:val="0"/>
      <w:divBdr>
        <w:top w:val="none" w:sz="0" w:space="0" w:color="auto"/>
        <w:left w:val="none" w:sz="0" w:space="0" w:color="auto"/>
        <w:bottom w:val="none" w:sz="0" w:space="0" w:color="auto"/>
        <w:right w:val="none" w:sz="0" w:space="0" w:color="auto"/>
      </w:divBdr>
    </w:div>
    <w:div w:id="162479532">
      <w:bodyDiv w:val="1"/>
      <w:marLeft w:val="0"/>
      <w:marRight w:val="0"/>
      <w:marTop w:val="0"/>
      <w:marBottom w:val="0"/>
      <w:divBdr>
        <w:top w:val="none" w:sz="0" w:space="0" w:color="auto"/>
        <w:left w:val="none" w:sz="0" w:space="0" w:color="auto"/>
        <w:bottom w:val="none" w:sz="0" w:space="0" w:color="auto"/>
        <w:right w:val="none" w:sz="0" w:space="0" w:color="auto"/>
      </w:divBdr>
    </w:div>
    <w:div w:id="164980640">
      <w:bodyDiv w:val="1"/>
      <w:marLeft w:val="0"/>
      <w:marRight w:val="0"/>
      <w:marTop w:val="0"/>
      <w:marBottom w:val="0"/>
      <w:divBdr>
        <w:top w:val="none" w:sz="0" w:space="0" w:color="auto"/>
        <w:left w:val="none" w:sz="0" w:space="0" w:color="auto"/>
        <w:bottom w:val="none" w:sz="0" w:space="0" w:color="auto"/>
        <w:right w:val="none" w:sz="0" w:space="0" w:color="auto"/>
      </w:divBdr>
    </w:div>
    <w:div w:id="165248327">
      <w:bodyDiv w:val="1"/>
      <w:marLeft w:val="0"/>
      <w:marRight w:val="0"/>
      <w:marTop w:val="0"/>
      <w:marBottom w:val="0"/>
      <w:divBdr>
        <w:top w:val="none" w:sz="0" w:space="0" w:color="auto"/>
        <w:left w:val="none" w:sz="0" w:space="0" w:color="auto"/>
        <w:bottom w:val="none" w:sz="0" w:space="0" w:color="auto"/>
        <w:right w:val="none" w:sz="0" w:space="0" w:color="auto"/>
      </w:divBdr>
      <w:divsChild>
        <w:div w:id="341053595">
          <w:marLeft w:val="274"/>
          <w:marRight w:val="0"/>
          <w:marTop w:val="200"/>
          <w:marBottom w:val="0"/>
          <w:divBdr>
            <w:top w:val="none" w:sz="0" w:space="0" w:color="auto"/>
            <w:left w:val="none" w:sz="0" w:space="0" w:color="auto"/>
            <w:bottom w:val="none" w:sz="0" w:space="0" w:color="auto"/>
            <w:right w:val="none" w:sz="0" w:space="0" w:color="auto"/>
          </w:divBdr>
        </w:div>
        <w:div w:id="1533110775">
          <w:marLeft w:val="274"/>
          <w:marRight w:val="0"/>
          <w:marTop w:val="200"/>
          <w:marBottom w:val="0"/>
          <w:divBdr>
            <w:top w:val="none" w:sz="0" w:space="0" w:color="auto"/>
            <w:left w:val="none" w:sz="0" w:space="0" w:color="auto"/>
            <w:bottom w:val="none" w:sz="0" w:space="0" w:color="auto"/>
            <w:right w:val="none" w:sz="0" w:space="0" w:color="auto"/>
          </w:divBdr>
        </w:div>
      </w:divsChild>
    </w:div>
    <w:div w:id="170414546">
      <w:bodyDiv w:val="1"/>
      <w:marLeft w:val="0"/>
      <w:marRight w:val="0"/>
      <w:marTop w:val="0"/>
      <w:marBottom w:val="0"/>
      <w:divBdr>
        <w:top w:val="none" w:sz="0" w:space="0" w:color="auto"/>
        <w:left w:val="none" w:sz="0" w:space="0" w:color="auto"/>
        <w:bottom w:val="none" w:sz="0" w:space="0" w:color="auto"/>
        <w:right w:val="none" w:sz="0" w:space="0" w:color="auto"/>
      </w:divBdr>
    </w:div>
    <w:div w:id="171577617">
      <w:bodyDiv w:val="1"/>
      <w:marLeft w:val="0"/>
      <w:marRight w:val="0"/>
      <w:marTop w:val="0"/>
      <w:marBottom w:val="0"/>
      <w:divBdr>
        <w:top w:val="none" w:sz="0" w:space="0" w:color="auto"/>
        <w:left w:val="none" w:sz="0" w:space="0" w:color="auto"/>
        <w:bottom w:val="none" w:sz="0" w:space="0" w:color="auto"/>
        <w:right w:val="none" w:sz="0" w:space="0" w:color="auto"/>
      </w:divBdr>
    </w:div>
    <w:div w:id="193076046">
      <w:bodyDiv w:val="1"/>
      <w:marLeft w:val="0"/>
      <w:marRight w:val="0"/>
      <w:marTop w:val="0"/>
      <w:marBottom w:val="0"/>
      <w:divBdr>
        <w:top w:val="none" w:sz="0" w:space="0" w:color="auto"/>
        <w:left w:val="none" w:sz="0" w:space="0" w:color="auto"/>
        <w:bottom w:val="none" w:sz="0" w:space="0" w:color="auto"/>
        <w:right w:val="none" w:sz="0" w:space="0" w:color="auto"/>
      </w:divBdr>
      <w:divsChild>
        <w:div w:id="5333668">
          <w:marLeft w:val="274"/>
          <w:marRight w:val="0"/>
          <w:marTop w:val="200"/>
          <w:marBottom w:val="0"/>
          <w:divBdr>
            <w:top w:val="none" w:sz="0" w:space="0" w:color="auto"/>
            <w:left w:val="none" w:sz="0" w:space="0" w:color="auto"/>
            <w:bottom w:val="none" w:sz="0" w:space="0" w:color="auto"/>
            <w:right w:val="none" w:sz="0" w:space="0" w:color="auto"/>
          </w:divBdr>
        </w:div>
        <w:div w:id="555287454">
          <w:marLeft w:val="274"/>
          <w:marRight w:val="0"/>
          <w:marTop w:val="200"/>
          <w:marBottom w:val="0"/>
          <w:divBdr>
            <w:top w:val="none" w:sz="0" w:space="0" w:color="auto"/>
            <w:left w:val="none" w:sz="0" w:space="0" w:color="auto"/>
            <w:bottom w:val="none" w:sz="0" w:space="0" w:color="auto"/>
            <w:right w:val="none" w:sz="0" w:space="0" w:color="auto"/>
          </w:divBdr>
        </w:div>
        <w:div w:id="705759081">
          <w:marLeft w:val="360"/>
          <w:marRight w:val="0"/>
          <w:marTop w:val="200"/>
          <w:marBottom w:val="0"/>
          <w:divBdr>
            <w:top w:val="none" w:sz="0" w:space="0" w:color="auto"/>
            <w:left w:val="none" w:sz="0" w:space="0" w:color="auto"/>
            <w:bottom w:val="none" w:sz="0" w:space="0" w:color="auto"/>
            <w:right w:val="none" w:sz="0" w:space="0" w:color="auto"/>
          </w:divBdr>
        </w:div>
        <w:div w:id="1340542850">
          <w:marLeft w:val="360"/>
          <w:marRight w:val="0"/>
          <w:marTop w:val="200"/>
          <w:marBottom w:val="0"/>
          <w:divBdr>
            <w:top w:val="none" w:sz="0" w:space="0" w:color="auto"/>
            <w:left w:val="none" w:sz="0" w:space="0" w:color="auto"/>
            <w:bottom w:val="none" w:sz="0" w:space="0" w:color="auto"/>
            <w:right w:val="none" w:sz="0" w:space="0" w:color="auto"/>
          </w:divBdr>
        </w:div>
        <w:div w:id="1814330046">
          <w:marLeft w:val="360"/>
          <w:marRight w:val="0"/>
          <w:marTop w:val="200"/>
          <w:marBottom w:val="0"/>
          <w:divBdr>
            <w:top w:val="none" w:sz="0" w:space="0" w:color="auto"/>
            <w:left w:val="none" w:sz="0" w:space="0" w:color="auto"/>
            <w:bottom w:val="none" w:sz="0" w:space="0" w:color="auto"/>
            <w:right w:val="none" w:sz="0" w:space="0" w:color="auto"/>
          </w:divBdr>
        </w:div>
        <w:div w:id="2068410899">
          <w:marLeft w:val="360"/>
          <w:marRight w:val="0"/>
          <w:marTop w:val="200"/>
          <w:marBottom w:val="0"/>
          <w:divBdr>
            <w:top w:val="none" w:sz="0" w:space="0" w:color="auto"/>
            <w:left w:val="none" w:sz="0" w:space="0" w:color="auto"/>
            <w:bottom w:val="none" w:sz="0" w:space="0" w:color="auto"/>
            <w:right w:val="none" w:sz="0" w:space="0" w:color="auto"/>
          </w:divBdr>
        </w:div>
      </w:divsChild>
    </w:div>
    <w:div w:id="193926469">
      <w:bodyDiv w:val="1"/>
      <w:marLeft w:val="0"/>
      <w:marRight w:val="0"/>
      <w:marTop w:val="0"/>
      <w:marBottom w:val="0"/>
      <w:divBdr>
        <w:top w:val="none" w:sz="0" w:space="0" w:color="auto"/>
        <w:left w:val="none" w:sz="0" w:space="0" w:color="auto"/>
        <w:bottom w:val="none" w:sz="0" w:space="0" w:color="auto"/>
        <w:right w:val="none" w:sz="0" w:space="0" w:color="auto"/>
      </w:divBdr>
    </w:div>
    <w:div w:id="219440118">
      <w:bodyDiv w:val="1"/>
      <w:marLeft w:val="0"/>
      <w:marRight w:val="0"/>
      <w:marTop w:val="0"/>
      <w:marBottom w:val="0"/>
      <w:divBdr>
        <w:top w:val="none" w:sz="0" w:space="0" w:color="auto"/>
        <w:left w:val="none" w:sz="0" w:space="0" w:color="auto"/>
        <w:bottom w:val="none" w:sz="0" w:space="0" w:color="auto"/>
        <w:right w:val="none" w:sz="0" w:space="0" w:color="auto"/>
      </w:divBdr>
    </w:div>
    <w:div w:id="222373999">
      <w:bodyDiv w:val="1"/>
      <w:marLeft w:val="0"/>
      <w:marRight w:val="0"/>
      <w:marTop w:val="0"/>
      <w:marBottom w:val="0"/>
      <w:divBdr>
        <w:top w:val="none" w:sz="0" w:space="0" w:color="auto"/>
        <w:left w:val="none" w:sz="0" w:space="0" w:color="auto"/>
        <w:bottom w:val="none" w:sz="0" w:space="0" w:color="auto"/>
        <w:right w:val="none" w:sz="0" w:space="0" w:color="auto"/>
      </w:divBdr>
    </w:div>
    <w:div w:id="237911401">
      <w:bodyDiv w:val="1"/>
      <w:marLeft w:val="0"/>
      <w:marRight w:val="0"/>
      <w:marTop w:val="0"/>
      <w:marBottom w:val="0"/>
      <w:divBdr>
        <w:top w:val="none" w:sz="0" w:space="0" w:color="auto"/>
        <w:left w:val="none" w:sz="0" w:space="0" w:color="auto"/>
        <w:bottom w:val="none" w:sz="0" w:space="0" w:color="auto"/>
        <w:right w:val="none" w:sz="0" w:space="0" w:color="auto"/>
      </w:divBdr>
    </w:div>
    <w:div w:id="245383709">
      <w:bodyDiv w:val="1"/>
      <w:marLeft w:val="0"/>
      <w:marRight w:val="0"/>
      <w:marTop w:val="0"/>
      <w:marBottom w:val="0"/>
      <w:divBdr>
        <w:top w:val="none" w:sz="0" w:space="0" w:color="auto"/>
        <w:left w:val="none" w:sz="0" w:space="0" w:color="auto"/>
        <w:bottom w:val="none" w:sz="0" w:space="0" w:color="auto"/>
        <w:right w:val="none" w:sz="0" w:space="0" w:color="auto"/>
      </w:divBdr>
    </w:div>
    <w:div w:id="254755275">
      <w:bodyDiv w:val="1"/>
      <w:marLeft w:val="0"/>
      <w:marRight w:val="0"/>
      <w:marTop w:val="0"/>
      <w:marBottom w:val="0"/>
      <w:divBdr>
        <w:top w:val="none" w:sz="0" w:space="0" w:color="auto"/>
        <w:left w:val="none" w:sz="0" w:space="0" w:color="auto"/>
        <w:bottom w:val="none" w:sz="0" w:space="0" w:color="auto"/>
        <w:right w:val="none" w:sz="0" w:space="0" w:color="auto"/>
      </w:divBdr>
    </w:div>
    <w:div w:id="259922267">
      <w:bodyDiv w:val="1"/>
      <w:marLeft w:val="0"/>
      <w:marRight w:val="0"/>
      <w:marTop w:val="0"/>
      <w:marBottom w:val="0"/>
      <w:divBdr>
        <w:top w:val="none" w:sz="0" w:space="0" w:color="auto"/>
        <w:left w:val="none" w:sz="0" w:space="0" w:color="auto"/>
        <w:bottom w:val="none" w:sz="0" w:space="0" w:color="auto"/>
        <w:right w:val="none" w:sz="0" w:space="0" w:color="auto"/>
      </w:divBdr>
    </w:div>
    <w:div w:id="270626763">
      <w:bodyDiv w:val="1"/>
      <w:marLeft w:val="0"/>
      <w:marRight w:val="0"/>
      <w:marTop w:val="0"/>
      <w:marBottom w:val="0"/>
      <w:divBdr>
        <w:top w:val="none" w:sz="0" w:space="0" w:color="auto"/>
        <w:left w:val="none" w:sz="0" w:space="0" w:color="auto"/>
        <w:bottom w:val="none" w:sz="0" w:space="0" w:color="auto"/>
        <w:right w:val="none" w:sz="0" w:space="0" w:color="auto"/>
      </w:divBdr>
      <w:divsChild>
        <w:div w:id="820461808">
          <w:marLeft w:val="0"/>
          <w:marRight w:val="0"/>
          <w:marTop w:val="0"/>
          <w:marBottom w:val="0"/>
          <w:divBdr>
            <w:top w:val="none" w:sz="0" w:space="0" w:color="auto"/>
            <w:left w:val="none" w:sz="0" w:space="0" w:color="auto"/>
            <w:bottom w:val="none" w:sz="0" w:space="0" w:color="auto"/>
            <w:right w:val="none" w:sz="0" w:space="0" w:color="auto"/>
          </w:divBdr>
          <w:divsChild>
            <w:div w:id="1299803228">
              <w:marLeft w:val="0"/>
              <w:marRight w:val="0"/>
              <w:marTop w:val="0"/>
              <w:marBottom w:val="0"/>
              <w:divBdr>
                <w:top w:val="none" w:sz="0" w:space="0" w:color="auto"/>
                <w:left w:val="none" w:sz="0" w:space="0" w:color="auto"/>
                <w:bottom w:val="none" w:sz="0" w:space="0" w:color="auto"/>
                <w:right w:val="none" w:sz="0" w:space="0" w:color="auto"/>
              </w:divBdr>
            </w:div>
            <w:div w:id="1997997450">
              <w:marLeft w:val="0"/>
              <w:marRight w:val="0"/>
              <w:marTop w:val="0"/>
              <w:marBottom w:val="0"/>
              <w:divBdr>
                <w:top w:val="none" w:sz="0" w:space="0" w:color="auto"/>
                <w:left w:val="none" w:sz="0" w:space="0" w:color="auto"/>
                <w:bottom w:val="none" w:sz="0" w:space="0" w:color="auto"/>
                <w:right w:val="none" w:sz="0" w:space="0" w:color="auto"/>
              </w:divBdr>
            </w:div>
          </w:divsChild>
        </w:div>
        <w:div w:id="1157572544">
          <w:marLeft w:val="0"/>
          <w:marRight w:val="0"/>
          <w:marTop w:val="0"/>
          <w:marBottom w:val="0"/>
          <w:divBdr>
            <w:top w:val="none" w:sz="0" w:space="0" w:color="auto"/>
            <w:left w:val="none" w:sz="0" w:space="0" w:color="auto"/>
            <w:bottom w:val="none" w:sz="0" w:space="0" w:color="auto"/>
            <w:right w:val="none" w:sz="0" w:space="0" w:color="auto"/>
          </w:divBdr>
          <w:divsChild>
            <w:div w:id="128327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6398">
      <w:bodyDiv w:val="1"/>
      <w:marLeft w:val="0"/>
      <w:marRight w:val="0"/>
      <w:marTop w:val="0"/>
      <w:marBottom w:val="0"/>
      <w:divBdr>
        <w:top w:val="none" w:sz="0" w:space="0" w:color="auto"/>
        <w:left w:val="none" w:sz="0" w:space="0" w:color="auto"/>
        <w:bottom w:val="none" w:sz="0" w:space="0" w:color="auto"/>
        <w:right w:val="none" w:sz="0" w:space="0" w:color="auto"/>
      </w:divBdr>
    </w:div>
    <w:div w:id="302732338">
      <w:bodyDiv w:val="1"/>
      <w:marLeft w:val="0"/>
      <w:marRight w:val="0"/>
      <w:marTop w:val="0"/>
      <w:marBottom w:val="0"/>
      <w:divBdr>
        <w:top w:val="none" w:sz="0" w:space="0" w:color="auto"/>
        <w:left w:val="none" w:sz="0" w:space="0" w:color="auto"/>
        <w:bottom w:val="none" w:sz="0" w:space="0" w:color="auto"/>
        <w:right w:val="none" w:sz="0" w:space="0" w:color="auto"/>
      </w:divBdr>
      <w:divsChild>
        <w:div w:id="52588570">
          <w:marLeft w:val="547"/>
          <w:marRight w:val="0"/>
          <w:marTop w:val="0"/>
          <w:marBottom w:val="0"/>
          <w:divBdr>
            <w:top w:val="none" w:sz="0" w:space="0" w:color="auto"/>
            <w:left w:val="none" w:sz="0" w:space="0" w:color="auto"/>
            <w:bottom w:val="none" w:sz="0" w:space="0" w:color="auto"/>
            <w:right w:val="none" w:sz="0" w:space="0" w:color="auto"/>
          </w:divBdr>
        </w:div>
        <w:div w:id="158621695">
          <w:marLeft w:val="1166"/>
          <w:marRight w:val="0"/>
          <w:marTop w:val="0"/>
          <w:marBottom w:val="0"/>
          <w:divBdr>
            <w:top w:val="none" w:sz="0" w:space="0" w:color="auto"/>
            <w:left w:val="none" w:sz="0" w:space="0" w:color="auto"/>
            <w:bottom w:val="none" w:sz="0" w:space="0" w:color="auto"/>
            <w:right w:val="none" w:sz="0" w:space="0" w:color="auto"/>
          </w:divBdr>
        </w:div>
        <w:div w:id="287666053">
          <w:marLeft w:val="1166"/>
          <w:marRight w:val="0"/>
          <w:marTop w:val="0"/>
          <w:marBottom w:val="0"/>
          <w:divBdr>
            <w:top w:val="none" w:sz="0" w:space="0" w:color="auto"/>
            <w:left w:val="none" w:sz="0" w:space="0" w:color="auto"/>
            <w:bottom w:val="none" w:sz="0" w:space="0" w:color="auto"/>
            <w:right w:val="none" w:sz="0" w:space="0" w:color="auto"/>
          </w:divBdr>
        </w:div>
        <w:div w:id="524026785">
          <w:marLeft w:val="1166"/>
          <w:marRight w:val="0"/>
          <w:marTop w:val="0"/>
          <w:marBottom w:val="0"/>
          <w:divBdr>
            <w:top w:val="none" w:sz="0" w:space="0" w:color="auto"/>
            <w:left w:val="none" w:sz="0" w:space="0" w:color="auto"/>
            <w:bottom w:val="none" w:sz="0" w:space="0" w:color="auto"/>
            <w:right w:val="none" w:sz="0" w:space="0" w:color="auto"/>
          </w:divBdr>
        </w:div>
        <w:div w:id="721905576">
          <w:marLeft w:val="1166"/>
          <w:marRight w:val="0"/>
          <w:marTop w:val="0"/>
          <w:marBottom w:val="0"/>
          <w:divBdr>
            <w:top w:val="none" w:sz="0" w:space="0" w:color="auto"/>
            <w:left w:val="none" w:sz="0" w:space="0" w:color="auto"/>
            <w:bottom w:val="none" w:sz="0" w:space="0" w:color="auto"/>
            <w:right w:val="none" w:sz="0" w:space="0" w:color="auto"/>
          </w:divBdr>
        </w:div>
        <w:div w:id="838079793">
          <w:marLeft w:val="1166"/>
          <w:marRight w:val="0"/>
          <w:marTop w:val="0"/>
          <w:marBottom w:val="0"/>
          <w:divBdr>
            <w:top w:val="none" w:sz="0" w:space="0" w:color="auto"/>
            <w:left w:val="none" w:sz="0" w:space="0" w:color="auto"/>
            <w:bottom w:val="none" w:sz="0" w:space="0" w:color="auto"/>
            <w:right w:val="none" w:sz="0" w:space="0" w:color="auto"/>
          </w:divBdr>
        </w:div>
        <w:div w:id="935672702">
          <w:marLeft w:val="1166"/>
          <w:marRight w:val="0"/>
          <w:marTop w:val="0"/>
          <w:marBottom w:val="0"/>
          <w:divBdr>
            <w:top w:val="none" w:sz="0" w:space="0" w:color="auto"/>
            <w:left w:val="none" w:sz="0" w:space="0" w:color="auto"/>
            <w:bottom w:val="none" w:sz="0" w:space="0" w:color="auto"/>
            <w:right w:val="none" w:sz="0" w:space="0" w:color="auto"/>
          </w:divBdr>
        </w:div>
        <w:div w:id="949311548">
          <w:marLeft w:val="1800"/>
          <w:marRight w:val="0"/>
          <w:marTop w:val="0"/>
          <w:marBottom w:val="160"/>
          <w:divBdr>
            <w:top w:val="none" w:sz="0" w:space="0" w:color="auto"/>
            <w:left w:val="none" w:sz="0" w:space="0" w:color="auto"/>
            <w:bottom w:val="none" w:sz="0" w:space="0" w:color="auto"/>
            <w:right w:val="none" w:sz="0" w:space="0" w:color="auto"/>
          </w:divBdr>
        </w:div>
        <w:div w:id="979847297">
          <w:marLeft w:val="547"/>
          <w:marRight w:val="0"/>
          <w:marTop w:val="0"/>
          <w:marBottom w:val="0"/>
          <w:divBdr>
            <w:top w:val="none" w:sz="0" w:space="0" w:color="auto"/>
            <w:left w:val="none" w:sz="0" w:space="0" w:color="auto"/>
            <w:bottom w:val="none" w:sz="0" w:space="0" w:color="auto"/>
            <w:right w:val="none" w:sz="0" w:space="0" w:color="auto"/>
          </w:divBdr>
        </w:div>
        <w:div w:id="1214080438">
          <w:marLeft w:val="1166"/>
          <w:marRight w:val="0"/>
          <w:marTop w:val="0"/>
          <w:marBottom w:val="0"/>
          <w:divBdr>
            <w:top w:val="none" w:sz="0" w:space="0" w:color="auto"/>
            <w:left w:val="none" w:sz="0" w:space="0" w:color="auto"/>
            <w:bottom w:val="none" w:sz="0" w:space="0" w:color="auto"/>
            <w:right w:val="none" w:sz="0" w:space="0" w:color="auto"/>
          </w:divBdr>
        </w:div>
        <w:div w:id="1262378714">
          <w:marLeft w:val="547"/>
          <w:marRight w:val="0"/>
          <w:marTop w:val="0"/>
          <w:marBottom w:val="0"/>
          <w:divBdr>
            <w:top w:val="none" w:sz="0" w:space="0" w:color="auto"/>
            <w:left w:val="none" w:sz="0" w:space="0" w:color="auto"/>
            <w:bottom w:val="none" w:sz="0" w:space="0" w:color="auto"/>
            <w:right w:val="none" w:sz="0" w:space="0" w:color="auto"/>
          </w:divBdr>
        </w:div>
        <w:div w:id="1503930566">
          <w:marLeft w:val="1166"/>
          <w:marRight w:val="0"/>
          <w:marTop w:val="0"/>
          <w:marBottom w:val="0"/>
          <w:divBdr>
            <w:top w:val="none" w:sz="0" w:space="0" w:color="auto"/>
            <w:left w:val="none" w:sz="0" w:space="0" w:color="auto"/>
            <w:bottom w:val="none" w:sz="0" w:space="0" w:color="auto"/>
            <w:right w:val="none" w:sz="0" w:space="0" w:color="auto"/>
          </w:divBdr>
        </w:div>
        <w:div w:id="1634092546">
          <w:marLeft w:val="1800"/>
          <w:marRight w:val="0"/>
          <w:marTop w:val="0"/>
          <w:marBottom w:val="0"/>
          <w:divBdr>
            <w:top w:val="none" w:sz="0" w:space="0" w:color="auto"/>
            <w:left w:val="none" w:sz="0" w:space="0" w:color="auto"/>
            <w:bottom w:val="none" w:sz="0" w:space="0" w:color="auto"/>
            <w:right w:val="none" w:sz="0" w:space="0" w:color="auto"/>
          </w:divBdr>
        </w:div>
      </w:divsChild>
    </w:div>
    <w:div w:id="307902364">
      <w:bodyDiv w:val="1"/>
      <w:marLeft w:val="0"/>
      <w:marRight w:val="0"/>
      <w:marTop w:val="0"/>
      <w:marBottom w:val="0"/>
      <w:divBdr>
        <w:top w:val="none" w:sz="0" w:space="0" w:color="auto"/>
        <w:left w:val="none" w:sz="0" w:space="0" w:color="auto"/>
        <w:bottom w:val="none" w:sz="0" w:space="0" w:color="auto"/>
        <w:right w:val="none" w:sz="0" w:space="0" w:color="auto"/>
      </w:divBdr>
    </w:div>
    <w:div w:id="331221724">
      <w:bodyDiv w:val="1"/>
      <w:marLeft w:val="0"/>
      <w:marRight w:val="0"/>
      <w:marTop w:val="0"/>
      <w:marBottom w:val="0"/>
      <w:divBdr>
        <w:top w:val="none" w:sz="0" w:space="0" w:color="auto"/>
        <w:left w:val="none" w:sz="0" w:space="0" w:color="auto"/>
        <w:bottom w:val="none" w:sz="0" w:space="0" w:color="auto"/>
        <w:right w:val="none" w:sz="0" w:space="0" w:color="auto"/>
      </w:divBdr>
      <w:divsChild>
        <w:div w:id="45490566">
          <w:marLeft w:val="547"/>
          <w:marRight w:val="0"/>
          <w:marTop w:val="20"/>
          <w:marBottom w:val="20"/>
          <w:divBdr>
            <w:top w:val="none" w:sz="0" w:space="0" w:color="auto"/>
            <w:left w:val="none" w:sz="0" w:space="0" w:color="auto"/>
            <w:bottom w:val="none" w:sz="0" w:space="0" w:color="auto"/>
            <w:right w:val="none" w:sz="0" w:space="0" w:color="auto"/>
          </w:divBdr>
        </w:div>
        <w:div w:id="45686385">
          <w:marLeft w:val="547"/>
          <w:marRight w:val="0"/>
          <w:marTop w:val="20"/>
          <w:marBottom w:val="20"/>
          <w:divBdr>
            <w:top w:val="none" w:sz="0" w:space="0" w:color="auto"/>
            <w:left w:val="none" w:sz="0" w:space="0" w:color="auto"/>
            <w:bottom w:val="none" w:sz="0" w:space="0" w:color="auto"/>
            <w:right w:val="none" w:sz="0" w:space="0" w:color="auto"/>
          </w:divBdr>
        </w:div>
        <w:div w:id="330529466">
          <w:marLeft w:val="547"/>
          <w:marRight w:val="0"/>
          <w:marTop w:val="20"/>
          <w:marBottom w:val="20"/>
          <w:divBdr>
            <w:top w:val="none" w:sz="0" w:space="0" w:color="auto"/>
            <w:left w:val="none" w:sz="0" w:space="0" w:color="auto"/>
            <w:bottom w:val="none" w:sz="0" w:space="0" w:color="auto"/>
            <w:right w:val="none" w:sz="0" w:space="0" w:color="auto"/>
          </w:divBdr>
        </w:div>
        <w:div w:id="416050604">
          <w:marLeft w:val="547"/>
          <w:marRight w:val="0"/>
          <w:marTop w:val="20"/>
          <w:marBottom w:val="20"/>
          <w:divBdr>
            <w:top w:val="none" w:sz="0" w:space="0" w:color="auto"/>
            <w:left w:val="none" w:sz="0" w:space="0" w:color="auto"/>
            <w:bottom w:val="none" w:sz="0" w:space="0" w:color="auto"/>
            <w:right w:val="none" w:sz="0" w:space="0" w:color="auto"/>
          </w:divBdr>
        </w:div>
        <w:div w:id="482432177">
          <w:marLeft w:val="547"/>
          <w:marRight w:val="0"/>
          <w:marTop w:val="20"/>
          <w:marBottom w:val="20"/>
          <w:divBdr>
            <w:top w:val="none" w:sz="0" w:space="0" w:color="auto"/>
            <w:left w:val="none" w:sz="0" w:space="0" w:color="auto"/>
            <w:bottom w:val="none" w:sz="0" w:space="0" w:color="auto"/>
            <w:right w:val="none" w:sz="0" w:space="0" w:color="auto"/>
          </w:divBdr>
        </w:div>
        <w:div w:id="500005078">
          <w:marLeft w:val="547"/>
          <w:marRight w:val="0"/>
          <w:marTop w:val="20"/>
          <w:marBottom w:val="20"/>
          <w:divBdr>
            <w:top w:val="none" w:sz="0" w:space="0" w:color="auto"/>
            <w:left w:val="none" w:sz="0" w:space="0" w:color="auto"/>
            <w:bottom w:val="none" w:sz="0" w:space="0" w:color="auto"/>
            <w:right w:val="none" w:sz="0" w:space="0" w:color="auto"/>
          </w:divBdr>
        </w:div>
        <w:div w:id="529222566">
          <w:marLeft w:val="547"/>
          <w:marRight w:val="0"/>
          <w:marTop w:val="20"/>
          <w:marBottom w:val="20"/>
          <w:divBdr>
            <w:top w:val="none" w:sz="0" w:space="0" w:color="auto"/>
            <w:left w:val="none" w:sz="0" w:space="0" w:color="auto"/>
            <w:bottom w:val="none" w:sz="0" w:space="0" w:color="auto"/>
            <w:right w:val="none" w:sz="0" w:space="0" w:color="auto"/>
          </w:divBdr>
        </w:div>
        <w:div w:id="554705557">
          <w:marLeft w:val="547"/>
          <w:marRight w:val="0"/>
          <w:marTop w:val="20"/>
          <w:marBottom w:val="20"/>
          <w:divBdr>
            <w:top w:val="none" w:sz="0" w:space="0" w:color="auto"/>
            <w:left w:val="none" w:sz="0" w:space="0" w:color="auto"/>
            <w:bottom w:val="none" w:sz="0" w:space="0" w:color="auto"/>
            <w:right w:val="none" w:sz="0" w:space="0" w:color="auto"/>
          </w:divBdr>
        </w:div>
        <w:div w:id="796410792">
          <w:marLeft w:val="547"/>
          <w:marRight w:val="0"/>
          <w:marTop w:val="20"/>
          <w:marBottom w:val="20"/>
          <w:divBdr>
            <w:top w:val="none" w:sz="0" w:space="0" w:color="auto"/>
            <w:left w:val="none" w:sz="0" w:space="0" w:color="auto"/>
            <w:bottom w:val="none" w:sz="0" w:space="0" w:color="auto"/>
            <w:right w:val="none" w:sz="0" w:space="0" w:color="auto"/>
          </w:divBdr>
        </w:div>
        <w:div w:id="807163216">
          <w:marLeft w:val="547"/>
          <w:marRight w:val="0"/>
          <w:marTop w:val="20"/>
          <w:marBottom w:val="20"/>
          <w:divBdr>
            <w:top w:val="none" w:sz="0" w:space="0" w:color="auto"/>
            <w:left w:val="none" w:sz="0" w:space="0" w:color="auto"/>
            <w:bottom w:val="none" w:sz="0" w:space="0" w:color="auto"/>
            <w:right w:val="none" w:sz="0" w:space="0" w:color="auto"/>
          </w:divBdr>
        </w:div>
        <w:div w:id="847911474">
          <w:marLeft w:val="547"/>
          <w:marRight w:val="0"/>
          <w:marTop w:val="20"/>
          <w:marBottom w:val="20"/>
          <w:divBdr>
            <w:top w:val="none" w:sz="0" w:space="0" w:color="auto"/>
            <w:left w:val="none" w:sz="0" w:space="0" w:color="auto"/>
            <w:bottom w:val="none" w:sz="0" w:space="0" w:color="auto"/>
            <w:right w:val="none" w:sz="0" w:space="0" w:color="auto"/>
          </w:divBdr>
        </w:div>
        <w:div w:id="933439838">
          <w:marLeft w:val="547"/>
          <w:marRight w:val="0"/>
          <w:marTop w:val="20"/>
          <w:marBottom w:val="20"/>
          <w:divBdr>
            <w:top w:val="none" w:sz="0" w:space="0" w:color="auto"/>
            <w:left w:val="none" w:sz="0" w:space="0" w:color="auto"/>
            <w:bottom w:val="none" w:sz="0" w:space="0" w:color="auto"/>
            <w:right w:val="none" w:sz="0" w:space="0" w:color="auto"/>
          </w:divBdr>
        </w:div>
        <w:div w:id="1042486757">
          <w:marLeft w:val="547"/>
          <w:marRight w:val="0"/>
          <w:marTop w:val="20"/>
          <w:marBottom w:val="20"/>
          <w:divBdr>
            <w:top w:val="none" w:sz="0" w:space="0" w:color="auto"/>
            <w:left w:val="none" w:sz="0" w:space="0" w:color="auto"/>
            <w:bottom w:val="none" w:sz="0" w:space="0" w:color="auto"/>
            <w:right w:val="none" w:sz="0" w:space="0" w:color="auto"/>
          </w:divBdr>
        </w:div>
        <w:div w:id="1046030884">
          <w:marLeft w:val="547"/>
          <w:marRight w:val="0"/>
          <w:marTop w:val="20"/>
          <w:marBottom w:val="20"/>
          <w:divBdr>
            <w:top w:val="none" w:sz="0" w:space="0" w:color="auto"/>
            <w:left w:val="none" w:sz="0" w:space="0" w:color="auto"/>
            <w:bottom w:val="none" w:sz="0" w:space="0" w:color="auto"/>
            <w:right w:val="none" w:sz="0" w:space="0" w:color="auto"/>
          </w:divBdr>
        </w:div>
        <w:div w:id="1047068878">
          <w:marLeft w:val="547"/>
          <w:marRight w:val="0"/>
          <w:marTop w:val="20"/>
          <w:marBottom w:val="20"/>
          <w:divBdr>
            <w:top w:val="none" w:sz="0" w:space="0" w:color="auto"/>
            <w:left w:val="none" w:sz="0" w:space="0" w:color="auto"/>
            <w:bottom w:val="none" w:sz="0" w:space="0" w:color="auto"/>
            <w:right w:val="none" w:sz="0" w:space="0" w:color="auto"/>
          </w:divBdr>
        </w:div>
        <w:div w:id="1066535558">
          <w:marLeft w:val="547"/>
          <w:marRight w:val="0"/>
          <w:marTop w:val="20"/>
          <w:marBottom w:val="20"/>
          <w:divBdr>
            <w:top w:val="none" w:sz="0" w:space="0" w:color="auto"/>
            <w:left w:val="none" w:sz="0" w:space="0" w:color="auto"/>
            <w:bottom w:val="none" w:sz="0" w:space="0" w:color="auto"/>
            <w:right w:val="none" w:sz="0" w:space="0" w:color="auto"/>
          </w:divBdr>
        </w:div>
        <w:div w:id="1091466446">
          <w:marLeft w:val="547"/>
          <w:marRight w:val="0"/>
          <w:marTop w:val="20"/>
          <w:marBottom w:val="20"/>
          <w:divBdr>
            <w:top w:val="none" w:sz="0" w:space="0" w:color="auto"/>
            <w:left w:val="none" w:sz="0" w:space="0" w:color="auto"/>
            <w:bottom w:val="none" w:sz="0" w:space="0" w:color="auto"/>
            <w:right w:val="none" w:sz="0" w:space="0" w:color="auto"/>
          </w:divBdr>
        </w:div>
        <w:div w:id="1151750380">
          <w:marLeft w:val="547"/>
          <w:marRight w:val="0"/>
          <w:marTop w:val="20"/>
          <w:marBottom w:val="20"/>
          <w:divBdr>
            <w:top w:val="none" w:sz="0" w:space="0" w:color="auto"/>
            <w:left w:val="none" w:sz="0" w:space="0" w:color="auto"/>
            <w:bottom w:val="none" w:sz="0" w:space="0" w:color="auto"/>
            <w:right w:val="none" w:sz="0" w:space="0" w:color="auto"/>
          </w:divBdr>
        </w:div>
        <w:div w:id="1193422706">
          <w:marLeft w:val="547"/>
          <w:marRight w:val="0"/>
          <w:marTop w:val="20"/>
          <w:marBottom w:val="20"/>
          <w:divBdr>
            <w:top w:val="none" w:sz="0" w:space="0" w:color="auto"/>
            <w:left w:val="none" w:sz="0" w:space="0" w:color="auto"/>
            <w:bottom w:val="none" w:sz="0" w:space="0" w:color="auto"/>
            <w:right w:val="none" w:sz="0" w:space="0" w:color="auto"/>
          </w:divBdr>
        </w:div>
        <w:div w:id="1231188835">
          <w:marLeft w:val="547"/>
          <w:marRight w:val="0"/>
          <w:marTop w:val="20"/>
          <w:marBottom w:val="20"/>
          <w:divBdr>
            <w:top w:val="none" w:sz="0" w:space="0" w:color="auto"/>
            <w:left w:val="none" w:sz="0" w:space="0" w:color="auto"/>
            <w:bottom w:val="none" w:sz="0" w:space="0" w:color="auto"/>
            <w:right w:val="none" w:sz="0" w:space="0" w:color="auto"/>
          </w:divBdr>
        </w:div>
        <w:div w:id="1368869212">
          <w:marLeft w:val="547"/>
          <w:marRight w:val="0"/>
          <w:marTop w:val="20"/>
          <w:marBottom w:val="20"/>
          <w:divBdr>
            <w:top w:val="none" w:sz="0" w:space="0" w:color="auto"/>
            <w:left w:val="none" w:sz="0" w:space="0" w:color="auto"/>
            <w:bottom w:val="none" w:sz="0" w:space="0" w:color="auto"/>
            <w:right w:val="none" w:sz="0" w:space="0" w:color="auto"/>
          </w:divBdr>
        </w:div>
        <w:div w:id="1406031199">
          <w:marLeft w:val="547"/>
          <w:marRight w:val="0"/>
          <w:marTop w:val="20"/>
          <w:marBottom w:val="20"/>
          <w:divBdr>
            <w:top w:val="none" w:sz="0" w:space="0" w:color="auto"/>
            <w:left w:val="none" w:sz="0" w:space="0" w:color="auto"/>
            <w:bottom w:val="none" w:sz="0" w:space="0" w:color="auto"/>
            <w:right w:val="none" w:sz="0" w:space="0" w:color="auto"/>
          </w:divBdr>
        </w:div>
        <w:div w:id="1450973389">
          <w:marLeft w:val="547"/>
          <w:marRight w:val="0"/>
          <w:marTop w:val="20"/>
          <w:marBottom w:val="20"/>
          <w:divBdr>
            <w:top w:val="none" w:sz="0" w:space="0" w:color="auto"/>
            <w:left w:val="none" w:sz="0" w:space="0" w:color="auto"/>
            <w:bottom w:val="none" w:sz="0" w:space="0" w:color="auto"/>
            <w:right w:val="none" w:sz="0" w:space="0" w:color="auto"/>
          </w:divBdr>
        </w:div>
        <w:div w:id="1613124328">
          <w:marLeft w:val="547"/>
          <w:marRight w:val="0"/>
          <w:marTop w:val="20"/>
          <w:marBottom w:val="20"/>
          <w:divBdr>
            <w:top w:val="none" w:sz="0" w:space="0" w:color="auto"/>
            <w:left w:val="none" w:sz="0" w:space="0" w:color="auto"/>
            <w:bottom w:val="none" w:sz="0" w:space="0" w:color="auto"/>
            <w:right w:val="none" w:sz="0" w:space="0" w:color="auto"/>
          </w:divBdr>
        </w:div>
        <w:div w:id="1689791040">
          <w:marLeft w:val="547"/>
          <w:marRight w:val="0"/>
          <w:marTop w:val="20"/>
          <w:marBottom w:val="20"/>
          <w:divBdr>
            <w:top w:val="none" w:sz="0" w:space="0" w:color="auto"/>
            <w:left w:val="none" w:sz="0" w:space="0" w:color="auto"/>
            <w:bottom w:val="none" w:sz="0" w:space="0" w:color="auto"/>
            <w:right w:val="none" w:sz="0" w:space="0" w:color="auto"/>
          </w:divBdr>
        </w:div>
        <w:div w:id="1692145848">
          <w:marLeft w:val="547"/>
          <w:marRight w:val="0"/>
          <w:marTop w:val="20"/>
          <w:marBottom w:val="20"/>
          <w:divBdr>
            <w:top w:val="none" w:sz="0" w:space="0" w:color="auto"/>
            <w:left w:val="none" w:sz="0" w:space="0" w:color="auto"/>
            <w:bottom w:val="none" w:sz="0" w:space="0" w:color="auto"/>
            <w:right w:val="none" w:sz="0" w:space="0" w:color="auto"/>
          </w:divBdr>
        </w:div>
        <w:div w:id="1754207286">
          <w:marLeft w:val="547"/>
          <w:marRight w:val="0"/>
          <w:marTop w:val="20"/>
          <w:marBottom w:val="20"/>
          <w:divBdr>
            <w:top w:val="none" w:sz="0" w:space="0" w:color="auto"/>
            <w:left w:val="none" w:sz="0" w:space="0" w:color="auto"/>
            <w:bottom w:val="none" w:sz="0" w:space="0" w:color="auto"/>
            <w:right w:val="none" w:sz="0" w:space="0" w:color="auto"/>
          </w:divBdr>
        </w:div>
        <w:div w:id="1885867687">
          <w:marLeft w:val="547"/>
          <w:marRight w:val="0"/>
          <w:marTop w:val="20"/>
          <w:marBottom w:val="20"/>
          <w:divBdr>
            <w:top w:val="none" w:sz="0" w:space="0" w:color="auto"/>
            <w:left w:val="none" w:sz="0" w:space="0" w:color="auto"/>
            <w:bottom w:val="none" w:sz="0" w:space="0" w:color="auto"/>
            <w:right w:val="none" w:sz="0" w:space="0" w:color="auto"/>
          </w:divBdr>
        </w:div>
        <w:div w:id="1888175671">
          <w:marLeft w:val="547"/>
          <w:marRight w:val="0"/>
          <w:marTop w:val="20"/>
          <w:marBottom w:val="20"/>
          <w:divBdr>
            <w:top w:val="none" w:sz="0" w:space="0" w:color="auto"/>
            <w:left w:val="none" w:sz="0" w:space="0" w:color="auto"/>
            <w:bottom w:val="none" w:sz="0" w:space="0" w:color="auto"/>
            <w:right w:val="none" w:sz="0" w:space="0" w:color="auto"/>
          </w:divBdr>
        </w:div>
        <w:div w:id="1935430765">
          <w:marLeft w:val="547"/>
          <w:marRight w:val="0"/>
          <w:marTop w:val="20"/>
          <w:marBottom w:val="20"/>
          <w:divBdr>
            <w:top w:val="none" w:sz="0" w:space="0" w:color="auto"/>
            <w:left w:val="none" w:sz="0" w:space="0" w:color="auto"/>
            <w:bottom w:val="none" w:sz="0" w:space="0" w:color="auto"/>
            <w:right w:val="none" w:sz="0" w:space="0" w:color="auto"/>
          </w:divBdr>
        </w:div>
        <w:div w:id="1966502453">
          <w:marLeft w:val="547"/>
          <w:marRight w:val="0"/>
          <w:marTop w:val="20"/>
          <w:marBottom w:val="20"/>
          <w:divBdr>
            <w:top w:val="none" w:sz="0" w:space="0" w:color="auto"/>
            <w:left w:val="none" w:sz="0" w:space="0" w:color="auto"/>
            <w:bottom w:val="none" w:sz="0" w:space="0" w:color="auto"/>
            <w:right w:val="none" w:sz="0" w:space="0" w:color="auto"/>
          </w:divBdr>
        </w:div>
        <w:div w:id="1983465476">
          <w:marLeft w:val="547"/>
          <w:marRight w:val="0"/>
          <w:marTop w:val="20"/>
          <w:marBottom w:val="20"/>
          <w:divBdr>
            <w:top w:val="none" w:sz="0" w:space="0" w:color="auto"/>
            <w:left w:val="none" w:sz="0" w:space="0" w:color="auto"/>
            <w:bottom w:val="none" w:sz="0" w:space="0" w:color="auto"/>
            <w:right w:val="none" w:sz="0" w:space="0" w:color="auto"/>
          </w:divBdr>
        </w:div>
        <w:div w:id="1984382526">
          <w:marLeft w:val="547"/>
          <w:marRight w:val="0"/>
          <w:marTop w:val="20"/>
          <w:marBottom w:val="20"/>
          <w:divBdr>
            <w:top w:val="none" w:sz="0" w:space="0" w:color="auto"/>
            <w:left w:val="none" w:sz="0" w:space="0" w:color="auto"/>
            <w:bottom w:val="none" w:sz="0" w:space="0" w:color="auto"/>
            <w:right w:val="none" w:sz="0" w:space="0" w:color="auto"/>
          </w:divBdr>
        </w:div>
        <w:div w:id="1989750378">
          <w:marLeft w:val="547"/>
          <w:marRight w:val="0"/>
          <w:marTop w:val="20"/>
          <w:marBottom w:val="20"/>
          <w:divBdr>
            <w:top w:val="none" w:sz="0" w:space="0" w:color="auto"/>
            <w:left w:val="none" w:sz="0" w:space="0" w:color="auto"/>
            <w:bottom w:val="none" w:sz="0" w:space="0" w:color="auto"/>
            <w:right w:val="none" w:sz="0" w:space="0" w:color="auto"/>
          </w:divBdr>
        </w:div>
        <w:div w:id="2015960125">
          <w:marLeft w:val="547"/>
          <w:marRight w:val="0"/>
          <w:marTop w:val="20"/>
          <w:marBottom w:val="20"/>
          <w:divBdr>
            <w:top w:val="none" w:sz="0" w:space="0" w:color="auto"/>
            <w:left w:val="none" w:sz="0" w:space="0" w:color="auto"/>
            <w:bottom w:val="none" w:sz="0" w:space="0" w:color="auto"/>
            <w:right w:val="none" w:sz="0" w:space="0" w:color="auto"/>
          </w:divBdr>
        </w:div>
      </w:divsChild>
    </w:div>
    <w:div w:id="340814017">
      <w:bodyDiv w:val="1"/>
      <w:marLeft w:val="0"/>
      <w:marRight w:val="0"/>
      <w:marTop w:val="0"/>
      <w:marBottom w:val="0"/>
      <w:divBdr>
        <w:top w:val="none" w:sz="0" w:space="0" w:color="auto"/>
        <w:left w:val="none" w:sz="0" w:space="0" w:color="auto"/>
        <w:bottom w:val="none" w:sz="0" w:space="0" w:color="auto"/>
        <w:right w:val="none" w:sz="0" w:space="0" w:color="auto"/>
      </w:divBdr>
      <w:divsChild>
        <w:div w:id="965696576">
          <w:marLeft w:val="274"/>
          <w:marRight w:val="0"/>
          <w:marTop w:val="200"/>
          <w:marBottom w:val="0"/>
          <w:divBdr>
            <w:top w:val="none" w:sz="0" w:space="0" w:color="auto"/>
            <w:left w:val="none" w:sz="0" w:space="0" w:color="auto"/>
            <w:bottom w:val="none" w:sz="0" w:space="0" w:color="auto"/>
            <w:right w:val="none" w:sz="0" w:space="0" w:color="auto"/>
          </w:divBdr>
        </w:div>
        <w:div w:id="1096973191">
          <w:marLeft w:val="274"/>
          <w:marRight w:val="0"/>
          <w:marTop w:val="200"/>
          <w:marBottom w:val="0"/>
          <w:divBdr>
            <w:top w:val="none" w:sz="0" w:space="0" w:color="auto"/>
            <w:left w:val="none" w:sz="0" w:space="0" w:color="auto"/>
            <w:bottom w:val="none" w:sz="0" w:space="0" w:color="auto"/>
            <w:right w:val="none" w:sz="0" w:space="0" w:color="auto"/>
          </w:divBdr>
        </w:div>
      </w:divsChild>
    </w:div>
    <w:div w:id="347608468">
      <w:bodyDiv w:val="1"/>
      <w:marLeft w:val="0"/>
      <w:marRight w:val="0"/>
      <w:marTop w:val="0"/>
      <w:marBottom w:val="0"/>
      <w:divBdr>
        <w:top w:val="none" w:sz="0" w:space="0" w:color="auto"/>
        <w:left w:val="none" w:sz="0" w:space="0" w:color="auto"/>
        <w:bottom w:val="none" w:sz="0" w:space="0" w:color="auto"/>
        <w:right w:val="none" w:sz="0" w:space="0" w:color="auto"/>
      </w:divBdr>
    </w:div>
    <w:div w:id="364598018">
      <w:bodyDiv w:val="1"/>
      <w:marLeft w:val="0"/>
      <w:marRight w:val="0"/>
      <w:marTop w:val="0"/>
      <w:marBottom w:val="0"/>
      <w:divBdr>
        <w:top w:val="none" w:sz="0" w:space="0" w:color="auto"/>
        <w:left w:val="none" w:sz="0" w:space="0" w:color="auto"/>
        <w:bottom w:val="none" w:sz="0" w:space="0" w:color="auto"/>
        <w:right w:val="none" w:sz="0" w:space="0" w:color="auto"/>
      </w:divBdr>
      <w:divsChild>
        <w:div w:id="192765683">
          <w:marLeft w:val="274"/>
          <w:marRight w:val="0"/>
          <w:marTop w:val="0"/>
          <w:marBottom w:val="120"/>
          <w:divBdr>
            <w:top w:val="none" w:sz="0" w:space="0" w:color="auto"/>
            <w:left w:val="none" w:sz="0" w:space="0" w:color="auto"/>
            <w:bottom w:val="none" w:sz="0" w:space="0" w:color="auto"/>
            <w:right w:val="none" w:sz="0" w:space="0" w:color="auto"/>
          </w:divBdr>
        </w:div>
        <w:div w:id="512112071">
          <w:marLeft w:val="274"/>
          <w:marRight w:val="0"/>
          <w:marTop w:val="0"/>
          <w:marBottom w:val="120"/>
          <w:divBdr>
            <w:top w:val="none" w:sz="0" w:space="0" w:color="auto"/>
            <w:left w:val="none" w:sz="0" w:space="0" w:color="auto"/>
            <w:bottom w:val="none" w:sz="0" w:space="0" w:color="auto"/>
            <w:right w:val="none" w:sz="0" w:space="0" w:color="auto"/>
          </w:divBdr>
        </w:div>
        <w:div w:id="526942161">
          <w:marLeft w:val="274"/>
          <w:marRight w:val="0"/>
          <w:marTop w:val="0"/>
          <w:marBottom w:val="120"/>
          <w:divBdr>
            <w:top w:val="none" w:sz="0" w:space="0" w:color="auto"/>
            <w:left w:val="none" w:sz="0" w:space="0" w:color="auto"/>
            <w:bottom w:val="none" w:sz="0" w:space="0" w:color="auto"/>
            <w:right w:val="none" w:sz="0" w:space="0" w:color="auto"/>
          </w:divBdr>
        </w:div>
        <w:div w:id="529608200">
          <w:marLeft w:val="274"/>
          <w:marRight w:val="0"/>
          <w:marTop w:val="0"/>
          <w:marBottom w:val="120"/>
          <w:divBdr>
            <w:top w:val="none" w:sz="0" w:space="0" w:color="auto"/>
            <w:left w:val="none" w:sz="0" w:space="0" w:color="auto"/>
            <w:bottom w:val="none" w:sz="0" w:space="0" w:color="auto"/>
            <w:right w:val="none" w:sz="0" w:space="0" w:color="auto"/>
          </w:divBdr>
        </w:div>
        <w:div w:id="539976663">
          <w:marLeft w:val="274"/>
          <w:marRight w:val="0"/>
          <w:marTop w:val="0"/>
          <w:marBottom w:val="120"/>
          <w:divBdr>
            <w:top w:val="none" w:sz="0" w:space="0" w:color="auto"/>
            <w:left w:val="none" w:sz="0" w:space="0" w:color="auto"/>
            <w:bottom w:val="none" w:sz="0" w:space="0" w:color="auto"/>
            <w:right w:val="none" w:sz="0" w:space="0" w:color="auto"/>
          </w:divBdr>
        </w:div>
        <w:div w:id="566191182">
          <w:marLeft w:val="274"/>
          <w:marRight w:val="0"/>
          <w:marTop w:val="0"/>
          <w:marBottom w:val="120"/>
          <w:divBdr>
            <w:top w:val="none" w:sz="0" w:space="0" w:color="auto"/>
            <w:left w:val="none" w:sz="0" w:space="0" w:color="auto"/>
            <w:bottom w:val="none" w:sz="0" w:space="0" w:color="auto"/>
            <w:right w:val="none" w:sz="0" w:space="0" w:color="auto"/>
          </w:divBdr>
        </w:div>
        <w:div w:id="624427657">
          <w:marLeft w:val="274"/>
          <w:marRight w:val="0"/>
          <w:marTop w:val="0"/>
          <w:marBottom w:val="120"/>
          <w:divBdr>
            <w:top w:val="none" w:sz="0" w:space="0" w:color="auto"/>
            <w:left w:val="none" w:sz="0" w:space="0" w:color="auto"/>
            <w:bottom w:val="none" w:sz="0" w:space="0" w:color="auto"/>
            <w:right w:val="none" w:sz="0" w:space="0" w:color="auto"/>
          </w:divBdr>
        </w:div>
        <w:div w:id="642974506">
          <w:marLeft w:val="274"/>
          <w:marRight w:val="0"/>
          <w:marTop w:val="0"/>
          <w:marBottom w:val="120"/>
          <w:divBdr>
            <w:top w:val="none" w:sz="0" w:space="0" w:color="auto"/>
            <w:left w:val="none" w:sz="0" w:space="0" w:color="auto"/>
            <w:bottom w:val="none" w:sz="0" w:space="0" w:color="auto"/>
            <w:right w:val="none" w:sz="0" w:space="0" w:color="auto"/>
          </w:divBdr>
        </w:div>
        <w:div w:id="821584361">
          <w:marLeft w:val="274"/>
          <w:marRight w:val="0"/>
          <w:marTop w:val="0"/>
          <w:marBottom w:val="120"/>
          <w:divBdr>
            <w:top w:val="none" w:sz="0" w:space="0" w:color="auto"/>
            <w:left w:val="none" w:sz="0" w:space="0" w:color="auto"/>
            <w:bottom w:val="none" w:sz="0" w:space="0" w:color="auto"/>
            <w:right w:val="none" w:sz="0" w:space="0" w:color="auto"/>
          </w:divBdr>
        </w:div>
        <w:div w:id="858736484">
          <w:marLeft w:val="274"/>
          <w:marRight w:val="0"/>
          <w:marTop w:val="0"/>
          <w:marBottom w:val="120"/>
          <w:divBdr>
            <w:top w:val="none" w:sz="0" w:space="0" w:color="auto"/>
            <w:left w:val="none" w:sz="0" w:space="0" w:color="auto"/>
            <w:bottom w:val="none" w:sz="0" w:space="0" w:color="auto"/>
            <w:right w:val="none" w:sz="0" w:space="0" w:color="auto"/>
          </w:divBdr>
        </w:div>
        <w:div w:id="1293361748">
          <w:marLeft w:val="274"/>
          <w:marRight w:val="0"/>
          <w:marTop w:val="0"/>
          <w:marBottom w:val="120"/>
          <w:divBdr>
            <w:top w:val="none" w:sz="0" w:space="0" w:color="auto"/>
            <w:left w:val="none" w:sz="0" w:space="0" w:color="auto"/>
            <w:bottom w:val="none" w:sz="0" w:space="0" w:color="auto"/>
            <w:right w:val="none" w:sz="0" w:space="0" w:color="auto"/>
          </w:divBdr>
        </w:div>
        <w:div w:id="1686130918">
          <w:marLeft w:val="274"/>
          <w:marRight w:val="0"/>
          <w:marTop w:val="0"/>
          <w:marBottom w:val="120"/>
          <w:divBdr>
            <w:top w:val="none" w:sz="0" w:space="0" w:color="auto"/>
            <w:left w:val="none" w:sz="0" w:space="0" w:color="auto"/>
            <w:bottom w:val="none" w:sz="0" w:space="0" w:color="auto"/>
            <w:right w:val="none" w:sz="0" w:space="0" w:color="auto"/>
          </w:divBdr>
        </w:div>
        <w:div w:id="1802964228">
          <w:marLeft w:val="274"/>
          <w:marRight w:val="0"/>
          <w:marTop w:val="0"/>
          <w:marBottom w:val="120"/>
          <w:divBdr>
            <w:top w:val="none" w:sz="0" w:space="0" w:color="auto"/>
            <w:left w:val="none" w:sz="0" w:space="0" w:color="auto"/>
            <w:bottom w:val="none" w:sz="0" w:space="0" w:color="auto"/>
            <w:right w:val="none" w:sz="0" w:space="0" w:color="auto"/>
          </w:divBdr>
        </w:div>
        <w:div w:id="1989045239">
          <w:marLeft w:val="274"/>
          <w:marRight w:val="0"/>
          <w:marTop w:val="0"/>
          <w:marBottom w:val="120"/>
          <w:divBdr>
            <w:top w:val="none" w:sz="0" w:space="0" w:color="auto"/>
            <w:left w:val="none" w:sz="0" w:space="0" w:color="auto"/>
            <w:bottom w:val="none" w:sz="0" w:space="0" w:color="auto"/>
            <w:right w:val="none" w:sz="0" w:space="0" w:color="auto"/>
          </w:divBdr>
        </w:div>
        <w:div w:id="2039499906">
          <w:marLeft w:val="274"/>
          <w:marRight w:val="0"/>
          <w:marTop w:val="0"/>
          <w:marBottom w:val="120"/>
          <w:divBdr>
            <w:top w:val="none" w:sz="0" w:space="0" w:color="auto"/>
            <w:left w:val="none" w:sz="0" w:space="0" w:color="auto"/>
            <w:bottom w:val="none" w:sz="0" w:space="0" w:color="auto"/>
            <w:right w:val="none" w:sz="0" w:space="0" w:color="auto"/>
          </w:divBdr>
        </w:div>
        <w:div w:id="2100132878">
          <w:marLeft w:val="274"/>
          <w:marRight w:val="0"/>
          <w:marTop w:val="0"/>
          <w:marBottom w:val="120"/>
          <w:divBdr>
            <w:top w:val="none" w:sz="0" w:space="0" w:color="auto"/>
            <w:left w:val="none" w:sz="0" w:space="0" w:color="auto"/>
            <w:bottom w:val="none" w:sz="0" w:space="0" w:color="auto"/>
            <w:right w:val="none" w:sz="0" w:space="0" w:color="auto"/>
          </w:divBdr>
        </w:div>
      </w:divsChild>
    </w:div>
    <w:div w:id="373850099">
      <w:bodyDiv w:val="1"/>
      <w:marLeft w:val="0"/>
      <w:marRight w:val="0"/>
      <w:marTop w:val="0"/>
      <w:marBottom w:val="0"/>
      <w:divBdr>
        <w:top w:val="none" w:sz="0" w:space="0" w:color="auto"/>
        <w:left w:val="none" w:sz="0" w:space="0" w:color="auto"/>
        <w:bottom w:val="none" w:sz="0" w:space="0" w:color="auto"/>
        <w:right w:val="none" w:sz="0" w:space="0" w:color="auto"/>
      </w:divBdr>
    </w:div>
    <w:div w:id="379282597">
      <w:bodyDiv w:val="1"/>
      <w:marLeft w:val="0"/>
      <w:marRight w:val="0"/>
      <w:marTop w:val="0"/>
      <w:marBottom w:val="0"/>
      <w:divBdr>
        <w:top w:val="none" w:sz="0" w:space="0" w:color="auto"/>
        <w:left w:val="none" w:sz="0" w:space="0" w:color="auto"/>
        <w:bottom w:val="none" w:sz="0" w:space="0" w:color="auto"/>
        <w:right w:val="none" w:sz="0" w:space="0" w:color="auto"/>
      </w:divBdr>
    </w:div>
    <w:div w:id="384178474">
      <w:bodyDiv w:val="1"/>
      <w:marLeft w:val="0"/>
      <w:marRight w:val="0"/>
      <w:marTop w:val="0"/>
      <w:marBottom w:val="0"/>
      <w:divBdr>
        <w:top w:val="none" w:sz="0" w:space="0" w:color="auto"/>
        <w:left w:val="none" w:sz="0" w:space="0" w:color="auto"/>
        <w:bottom w:val="none" w:sz="0" w:space="0" w:color="auto"/>
        <w:right w:val="none" w:sz="0" w:space="0" w:color="auto"/>
      </w:divBdr>
    </w:div>
    <w:div w:id="387537289">
      <w:bodyDiv w:val="1"/>
      <w:marLeft w:val="0"/>
      <w:marRight w:val="0"/>
      <w:marTop w:val="0"/>
      <w:marBottom w:val="0"/>
      <w:divBdr>
        <w:top w:val="none" w:sz="0" w:space="0" w:color="auto"/>
        <w:left w:val="none" w:sz="0" w:space="0" w:color="auto"/>
        <w:bottom w:val="none" w:sz="0" w:space="0" w:color="auto"/>
        <w:right w:val="none" w:sz="0" w:space="0" w:color="auto"/>
      </w:divBdr>
    </w:div>
    <w:div w:id="405032190">
      <w:bodyDiv w:val="1"/>
      <w:marLeft w:val="0"/>
      <w:marRight w:val="0"/>
      <w:marTop w:val="0"/>
      <w:marBottom w:val="0"/>
      <w:divBdr>
        <w:top w:val="none" w:sz="0" w:space="0" w:color="auto"/>
        <w:left w:val="none" w:sz="0" w:space="0" w:color="auto"/>
        <w:bottom w:val="none" w:sz="0" w:space="0" w:color="auto"/>
        <w:right w:val="none" w:sz="0" w:space="0" w:color="auto"/>
      </w:divBdr>
    </w:div>
    <w:div w:id="418451753">
      <w:bodyDiv w:val="1"/>
      <w:marLeft w:val="0"/>
      <w:marRight w:val="0"/>
      <w:marTop w:val="0"/>
      <w:marBottom w:val="0"/>
      <w:divBdr>
        <w:top w:val="none" w:sz="0" w:space="0" w:color="auto"/>
        <w:left w:val="none" w:sz="0" w:space="0" w:color="auto"/>
        <w:bottom w:val="none" w:sz="0" w:space="0" w:color="auto"/>
        <w:right w:val="none" w:sz="0" w:space="0" w:color="auto"/>
      </w:divBdr>
      <w:divsChild>
        <w:div w:id="120194174">
          <w:marLeft w:val="446"/>
          <w:marRight w:val="0"/>
          <w:marTop w:val="0"/>
          <w:marBottom w:val="0"/>
          <w:divBdr>
            <w:top w:val="none" w:sz="0" w:space="0" w:color="auto"/>
            <w:left w:val="none" w:sz="0" w:space="0" w:color="auto"/>
            <w:bottom w:val="none" w:sz="0" w:space="0" w:color="auto"/>
            <w:right w:val="none" w:sz="0" w:space="0" w:color="auto"/>
          </w:divBdr>
        </w:div>
        <w:div w:id="270743660">
          <w:marLeft w:val="446"/>
          <w:marRight w:val="0"/>
          <w:marTop w:val="0"/>
          <w:marBottom w:val="0"/>
          <w:divBdr>
            <w:top w:val="none" w:sz="0" w:space="0" w:color="auto"/>
            <w:left w:val="none" w:sz="0" w:space="0" w:color="auto"/>
            <w:bottom w:val="none" w:sz="0" w:space="0" w:color="auto"/>
            <w:right w:val="none" w:sz="0" w:space="0" w:color="auto"/>
          </w:divBdr>
        </w:div>
        <w:div w:id="657609021">
          <w:marLeft w:val="446"/>
          <w:marRight w:val="0"/>
          <w:marTop w:val="0"/>
          <w:marBottom w:val="0"/>
          <w:divBdr>
            <w:top w:val="none" w:sz="0" w:space="0" w:color="auto"/>
            <w:left w:val="none" w:sz="0" w:space="0" w:color="auto"/>
            <w:bottom w:val="none" w:sz="0" w:space="0" w:color="auto"/>
            <w:right w:val="none" w:sz="0" w:space="0" w:color="auto"/>
          </w:divBdr>
        </w:div>
        <w:div w:id="1370837988">
          <w:marLeft w:val="446"/>
          <w:marRight w:val="0"/>
          <w:marTop w:val="0"/>
          <w:marBottom w:val="0"/>
          <w:divBdr>
            <w:top w:val="none" w:sz="0" w:space="0" w:color="auto"/>
            <w:left w:val="none" w:sz="0" w:space="0" w:color="auto"/>
            <w:bottom w:val="none" w:sz="0" w:space="0" w:color="auto"/>
            <w:right w:val="none" w:sz="0" w:space="0" w:color="auto"/>
          </w:divBdr>
        </w:div>
        <w:div w:id="1532526060">
          <w:marLeft w:val="446"/>
          <w:marRight w:val="0"/>
          <w:marTop w:val="0"/>
          <w:marBottom w:val="0"/>
          <w:divBdr>
            <w:top w:val="none" w:sz="0" w:space="0" w:color="auto"/>
            <w:left w:val="none" w:sz="0" w:space="0" w:color="auto"/>
            <w:bottom w:val="none" w:sz="0" w:space="0" w:color="auto"/>
            <w:right w:val="none" w:sz="0" w:space="0" w:color="auto"/>
          </w:divBdr>
        </w:div>
        <w:div w:id="1898127784">
          <w:marLeft w:val="446"/>
          <w:marRight w:val="0"/>
          <w:marTop w:val="0"/>
          <w:marBottom w:val="0"/>
          <w:divBdr>
            <w:top w:val="none" w:sz="0" w:space="0" w:color="auto"/>
            <w:left w:val="none" w:sz="0" w:space="0" w:color="auto"/>
            <w:bottom w:val="none" w:sz="0" w:space="0" w:color="auto"/>
            <w:right w:val="none" w:sz="0" w:space="0" w:color="auto"/>
          </w:divBdr>
        </w:div>
        <w:div w:id="1987582757">
          <w:marLeft w:val="446"/>
          <w:marRight w:val="0"/>
          <w:marTop w:val="0"/>
          <w:marBottom w:val="0"/>
          <w:divBdr>
            <w:top w:val="none" w:sz="0" w:space="0" w:color="auto"/>
            <w:left w:val="none" w:sz="0" w:space="0" w:color="auto"/>
            <w:bottom w:val="none" w:sz="0" w:space="0" w:color="auto"/>
            <w:right w:val="none" w:sz="0" w:space="0" w:color="auto"/>
          </w:divBdr>
        </w:div>
      </w:divsChild>
    </w:div>
    <w:div w:id="423379431">
      <w:bodyDiv w:val="1"/>
      <w:marLeft w:val="0"/>
      <w:marRight w:val="0"/>
      <w:marTop w:val="0"/>
      <w:marBottom w:val="0"/>
      <w:divBdr>
        <w:top w:val="none" w:sz="0" w:space="0" w:color="auto"/>
        <w:left w:val="none" w:sz="0" w:space="0" w:color="auto"/>
        <w:bottom w:val="none" w:sz="0" w:space="0" w:color="auto"/>
        <w:right w:val="none" w:sz="0" w:space="0" w:color="auto"/>
      </w:divBdr>
    </w:div>
    <w:div w:id="448478935">
      <w:bodyDiv w:val="1"/>
      <w:marLeft w:val="0"/>
      <w:marRight w:val="0"/>
      <w:marTop w:val="0"/>
      <w:marBottom w:val="0"/>
      <w:divBdr>
        <w:top w:val="none" w:sz="0" w:space="0" w:color="auto"/>
        <w:left w:val="none" w:sz="0" w:space="0" w:color="auto"/>
        <w:bottom w:val="none" w:sz="0" w:space="0" w:color="auto"/>
        <w:right w:val="none" w:sz="0" w:space="0" w:color="auto"/>
      </w:divBdr>
    </w:div>
    <w:div w:id="483395426">
      <w:bodyDiv w:val="1"/>
      <w:marLeft w:val="0"/>
      <w:marRight w:val="0"/>
      <w:marTop w:val="0"/>
      <w:marBottom w:val="0"/>
      <w:divBdr>
        <w:top w:val="none" w:sz="0" w:space="0" w:color="auto"/>
        <w:left w:val="none" w:sz="0" w:space="0" w:color="auto"/>
        <w:bottom w:val="none" w:sz="0" w:space="0" w:color="auto"/>
        <w:right w:val="none" w:sz="0" w:space="0" w:color="auto"/>
      </w:divBdr>
    </w:div>
    <w:div w:id="492255478">
      <w:bodyDiv w:val="1"/>
      <w:marLeft w:val="0"/>
      <w:marRight w:val="0"/>
      <w:marTop w:val="0"/>
      <w:marBottom w:val="0"/>
      <w:divBdr>
        <w:top w:val="none" w:sz="0" w:space="0" w:color="auto"/>
        <w:left w:val="none" w:sz="0" w:space="0" w:color="auto"/>
        <w:bottom w:val="none" w:sz="0" w:space="0" w:color="auto"/>
        <w:right w:val="none" w:sz="0" w:space="0" w:color="auto"/>
      </w:divBdr>
    </w:div>
    <w:div w:id="511577306">
      <w:bodyDiv w:val="1"/>
      <w:marLeft w:val="0"/>
      <w:marRight w:val="0"/>
      <w:marTop w:val="0"/>
      <w:marBottom w:val="0"/>
      <w:divBdr>
        <w:top w:val="none" w:sz="0" w:space="0" w:color="auto"/>
        <w:left w:val="none" w:sz="0" w:space="0" w:color="auto"/>
        <w:bottom w:val="none" w:sz="0" w:space="0" w:color="auto"/>
        <w:right w:val="none" w:sz="0" w:space="0" w:color="auto"/>
      </w:divBdr>
    </w:div>
    <w:div w:id="516651153">
      <w:bodyDiv w:val="1"/>
      <w:marLeft w:val="0"/>
      <w:marRight w:val="0"/>
      <w:marTop w:val="0"/>
      <w:marBottom w:val="0"/>
      <w:divBdr>
        <w:top w:val="none" w:sz="0" w:space="0" w:color="auto"/>
        <w:left w:val="none" w:sz="0" w:space="0" w:color="auto"/>
        <w:bottom w:val="none" w:sz="0" w:space="0" w:color="auto"/>
        <w:right w:val="none" w:sz="0" w:space="0" w:color="auto"/>
      </w:divBdr>
    </w:div>
    <w:div w:id="531067827">
      <w:bodyDiv w:val="1"/>
      <w:marLeft w:val="0"/>
      <w:marRight w:val="0"/>
      <w:marTop w:val="0"/>
      <w:marBottom w:val="0"/>
      <w:divBdr>
        <w:top w:val="none" w:sz="0" w:space="0" w:color="auto"/>
        <w:left w:val="none" w:sz="0" w:space="0" w:color="auto"/>
        <w:bottom w:val="none" w:sz="0" w:space="0" w:color="auto"/>
        <w:right w:val="none" w:sz="0" w:space="0" w:color="auto"/>
      </w:divBdr>
    </w:div>
    <w:div w:id="537087247">
      <w:bodyDiv w:val="1"/>
      <w:marLeft w:val="0"/>
      <w:marRight w:val="0"/>
      <w:marTop w:val="0"/>
      <w:marBottom w:val="0"/>
      <w:divBdr>
        <w:top w:val="none" w:sz="0" w:space="0" w:color="auto"/>
        <w:left w:val="none" w:sz="0" w:space="0" w:color="auto"/>
        <w:bottom w:val="none" w:sz="0" w:space="0" w:color="auto"/>
        <w:right w:val="none" w:sz="0" w:space="0" w:color="auto"/>
      </w:divBdr>
    </w:div>
    <w:div w:id="543568256">
      <w:bodyDiv w:val="1"/>
      <w:marLeft w:val="0"/>
      <w:marRight w:val="0"/>
      <w:marTop w:val="0"/>
      <w:marBottom w:val="0"/>
      <w:divBdr>
        <w:top w:val="none" w:sz="0" w:space="0" w:color="auto"/>
        <w:left w:val="none" w:sz="0" w:space="0" w:color="auto"/>
        <w:bottom w:val="none" w:sz="0" w:space="0" w:color="auto"/>
        <w:right w:val="none" w:sz="0" w:space="0" w:color="auto"/>
      </w:divBdr>
    </w:div>
    <w:div w:id="580019339">
      <w:bodyDiv w:val="1"/>
      <w:marLeft w:val="0"/>
      <w:marRight w:val="0"/>
      <w:marTop w:val="0"/>
      <w:marBottom w:val="0"/>
      <w:divBdr>
        <w:top w:val="none" w:sz="0" w:space="0" w:color="auto"/>
        <w:left w:val="none" w:sz="0" w:space="0" w:color="auto"/>
        <w:bottom w:val="none" w:sz="0" w:space="0" w:color="auto"/>
        <w:right w:val="none" w:sz="0" w:space="0" w:color="auto"/>
      </w:divBdr>
      <w:divsChild>
        <w:div w:id="32390844">
          <w:marLeft w:val="230"/>
          <w:marRight w:val="0"/>
          <w:marTop w:val="60"/>
          <w:marBottom w:val="0"/>
          <w:divBdr>
            <w:top w:val="none" w:sz="0" w:space="0" w:color="auto"/>
            <w:left w:val="none" w:sz="0" w:space="0" w:color="auto"/>
            <w:bottom w:val="none" w:sz="0" w:space="0" w:color="auto"/>
            <w:right w:val="none" w:sz="0" w:space="0" w:color="auto"/>
          </w:divBdr>
        </w:div>
        <w:div w:id="280497611">
          <w:marLeft w:val="230"/>
          <w:marRight w:val="0"/>
          <w:marTop w:val="60"/>
          <w:marBottom w:val="0"/>
          <w:divBdr>
            <w:top w:val="none" w:sz="0" w:space="0" w:color="auto"/>
            <w:left w:val="none" w:sz="0" w:space="0" w:color="auto"/>
            <w:bottom w:val="none" w:sz="0" w:space="0" w:color="auto"/>
            <w:right w:val="none" w:sz="0" w:space="0" w:color="auto"/>
          </w:divBdr>
        </w:div>
        <w:div w:id="867837036">
          <w:marLeft w:val="230"/>
          <w:marRight w:val="0"/>
          <w:marTop w:val="60"/>
          <w:marBottom w:val="0"/>
          <w:divBdr>
            <w:top w:val="none" w:sz="0" w:space="0" w:color="auto"/>
            <w:left w:val="none" w:sz="0" w:space="0" w:color="auto"/>
            <w:bottom w:val="none" w:sz="0" w:space="0" w:color="auto"/>
            <w:right w:val="none" w:sz="0" w:space="0" w:color="auto"/>
          </w:divBdr>
        </w:div>
      </w:divsChild>
    </w:div>
    <w:div w:id="599292709">
      <w:bodyDiv w:val="1"/>
      <w:marLeft w:val="0"/>
      <w:marRight w:val="0"/>
      <w:marTop w:val="0"/>
      <w:marBottom w:val="0"/>
      <w:divBdr>
        <w:top w:val="none" w:sz="0" w:space="0" w:color="auto"/>
        <w:left w:val="none" w:sz="0" w:space="0" w:color="auto"/>
        <w:bottom w:val="none" w:sz="0" w:space="0" w:color="auto"/>
        <w:right w:val="none" w:sz="0" w:space="0" w:color="auto"/>
      </w:divBdr>
      <w:divsChild>
        <w:div w:id="452869996">
          <w:marLeft w:val="274"/>
          <w:marRight w:val="0"/>
          <w:marTop w:val="0"/>
          <w:marBottom w:val="0"/>
          <w:divBdr>
            <w:top w:val="none" w:sz="0" w:space="0" w:color="auto"/>
            <w:left w:val="none" w:sz="0" w:space="0" w:color="auto"/>
            <w:bottom w:val="none" w:sz="0" w:space="0" w:color="auto"/>
            <w:right w:val="none" w:sz="0" w:space="0" w:color="auto"/>
          </w:divBdr>
        </w:div>
        <w:div w:id="859391353">
          <w:marLeft w:val="274"/>
          <w:marRight w:val="0"/>
          <w:marTop w:val="0"/>
          <w:marBottom w:val="0"/>
          <w:divBdr>
            <w:top w:val="none" w:sz="0" w:space="0" w:color="auto"/>
            <w:left w:val="none" w:sz="0" w:space="0" w:color="auto"/>
            <w:bottom w:val="none" w:sz="0" w:space="0" w:color="auto"/>
            <w:right w:val="none" w:sz="0" w:space="0" w:color="auto"/>
          </w:divBdr>
        </w:div>
      </w:divsChild>
    </w:div>
    <w:div w:id="611590321">
      <w:bodyDiv w:val="1"/>
      <w:marLeft w:val="0"/>
      <w:marRight w:val="0"/>
      <w:marTop w:val="0"/>
      <w:marBottom w:val="0"/>
      <w:divBdr>
        <w:top w:val="none" w:sz="0" w:space="0" w:color="auto"/>
        <w:left w:val="none" w:sz="0" w:space="0" w:color="auto"/>
        <w:bottom w:val="none" w:sz="0" w:space="0" w:color="auto"/>
        <w:right w:val="none" w:sz="0" w:space="0" w:color="auto"/>
      </w:divBdr>
    </w:div>
    <w:div w:id="625085407">
      <w:bodyDiv w:val="1"/>
      <w:marLeft w:val="0"/>
      <w:marRight w:val="0"/>
      <w:marTop w:val="0"/>
      <w:marBottom w:val="0"/>
      <w:divBdr>
        <w:top w:val="none" w:sz="0" w:space="0" w:color="auto"/>
        <w:left w:val="none" w:sz="0" w:space="0" w:color="auto"/>
        <w:bottom w:val="none" w:sz="0" w:space="0" w:color="auto"/>
        <w:right w:val="none" w:sz="0" w:space="0" w:color="auto"/>
      </w:divBdr>
    </w:div>
    <w:div w:id="662045201">
      <w:bodyDiv w:val="1"/>
      <w:marLeft w:val="0"/>
      <w:marRight w:val="0"/>
      <w:marTop w:val="0"/>
      <w:marBottom w:val="0"/>
      <w:divBdr>
        <w:top w:val="none" w:sz="0" w:space="0" w:color="auto"/>
        <w:left w:val="none" w:sz="0" w:space="0" w:color="auto"/>
        <w:bottom w:val="none" w:sz="0" w:space="0" w:color="auto"/>
        <w:right w:val="none" w:sz="0" w:space="0" w:color="auto"/>
      </w:divBdr>
    </w:div>
    <w:div w:id="665062137">
      <w:bodyDiv w:val="1"/>
      <w:marLeft w:val="0"/>
      <w:marRight w:val="0"/>
      <w:marTop w:val="0"/>
      <w:marBottom w:val="0"/>
      <w:divBdr>
        <w:top w:val="none" w:sz="0" w:space="0" w:color="auto"/>
        <w:left w:val="none" w:sz="0" w:space="0" w:color="auto"/>
        <w:bottom w:val="none" w:sz="0" w:space="0" w:color="auto"/>
        <w:right w:val="none" w:sz="0" w:space="0" w:color="auto"/>
      </w:divBdr>
    </w:div>
    <w:div w:id="672295900">
      <w:bodyDiv w:val="1"/>
      <w:marLeft w:val="0"/>
      <w:marRight w:val="0"/>
      <w:marTop w:val="0"/>
      <w:marBottom w:val="0"/>
      <w:divBdr>
        <w:top w:val="none" w:sz="0" w:space="0" w:color="auto"/>
        <w:left w:val="none" w:sz="0" w:space="0" w:color="auto"/>
        <w:bottom w:val="none" w:sz="0" w:space="0" w:color="auto"/>
        <w:right w:val="none" w:sz="0" w:space="0" w:color="auto"/>
      </w:divBdr>
    </w:div>
    <w:div w:id="725571988">
      <w:bodyDiv w:val="1"/>
      <w:marLeft w:val="0"/>
      <w:marRight w:val="0"/>
      <w:marTop w:val="0"/>
      <w:marBottom w:val="0"/>
      <w:divBdr>
        <w:top w:val="none" w:sz="0" w:space="0" w:color="auto"/>
        <w:left w:val="none" w:sz="0" w:space="0" w:color="auto"/>
        <w:bottom w:val="none" w:sz="0" w:space="0" w:color="auto"/>
        <w:right w:val="none" w:sz="0" w:space="0" w:color="auto"/>
      </w:divBdr>
    </w:div>
    <w:div w:id="726151783">
      <w:bodyDiv w:val="1"/>
      <w:marLeft w:val="0"/>
      <w:marRight w:val="0"/>
      <w:marTop w:val="0"/>
      <w:marBottom w:val="0"/>
      <w:divBdr>
        <w:top w:val="none" w:sz="0" w:space="0" w:color="auto"/>
        <w:left w:val="none" w:sz="0" w:space="0" w:color="auto"/>
        <w:bottom w:val="none" w:sz="0" w:space="0" w:color="auto"/>
        <w:right w:val="none" w:sz="0" w:space="0" w:color="auto"/>
      </w:divBdr>
      <w:divsChild>
        <w:div w:id="1078208225">
          <w:marLeft w:val="274"/>
          <w:marRight w:val="0"/>
          <w:marTop w:val="0"/>
          <w:marBottom w:val="0"/>
          <w:divBdr>
            <w:top w:val="none" w:sz="0" w:space="0" w:color="auto"/>
            <w:left w:val="none" w:sz="0" w:space="0" w:color="auto"/>
            <w:bottom w:val="none" w:sz="0" w:space="0" w:color="auto"/>
            <w:right w:val="none" w:sz="0" w:space="0" w:color="auto"/>
          </w:divBdr>
        </w:div>
      </w:divsChild>
    </w:div>
    <w:div w:id="738017274">
      <w:bodyDiv w:val="1"/>
      <w:marLeft w:val="0"/>
      <w:marRight w:val="0"/>
      <w:marTop w:val="0"/>
      <w:marBottom w:val="0"/>
      <w:divBdr>
        <w:top w:val="none" w:sz="0" w:space="0" w:color="auto"/>
        <w:left w:val="none" w:sz="0" w:space="0" w:color="auto"/>
        <w:bottom w:val="none" w:sz="0" w:space="0" w:color="auto"/>
        <w:right w:val="none" w:sz="0" w:space="0" w:color="auto"/>
      </w:divBdr>
    </w:div>
    <w:div w:id="751199044">
      <w:bodyDiv w:val="1"/>
      <w:marLeft w:val="0"/>
      <w:marRight w:val="0"/>
      <w:marTop w:val="0"/>
      <w:marBottom w:val="0"/>
      <w:divBdr>
        <w:top w:val="none" w:sz="0" w:space="0" w:color="auto"/>
        <w:left w:val="none" w:sz="0" w:space="0" w:color="auto"/>
        <w:bottom w:val="none" w:sz="0" w:space="0" w:color="auto"/>
        <w:right w:val="none" w:sz="0" w:space="0" w:color="auto"/>
      </w:divBdr>
    </w:div>
    <w:div w:id="765922341">
      <w:bodyDiv w:val="1"/>
      <w:marLeft w:val="0"/>
      <w:marRight w:val="0"/>
      <w:marTop w:val="0"/>
      <w:marBottom w:val="0"/>
      <w:divBdr>
        <w:top w:val="none" w:sz="0" w:space="0" w:color="auto"/>
        <w:left w:val="none" w:sz="0" w:space="0" w:color="auto"/>
        <w:bottom w:val="none" w:sz="0" w:space="0" w:color="auto"/>
        <w:right w:val="none" w:sz="0" w:space="0" w:color="auto"/>
      </w:divBdr>
    </w:div>
    <w:div w:id="767117165">
      <w:bodyDiv w:val="1"/>
      <w:marLeft w:val="0"/>
      <w:marRight w:val="0"/>
      <w:marTop w:val="0"/>
      <w:marBottom w:val="0"/>
      <w:divBdr>
        <w:top w:val="none" w:sz="0" w:space="0" w:color="auto"/>
        <w:left w:val="none" w:sz="0" w:space="0" w:color="auto"/>
        <w:bottom w:val="none" w:sz="0" w:space="0" w:color="auto"/>
        <w:right w:val="none" w:sz="0" w:space="0" w:color="auto"/>
      </w:divBdr>
    </w:div>
    <w:div w:id="783110087">
      <w:bodyDiv w:val="1"/>
      <w:marLeft w:val="0"/>
      <w:marRight w:val="0"/>
      <w:marTop w:val="0"/>
      <w:marBottom w:val="0"/>
      <w:divBdr>
        <w:top w:val="none" w:sz="0" w:space="0" w:color="auto"/>
        <w:left w:val="none" w:sz="0" w:space="0" w:color="auto"/>
        <w:bottom w:val="none" w:sz="0" w:space="0" w:color="auto"/>
        <w:right w:val="none" w:sz="0" w:space="0" w:color="auto"/>
      </w:divBdr>
    </w:div>
    <w:div w:id="794831579">
      <w:bodyDiv w:val="1"/>
      <w:marLeft w:val="0"/>
      <w:marRight w:val="0"/>
      <w:marTop w:val="0"/>
      <w:marBottom w:val="0"/>
      <w:divBdr>
        <w:top w:val="none" w:sz="0" w:space="0" w:color="auto"/>
        <w:left w:val="none" w:sz="0" w:space="0" w:color="auto"/>
        <w:bottom w:val="none" w:sz="0" w:space="0" w:color="auto"/>
        <w:right w:val="none" w:sz="0" w:space="0" w:color="auto"/>
      </w:divBdr>
      <w:divsChild>
        <w:div w:id="65734977">
          <w:marLeft w:val="274"/>
          <w:marRight w:val="0"/>
          <w:marTop w:val="0"/>
          <w:marBottom w:val="0"/>
          <w:divBdr>
            <w:top w:val="none" w:sz="0" w:space="0" w:color="auto"/>
            <w:left w:val="none" w:sz="0" w:space="0" w:color="auto"/>
            <w:bottom w:val="none" w:sz="0" w:space="0" w:color="auto"/>
            <w:right w:val="none" w:sz="0" w:space="0" w:color="auto"/>
          </w:divBdr>
        </w:div>
        <w:div w:id="437221734">
          <w:marLeft w:val="274"/>
          <w:marRight w:val="0"/>
          <w:marTop w:val="0"/>
          <w:marBottom w:val="0"/>
          <w:divBdr>
            <w:top w:val="none" w:sz="0" w:space="0" w:color="auto"/>
            <w:left w:val="none" w:sz="0" w:space="0" w:color="auto"/>
            <w:bottom w:val="none" w:sz="0" w:space="0" w:color="auto"/>
            <w:right w:val="none" w:sz="0" w:space="0" w:color="auto"/>
          </w:divBdr>
        </w:div>
        <w:div w:id="522667576">
          <w:marLeft w:val="274"/>
          <w:marRight w:val="0"/>
          <w:marTop w:val="0"/>
          <w:marBottom w:val="0"/>
          <w:divBdr>
            <w:top w:val="none" w:sz="0" w:space="0" w:color="auto"/>
            <w:left w:val="none" w:sz="0" w:space="0" w:color="auto"/>
            <w:bottom w:val="none" w:sz="0" w:space="0" w:color="auto"/>
            <w:right w:val="none" w:sz="0" w:space="0" w:color="auto"/>
          </w:divBdr>
        </w:div>
        <w:div w:id="633369306">
          <w:marLeft w:val="274"/>
          <w:marRight w:val="0"/>
          <w:marTop w:val="0"/>
          <w:marBottom w:val="0"/>
          <w:divBdr>
            <w:top w:val="none" w:sz="0" w:space="0" w:color="auto"/>
            <w:left w:val="none" w:sz="0" w:space="0" w:color="auto"/>
            <w:bottom w:val="none" w:sz="0" w:space="0" w:color="auto"/>
            <w:right w:val="none" w:sz="0" w:space="0" w:color="auto"/>
          </w:divBdr>
        </w:div>
        <w:div w:id="702247736">
          <w:marLeft w:val="274"/>
          <w:marRight w:val="0"/>
          <w:marTop w:val="0"/>
          <w:marBottom w:val="0"/>
          <w:divBdr>
            <w:top w:val="none" w:sz="0" w:space="0" w:color="auto"/>
            <w:left w:val="none" w:sz="0" w:space="0" w:color="auto"/>
            <w:bottom w:val="none" w:sz="0" w:space="0" w:color="auto"/>
            <w:right w:val="none" w:sz="0" w:space="0" w:color="auto"/>
          </w:divBdr>
        </w:div>
        <w:div w:id="721750661">
          <w:marLeft w:val="274"/>
          <w:marRight w:val="0"/>
          <w:marTop w:val="0"/>
          <w:marBottom w:val="0"/>
          <w:divBdr>
            <w:top w:val="none" w:sz="0" w:space="0" w:color="auto"/>
            <w:left w:val="none" w:sz="0" w:space="0" w:color="auto"/>
            <w:bottom w:val="none" w:sz="0" w:space="0" w:color="auto"/>
            <w:right w:val="none" w:sz="0" w:space="0" w:color="auto"/>
          </w:divBdr>
        </w:div>
        <w:div w:id="782576097">
          <w:marLeft w:val="274"/>
          <w:marRight w:val="0"/>
          <w:marTop w:val="0"/>
          <w:marBottom w:val="0"/>
          <w:divBdr>
            <w:top w:val="none" w:sz="0" w:space="0" w:color="auto"/>
            <w:left w:val="none" w:sz="0" w:space="0" w:color="auto"/>
            <w:bottom w:val="none" w:sz="0" w:space="0" w:color="auto"/>
            <w:right w:val="none" w:sz="0" w:space="0" w:color="auto"/>
          </w:divBdr>
        </w:div>
        <w:div w:id="808940473">
          <w:marLeft w:val="274"/>
          <w:marRight w:val="0"/>
          <w:marTop w:val="0"/>
          <w:marBottom w:val="0"/>
          <w:divBdr>
            <w:top w:val="none" w:sz="0" w:space="0" w:color="auto"/>
            <w:left w:val="none" w:sz="0" w:space="0" w:color="auto"/>
            <w:bottom w:val="none" w:sz="0" w:space="0" w:color="auto"/>
            <w:right w:val="none" w:sz="0" w:space="0" w:color="auto"/>
          </w:divBdr>
        </w:div>
        <w:div w:id="823618412">
          <w:marLeft w:val="274"/>
          <w:marRight w:val="0"/>
          <w:marTop w:val="0"/>
          <w:marBottom w:val="0"/>
          <w:divBdr>
            <w:top w:val="none" w:sz="0" w:space="0" w:color="auto"/>
            <w:left w:val="none" w:sz="0" w:space="0" w:color="auto"/>
            <w:bottom w:val="none" w:sz="0" w:space="0" w:color="auto"/>
            <w:right w:val="none" w:sz="0" w:space="0" w:color="auto"/>
          </w:divBdr>
        </w:div>
        <w:div w:id="876359402">
          <w:marLeft w:val="274"/>
          <w:marRight w:val="0"/>
          <w:marTop w:val="0"/>
          <w:marBottom w:val="0"/>
          <w:divBdr>
            <w:top w:val="none" w:sz="0" w:space="0" w:color="auto"/>
            <w:left w:val="none" w:sz="0" w:space="0" w:color="auto"/>
            <w:bottom w:val="none" w:sz="0" w:space="0" w:color="auto"/>
            <w:right w:val="none" w:sz="0" w:space="0" w:color="auto"/>
          </w:divBdr>
        </w:div>
        <w:div w:id="913130693">
          <w:marLeft w:val="274"/>
          <w:marRight w:val="0"/>
          <w:marTop w:val="0"/>
          <w:marBottom w:val="0"/>
          <w:divBdr>
            <w:top w:val="none" w:sz="0" w:space="0" w:color="auto"/>
            <w:left w:val="none" w:sz="0" w:space="0" w:color="auto"/>
            <w:bottom w:val="none" w:sz="0" w:space="0" w:color="auto"/>
            <w:right w:val="none" w:sz="0" w:space="0" w:color="auto"/>
          </w:divBdr>
        </w:div>
        <w:div w:id="966204494">
          <w:marLeft w:val="274"/>
          <w:marRight w:val="0"/>
          <w:marTop w:val="0"/>
          <w:marBottom w:val="0"/>
          <w:divBdr>
            <w:top w:val="none" w:sz="0" w:space="0" w:color="auto"/>
            <w:left w:val="none" w:sz="0" w:space="0" w:color="auto"/>
            <w:bottom w:val="none" w:sz="0" w:space="0" w:color="auto"/>
            <w:right w:val="none" w:sz="0" w:space="0" w:color="auto"/>
          </w:divBdr>
        </w:div>
        <w:div w:id="1175681200">
          <w:marLeft w:val="274"/>
          <w:marRight w:val="0"/>
          <w:marTop w:val="0"/>
          <w:marBottom w:val="0"/>
          <w:divBdr>
            <w:top w:val="none" w:sz="0" w:space="0" w:color="auto"/>
            <w:left w:val="none" w:sz="0" w:space="0" w:color="auto"/>
            <w:bottom w:val="none" w:sz="0" w:space="0" w:color="auto"/>
            <w:right w:val="none" w:sz="0" w:space="0" w:color="auto"/>
          </w:divBdr>
        </w:div>
        <w:div w:id="1202396877">
          <w:marLeft w:val="274"/>
          <w:marRight w:val="0"/>
          <w:marTop w:val="0"/>
          <w:marBottom w:val="0"/>
          <w:divBdr>
            <w:top w:val="none" w:sz="0" w:space="0" w:color="auto"/>
            <w:left w:val="none" w:sz="0" w:space="0" w:color="auto"/>
            <w:bottom w:val="none" w:sz="0" w:space="0" w:color="auto"/>
            <w:right w:val="none" w:sz="0" w:space="0" w:color="auto"/>
          </w:divBdr>
        </w:div>
        <w:div w:id="1408917756">
          <w:marLeft w:val="274"/>
          <w:marRight w:val="0"/>
          <w:marTop w:val="0"/>
          <w:marBottom w:val="0"/>
          <w:divBdr>
            <w:top w:val="none" w:sz="0" w:space="0" w:color="auto"/>
            <w:left w:val="none" w:sz="0" w:space="0" w:color="auto"/>
            <w:bottom w:val="none" w:sz="0" w:space="0" w:color="auto"/>
            <w:right w:val="none" w:sz="0" w:space="0" w:color="auto"/>
          </w:divBdr>
        </w:div>
        <w:div w:id="1422019474">
          <w:marLeft w:val="274"/>
          <w:marRight w:val="0"/>
          <w:marTop w:val="0"/>
          <w:marBottom w:val="0"/>
          <w:divBdr>
            <w:top w:val="none" w:sz="0" w:space="0" w:color="auto"/>
            <w:left w:val="none" w:sz="0" w:space="0" w:color="auto"/>
            <w:bottom w:val="none" w:sz="0" w:space="0" w:color="auto"/>
            <w:right w:val="none" w:sz="0" w:space="0" w:color="auto"/>
          </w:divBdr>
        </w:div>
        <w:div w:id="1443955835">
          <w:marLeft w:val="274"/>
          <w:marRight w:val="0"/>
          <w:marTop w:val="0"/>
          <w:marBottom w:val="0"/>
          <w:divBdr>
            <w:top w:val="none" w:sz="0" w:space="0" w:color="auto"/>
            <w:left w:val="none" w:sz="0" w:space="0" w:color="auto"/>
            <w:bottom w:val="none" w:sz="0" w:space="0" w:color="auto"/>
            <w:right w:val="none" w:sz="0" w:space="0" w:color="auto"/>
          </w:divBdr>
        </w:div>
        <w:div w:id="1473281770">
          <w:marLeft w:val="274"/>
          <w:marRight w:val="0"/>
          <w:marTop w:val="0"/>
          <w:marBottom w:val="0"/>
          <w:divBdr>
            <w:top w:val="none" w:sz="0" w:space="0" w:color="auto"/>
            <w:left w:val="none" w:sz="0" w:space="0" w:color="auto"/>
            <w:bottom w:val="none" w:sz="0" w:space="0" w:color="auto"/>
            <w:right w:val="none" w:sz="0" w:space="0" w:color="auto"/>
          </w:divBdr>
        </w:div>
        <w:div w:id="1514303707">
          <w:marLeft w:val="274"/>
          <w:marRight w:val="0"/>
          <w:marTop w:val="0"/>
          <w:marBottom w:val="0"/>
          <w:divBdr>
            <w:top w:val="none" w:sz="0" w:space="0" w:color="auto"/>
            <w:left w:val="none" w:sz="0" w:space="0" w:color="auto"/>
            <w:bottom w:val="none" w:sz="0" w:space="0" w:color="auto"/>
            <w:right w:val="none" w:sz="0" w:space="0" w:color="auto"/>
          </w:divBdr>
        </w:div>
        <w:div w:id="2064481447">
          <w:marLeft w:val="274"/>
          <w:marRight w:val="0"/>
          <w:marTop w:val="0"/>
          <w:marBottom w:val="0"/>
          <w:divBdr>
            <w:top w:val="none" w:sz="0" w:space="0" w:color="auto"/>
            <w:left w:val="none" w:sz="0" w:space="0" w:color="auto"/>
            <w:bottom w:val="none" w:sz="0" w:space="0" w:color="auto"/>
            <w:right w:val="none" w:sz="0" w:space="0" w:color="auto"/>
          </w:divBdr>
        </w:div>
        <w:div w:id="2097749341">
          <w:marLeft w:val="274"/>
          <w:marRight w:val="0"/>
          <w:marTop w:val="0"/>
          <w:marBottom w:val="0"/>
          <w:divBdr>
            <w:top w:val="none" w:sz="0" w:space="0" w:color="auto"/>
            <w:left w:val="none" w:sz="0" w:space="0" w:color="auto"/>
            <w:bottom w:val="none" w:sz="0" w:space="0" w:color="auto"/>
            <w:right w:val="none" w:sz="0" w:space="0" w:color="auto"/>
          </w:divBdr>
        </w:div>
        <w:div w:id="2125810180">
          <w:marLeft w:val="274"/>
          <w:marRight w:val="0"/>
          <w:marTop w:val="0"/>
          <w:marBottom w:val="0"/>
          <w:divBdr>
            <w:top w:val="none" w:sz="0" w:space="0" w:color="auto"/>
            <w:left w:val="none" w:sz="0" w:space="0" w:color="auto"/>
            <w:bottom w:val="none" w:sz="0" w:space="0" w:color="auto"/>
            <w:right w:val="none" w:sz="0" w:space="0" w:color="auto"/>
          </w:divBdr>
        </w:div>
      </w:divsChild>
    </w:div>
    <w:div w:id="800341150">
      <w:bodyDiv w:val="1"/>
      <w:marLeft w:val="0"/>
      <w:marRight w:val="0"/>
      <w:marTop w:val="0"/>
      <w:marBottom w:val="0"/>
      <w:divBdr>
        <w:top w:val="none" w:sz="0" w:space="0" w:color="auto"/>
        <w:left w:val="none" w:sz="0" w:space="0" w:color="auto"/>
        <w:bottom w:val="none" w:sz="0" w:space="0" w:color="auto"/>
        <w:right w:val="none" w:sz="0" w:space="0" w:color="auto"/>
      </w:divBdr>
      <w:divsChild>
        <w:div w:id="161042949">
          <w:marLeft w:val="274"/>
          <w:marRight w:val="0"/>
          <w:marTop w:val="120"/>
          <w:marBottom w:val="0"/>
          <w:divBdr>
            <w:top w:val="none" w:sz="0" w:space="0" w:color="auto"/>
            <w:left w:val="none" w:sz="0" w:space="0" w:color="auto"/>
            <w:bottom w:val="none" w:sz="0" w:space="0" w:color="auto"/>
            <w:right w:val="none" w:sz="0" w:space="0" w:color="auto"/>
          </w:divBdr>
        </w:div>
        <w:div w:id="816188544">
          <w:marLeft w:val="274"/>
          <w:marRight w:val="0"/>
          <w:marTop w:val="120"/>
          <w:marBottom w:val="0"/>
          <w:divBdr>
            <w:top w:val="none" w:sz="0" w:space="0" w:color="auto"/>
            <w:left w:val="none" w:sz="0" w:space="0" w:color="auto"/>
            <w:bottom w:val="none" w:sz="0" w:space="0" w:color="auto"/>
            <w:right w:val="none" w:sz="0" w:space="0" w:color="auto"/>
          </w:divBdr>
        </w:div>
        <w:div w:id="1300190299">
          <w:marLeft w:val="274"/>
          <w:marRight w:val="0"/>
          <w:marTop w:val="120"/>
          <w:marBottom w:val="0"/>
          <w:divBdr>
            <w:top w:val="none" w:sz="0" w:space="0" w:color="auto"/>
            <w:left w:val="none" w:sz="0" w:space="0" w:color="auto"/>
            <w:bottom w:val="none" w:sz="0" w:space="0" w:color="auto"/>
            <w:right w:val="none" w:sz="0" w:space="0" w:color="auto"/>
          </w:divBdr>
        </w:div>
        <w:div w:id="1514303967">
          <w:marLeft w:val="274"/>
          <w:marRight w:val="0"/>
          <w:marTop w:val="120"/>
          <w:marBottom w:val="0"/>
          <w:divBdr>
            <w:top w:val="none" w:sz="0" w:space="0" w:color="auto"/>
            <w:left w:val="none" w:sz="0" w:space="0" w:color="auto"/>
            <w:bottom w:val="none" w:sz="0" w:space="0" w:color="auto"/>
            <w:right w:val="none" w:sz="0" w:space="0" w:color="auto"/>
          </w:divBdr>
        </w:div>
      </w:divsChild>
    </w:div>
    <w:div w:id="809202475">
      <w:bodyDiv w:val="1"/>
      <w:marLeft w:val="0"/>
      <w:marRight w:val="0"/>
      <w:marTop w:val="0"/>
      <w:marBottom w:val="0"/>
      <w:divBdr>
        <w:top w:val="none" w:sz="0" w:space="0" w:color="auto"/>
        <w:left w:val="none" w:sz="0" w:space="0" w:color="auto"/>
        <w:bottom w:val="none" w:sz="0" w:space="0" w:color="auto"/>
        <w:right w:val="none" w:sz="0" w:space="0" w:color="auto"/>
      </w:divBdr>
    </w:div>
    <w:div w:id="827131145">
      <w:bodyDiv w:val="1"/>
      <w:marLeft w:val="0"/>
      <w:marRight w:val="0"/>
      <w:marTop w:val="0"/>
      <w:marBottom w:val="0"/>
      <w:divBdr>
        <w:top w:val="none" w:sz="0" w:space="0" w:color="auto"/>
        <w:left w:val="none" w:sz="0" w:space="0" w:color="auto"/>
        <w:bottom w:val="none" w:sz="0" w:space="0" w:color="auto"/>
        <w:right w:val="none" w:sz="0" w:space="0" w:color="auto"/>
      </w:divBdr>
      <w:divsChild>
        <w:div w:id="1919246060">
          <w:marLeft w:val="274"/>
          <w:marRight w:val="0"/>
          <w:marTop w:val="0"/>
          <w:marBottom w:val="0"/>
          <w:divBdr>
            <w:top w:val="none" w:sz="0" w:space="0" w:color="auto"/>
            <w:left w:val="none" w:sz="0" w:space="0" w:color="auto"/>
            <w:bottom w:val="none" w:sz="0" w:space="0" w:color="auto"/>
            <w:right w:val="none" w:sz="0" w:space="0" w:color="auto"/>
          </w:divBdr>
        </w:div>
      </w:divsChild>
    </w:div>
    <w:div w:id="837505297">
      <w:bodyDiv w:val="1"/>
      <w:marLeft w:val="0"/>
      <w:marRight w:val="0"/>
      <w:marTop w:val="0"/>
      <w:marBottom w:val="0"/>
      <w:divBdr>
        <w:top w:val="none" w:sz="0" w:space="0" w:color="auto"/>
        <w:left w:val="none" w:sz="0" w:space="0" w:color="auto"/>
        <w:bottom w:val="none" w:sz="0" w:space="0" w:color="auto"/>
        <w:right w:val="none" w:sz="0" w:space="0" w:color="auto"/>
      </w:divBdr>
      <w:divsChild>
        <w:div w:id="143399687">
          <w:marLeft w:val="274"/>
          <w:marRight w:val="0"/>
          <w:marTop w:val="0"/>
          <w:marBottom w:val="0"/>
          <w:divBdr>
            <w:top w:val="none" w:sz="0" w:space="0" w:color="auto"/>
            <w:left w:val="none" w:sz="0" w:space="0" w:color="auto"/>
            <w:bottom w:val="none" w:sz="0" w:space="0" w:color="auto"/>
            <w:right w:val="none" w:sz="0" w:space="0" w:color="auto"/>
          </w:divBdr>
        </w:div>
        <w:div w:id="345444838">
          <w:marLeft w:val="274"/>
          <w:marRight w:val="0"/>
          <w:marTop w:val="0"/>
          <w:marBottom w:val="0"/>
          <w:divBdr>
            <w:top w:val="none" w:sz="0" w:space="0" w:color="auto"/>
            <w:left w:val="none" w:sz="0" w:space="0" w:color="auto"/>
            <w:bottom w:val="none" w:sz="0" w:space="0" w:color="auto"/>
            <w:right w:val="none" w:sz="0" w:space="0" w:color="auto"/>
          </w:divBdr>
        </w:div>
        <w:div w:id="1719209358">
          <w:marLeft w:val="274"/>
          <w:marRight w:val="0"/>
          <w:marTop w:val="0"/>
          <w:marBottom w:val="0"/>
          <w:divBdr>
            <w:top w:val="none" w:sz="0" w:space="0" w:color="auto"/>
            <w:left w:val="none" w:sz="0" w:space="0" w:color="auto"/>
            <w:bottom w:val="none" w:sz="0" w:space="0" w:color="auto"/>
            <w:right w:val="none" w:sz="0" w:space="0" w:color="auto"/>
          </w:divBdr>
        </w:div>
      </w:divsChild>
    </w:div>
    <w:div w:id="839931864">
      <w:bodyDiv w:val="1"/>
      <w:marLeft w:val="0"/>
      <w:marRight w:val="0"/>
      <w:marTop w:val="0"/>
      <w:marBottom w:val="0"/>
      <w:divBdr>
        <w:top w:val="none" w:sz="0" w:space="0" w:color="auto"/>
        <w:left w:val="none" w:sz="0" w:space="0" w:color="auto"/>
        <w:bottom w:val="none" w:sz="0" w:space="0" w:color="auto"/>
        <w:right w:val="none" w:sz="0" w:space="0" w:color="auto"/>
      </w:divBdr>
      <w:divsChild>
        <w:div w:id="1244803558">
          <w:marLeft w:val="0"/>
          <w:marRight w:val="0"/>
          <w:marTop w:val="0"/>
          <w:marBottom w:val="0"/>
          <w:divBdr>
            <w:top w:val="none" w:sz="0" w:space="0" w:color="auto"/>
            <w:left w:val="none" w:sz="0" w:space="0" w:color="auto"/>
            <w:bottom w:val="none" w:sz="0" w:space="0" w:color="auto"/>
            <w:right w:val="none" w:sz="0" w:space="0" w:color="auto"/>
          </w:divBdr>
        </w:div>
        <w:div w:id="1356271858">
          <w:marLeft w:val="0"/>
          <w:marRight w:val="0"/>
          <w:marTop w:val="0"/>
          <w:marBottom w:val="0"/>
          <w:divBdr>
            <w:top w:val="none" w:sz="0" w:space="0" w:color="auto"/>
            <w:left w:val="none" w:sz="0" w:space="0" w:color="auto"/>
            <w:bottom w:val="none" w:sz="0" w:space="0" w:color="auto"/>
            <w:right w:val="none" w:sz="0" w:space="0" w:color="auto"/>
          </w:divBdr>
        </w:div>
      </w:divsChild>
    </w:div>
    <w:div w:id="869411557">
      <w:bodyDiv w:val="1"/>
      <w:marLeft w:val="0"/>
      <w:marRight w:val="0"/>
      <w:marTop w:val="0"/>
      <w:marBottom w:val="0"/>
      <w:divBdr>
        <w:top w:val="none" w:sz="0" w:space="0" w:color="auto"/>
        <w:left w:val="none" w:sz="0" w:space="0" w:color="auto"/>
        <w:bottom w:val="none" w:sz="0" w:space="0" w:color="auto"/>
        <w:right w:val="none" w:sz="0" w:space="0" w:color="auto"/>
      </w:divBdr>
    </w:div>
    <w:div w:id="889725541">
      <w:bodyDiv w:val="1"/>
      <w:marLeft w:val="0"/>
      <w:marRight w:val="0"/>
      <w:marTop w:val="0"/>
      <w:marBottom w:val="0"/>
      <w:divBdr>
        <w:top w:val="none" w:sz="0" w:space="0" w:color="auto"/>
        <w:left w:val="none" w:sz="0" w:space="0" w:color="auto"/>
        <w:bottom w:val="none" w:sz="0" w:space="0" w:color="auto"/>
        <w:right w:val="none" w:sz="0" w:space="0" w:color="auto"/>
      </w:divBdr>
      <w:divsChild>
        <w:div w:id="1298336671">
          <w:marLeft w:val="0"/>
          <w:marRight w:val="0"/>
          <w:marTop w:val="0"/>
          <w:marBottom w:val="0"/>
          <w:divBdr>
            <w:top w:val="none" w:sz="0" w:space="0" w:color="auto"/>
            <w:left w:val="none" w:sz="0" w:space="0" w:color="auto"/>
            <w:bottom w:val="none" w:sz="0" w:space="0" w:color="auto"/>
            <w:right w:val="none" w:sz="0" w:space="0" w:color="auto"/>
          </w:divBdr>
        </w:div>
        <w:div w:id="1868251954">
          <w:marLeft w:val="0"/>
          <w:marRight w:val="0"/>
          <w:marTop w:val="0"/>
          <w:marBottom w:val="0"/>
          <w:divBdr>
            <w:top w:val="none" w:sz="0" w:space="0" w:color="auto"/>
            <w:left w:val="none" w:sz="0" w:space="0" w:color="auto"/>
            <w:bottom w:val="none" w:sz="0" w:space="0" w:color="auto"/>
            <w:right w:val="none" w:sz="0" w:space="0" w:color="auto"/>
          </w:divBdr>
        </w:div>
      </w:divsChild>
    </w:div>
    <w:div w:id="898128482">
      <w:bodyDiv w:val="1"/>
      <w:marLeft w:val="0"/>
      <w:marRight w:val="0"/>
      <w:marTop w:val="0"/>
      <w:marBottom w:val="0"/>
      <w:divBdr>
        <w:top w:val="none" w:sz="0" w:space="0" w:color="auto"/>
        <w:left w:val="none" w:sz="0" w:space="0" w:color="auto"/>
        <w:bottom w:val="none" w:sz="0" w:space="0" w:color="auto"/>
        <w:right w:val="none" w:sz="0" w:space="0" w:color="auto"/>
      </w:divBdr>
      <w:divsChild>
        <w:div w:id="502282828">
          <w:marLeft w:val="274"/>
          <w:marRight w:val="0"/>
          <w:marTop w:val="200"/>
          <w:marBottom w:val="0"/>
          <w:divBdr>
            <w:top w:val="none" w:sz="0" w:space="0" w:color="auto"/>
            <w:left w:val="none" w:sz="0" w:space="0" w:color="auto"/>
            <w:bottom w:val="none" w:sz="0" w:space="0" w:color="auto"/>
            <w:right w:val="none" w:sz="0" w:space="0" w:color="auto"/>
          </w:divBdr>
        </w:div>
        <w:div w:id="1423188772">
          <w:marLeft w:val="274"/>
          <w:marRight w:val="0"/>
          <w:marTop w:val="200"/>
          <w:marBottom w:val="0"/>
          <w:divBdr>
            <w:top w:val="none" w:sz="0" w:space="0" w:color="auto"/>
            <w:left w:val="none" w:sz="0" w:space="0" w:color="auto"/>
            <w:bottom w:val="none" w:sz="0" w:space="0" w:color="auto"/>
            <w:right w:val="none" w:sz="0" w:space="0" w:color="auto"/>
          </w:divBdr>
        </w:div>
        <w:div w:id="1987858289">
          <w:marLeft w:val="274"/>
          <w:marRight w:val="0"/>
          <w:marTop w:val="200"/>
          <w:marBottom w:val="0"/>
          <w:divBdr>
            <w:top w:val="none" w:sz="0" w:space="0" w:color="auto"/>
            <w:left w:val="none" w:sz="0" w:space="0" w:color="auto"/>
            <w:bottom w:val="none" w:sz="0" w:space="0" w:color="auto"/>
            <w:right w:val="none" w:sz="0" w:space="0" w:color="auto"/>
          </w:divBdr>
        </w:div>
      </w:divsChild>
    </w:div>
    <w:div w:id="901794682">
      <w:bodyDiv w:val="1"/>
      <w:marLeft w:val="0"/>
      <w:marRight w:val="0"/>
      <w:marTop w:val="0"/>
      <w:marBottom w:val="0"/>
      <w:divBdr>
        <w:top w:val="none" w:sz="0" w:space="0" w:color="auto"/>
        <w:left w:val="none" w:sz="0" w:space="0" w:color="auto"/>
        <w:bottom w:val="none" w:sz="0" w:space="0" w:color="auto"/>
        <w:right w:val="none" w:sz="0" w:space="0" w:color="auto"/>
      </w:divBdr>
      <w:divsChild>
        <w:div w:id="62873408">
          <w:marLeft w:val="446"/>
          <w:marRight w:val="0"/>
          <w:marTop w:val="0"/>
          <w:marBottom w:val="0"/>
          <w:divBdr>
            <w:top w:val="none" w:sz="0" w:space="0" w:color="auto"/>
            <w:left w:val="none" w:sz="0" w:space="0" w:color="auto"/>
            <w:bottom w:val="none" w:sz="0" w:space="0" w:color="auto"/>
            <w:right w:val="none" w:sz="0" w:space="0" w:color="auto"/>
          </w:divBdr>
        </w:div>
        <w:div w:id="165170289">
          <w:marLeft w:val="446"/>
          <w:marRight w:val="0"/>
          <w:marTop w:val="0"/>
          <w:marBottom w:val="0"/>
          <w:divBdr>
            <w:top w:val="none" w:sz="0" w:space="0" w:color="auto"/>
            <w:left w:val="none" w:sz="0" w:space="0" w:color="auto"/>
            <w:bottom w:val="none" w:sz="0" w:space="0" w:color="auto"/>
            <w:right w:val="none" w:sz="0" w:space="0" w:color="auto"/>
          </w:divBdr>
        </w:div>
        <w:div w:id="678509283">
          <w:marLeft w:val="446"/>
          <w:marRight w:val="0"/>
          <w:marTop w:val="0"/>
          <w:marBottom w:val="0"/>
          <w:divBdr>
            <w:top w:val="none" w:sz="0" w:space="0" w:color="auto"/>
            <w:left w:val="none" w:sz="0" w:space="0" w:color="auto"/>
            <w:bottom w:val="none" w:sz="0" w:space="0" w:color="auto"/>
            <w:right w:val="none" w:sz="0" w:space="0" w:color="auto"/>
          </w:divBdr>
        </w:div>
        <w:div w:id="1577202461">
          <w:marLeft w:val="446"/>
          <w:marRight w:val="0"/>
          <w:marTop w:val="0"/>
          <w:marBottom w:val="0"/>
          <w:divBdr>
            <w:top w:val="none" w:sz="0" w:space="0" w:color="auto"/>
            <w:left w:val="none" w:sz="0" w:space="0" w:color="auto"/>
            <w:bottom w:val="none" w:sz="0" w:space="0" w:color="auto"/>
            <w:right w:val="none" w:sz="0" w:space="0" w:color="auto"/>
          </w:divBdr>
        </w:div>
        <w:div w:id="1623001097">
          <w:marLeft w:val="446"/>
          <w:marRight w:val="0"/>
          <w:marTop w:val="0"/>
          <w:marBottom w:val="0"/>
          <w:divBdr>
            <w:top w:val="none" w:sz="0" w:space="0" w:color="auto"/>
            <w:left w:val="none" w:sz="0" w:space="0" w:color="auto"/>
            <w:bottom w:val="none" w:sz="0" w:space="0" w:color="auto"/>
            <w:right w:val="none" w:sz="0" w:space="0" w:color="auto"/>
          </w:divBdr>
        </w:div>
        <w:div w:id="1732802696">
          <w:marLeft w:val="446"/>
          <w:marRight w:val="0"/>
          <w:marTop w:val="0"/>
          <w:marBottom w:val="0"/>
          <w:divBdr>
            <w:top w:val="none" w:sz="0" w:space="0" w:color="auto"/>
            <w:left w:val="none" w:sz="0" w:space="0" w:color="auto"/>
            <w:bottom w:val="none" w:sz="0" w:space="0" w:color="auto"/>
            <w:right w:val="none" w:sz="0" w:space="0" w:color="auto"/>
          </w:divBdr>
        </w:div>
        <w:div w:id="2133593471">
          <w:marLeft w:val="446"/>
          <w:marRight w:val="0"/>
          <w:marTop w:val="0"/>
          <w:marBottom w:val="0"/>
          <w:divBdr>
            <w:top w:val="none" w:sz="0" w:space="0" w:color="auto"/>
            <w:left w:val="none" w:sz="0" w:space="0" w:color="auto"/>
            <w:bottom w:val="none" w:sz="0" w:space="0" w:color="auto"/>
            <w:right w:val="none" w:sz="0" w:space="0" w:color="auto"/>
          </w:divBdr>
        </w:div>
      </w:divsChild>
    </w:div>
    <w:div w:id="917522560">
      <w:bodyDiv w:val="1"/>
      <w:marLeft w:val="0"/>
      <w:marRight w:val="0"/>
      <w:marTop w:val="0"/>
      <w:marBottom w:val="0"/>
      <w:divBdr>
        <w:top w:val="none" w:sz="0" w:space="0" w:color="auto"/>
        <w:left w:val="none" w:sz="0" w:space="0" w:color="auto"/>
        <w:bottom w:val="none" w:sz="0" w:space="0" w:color="auto"/>
        <w:right w:val="none" w:sz="0" w:space="0" w:color="auto"/>
      </w:divBdr>
      <w:divsChild>
        <w:div w:id="157616553">
          <w:marLeft w:val="1066"/>
          <w:marRight w:val="0"/>
          <w:marTop w:val="0"/>
          <w:marBottom w:val="60"/>
          <w:divBdr>
            <w:top w:val="none" w:sz="0" w:space="0" w:color="auto"/>
            <w:left w:val="none" w:sz="0" w:space="0" w:color="auto"/>
            <w:bottom w:val="none" w:sz="0" w:space="0" w:color="auto"/>
            <w:right w:val="none" w:sz="0" w:space="0" w:color="auto"/>
          </w:divBdr>
        </w:div>
        <w:div w:id="169952246">
          <w:marLeft w:val="1066"/>
          <w:marRight w:val="0"/>
          <w:marTop w:val="0"/>
          <w:marBottom w:val="60"/>
          <w:divBdr>
            <w:top w:val="none" w:sz="0" w:space="0" w:color="auto"/>
            <w:left w:val="none" w:sz="0" w:space="0" w:color="auto"/>
            <w:bottom w:val="none" w:sz="0" w:space="0" w:color="auto"/>
            <w:right w:val="none" w:sz="0" w:space="0" w:color="auto"/>
          </w:divBdr>
        </w:div>
        <w:div w:id="193814930">
          <w:marLeft w:val="346"/>
          <w:marRight w:val="0"/>
          <w:marTop w:val="0"/>
          <w:marBottom w:val="60"/>
          <w:divBdr>
            <w:top w:val="none" w:sz="0" w:space="0" w:color="auto"/>
            <w:left w:val="none" w:sz="0" w:space="0" w:color="auto"/>
            <w:bottom w:val="none" w:sz="0" w:space="0" w:color="auto"/>
            <w:right w:val="none" w:sz="0" w:space="0" w:color="auto"/>
          </w:divBdr>
        </w:div>
        <w:div w:id="1346593964">
          <w:marLeft w:val="1066"/>
          <w:marRight w:val="0"/>
          <w:marTop w:val="0"/>
          <w:marBottom w:val="60"/>
          <w:divBdr>
            <w:top w:val="none" w:sz="0" w:space="0" w:color="auto"/>
            <w:left w:val="none" w:sz="0" w:space="0" w:color="auto"/>
            <w:bottom w:val="none" w:sz="0" w:space="0" w:color="auto"/>
            <w:right w:val="none" w:sz="0" w:space="0" w:color="auto"/>
          </w:divBdr>
        </w:div>
        <w:div w:id="1396395630">
          <w:marLeft w:val="1066"/>
          <w:marRight w:val="0"/>
          <w:marTop w:val="0"/>
          <w:marBottom w:val="60"/>
          <w:divBdr>
            <w:top w:val="none" w:sz="0" w:space="0" w:color="auto"/>
            <w:left w:val="none" w:sz="0" w:space="0" w:color="auto"/>
            <w:bottom w:val="none" w:sz="0" w:space="0" w:color="auto"/>
            <w:right w:val="none" w:sz="0" w:space="0" w:color="auto"/>
          </w:divBdr>
        </w:div>
        <w:div w:id="1557006341">
          <w:marLeft w:val="1066"/>
          <w:marRight w:val="0"/>
          <w:marTop w:val="0"/>
          <w:marBottom w:val="60"/>
          <w:divBdr>
            <w:top w:val="none" w:sz="0" w:space="0" w:color="auto"/>
            <w:left w:val="none" w:sz="0" w:space="0" w:color="auto"/>
            <w:bottom w:val="none" w:sz="0" w:space="0" w:color="auto"/>
            <w:right w:val="none" w:sz="0" w:space="0" w:color="auto"/>
          </w:divBdr>
        </w:div>
      </w:divsChild>
    </w:div>
    <w:div w:id="929047026">
      <w:bodyDiv w:val="1"/>
      <w:marLeft w:val="0"/>
      <w:marRight w:val="0"/>
      <w:marTop w:val="0"/>
      <w:marBottom w:val="0"/>
      <w:divBdr>
        <w:top w:val="none" w:sz="0" w:space="0" w:color="auto"/>
        <w:left w:val="none" w:sz="0" w:space="0" w:color="auto"/>
        <w:bottom w:val="none" w:sz="0" w:space="0" w:color="auto"/>
        <w:right w:val="none" w:sz="0" w:space="0" w:color="auto"/>
      </w:divBdr>
    </w:div>
    <w:div w:id="931475914">
      <w:bodyDiv w:val="1"/>
      <w:marLeft w:val="0"/>
      <w:marRight w:val="0"/>
      <w:marTop w:val="0"/>
      <w:marBottom w:val="0"/>
      <w:divBdr>
        <w:top w:val="none" w:sz="0" w:space="0" w:color="auto"/>
        <w:left w:val="none" w:sz="0" w:space="0" w:color="auto"/>
        <w:bottom w:val="none" w:sz="0" w:space="0" w:color="auto"/>
        <w:right w:val="none" w:sz="0" w:space="0" w:color="auto"/>
      </w:divBdr>
    </w:div>
    <w:div w:id="933513587">
      <w:bodyDiv w:val="1"/>
      <w:marLeft w:val="0"/>
      <w:marRight w:val="0"/>
      <w:marTop w:val="0"/>
      <w:marBottom w:val="0"/>
      <w:divBdr>
        <w:top w:val="none" w:sz="0" w:space="0" w:color="auto"/>
        <w:left w:val="none" w:sz="0" w:space="0" w:color="auto"/>
        <w:bottom w:val="none" w:sz="0" w:space="0" w:color="auto"/>
        <w:right w:val="none" w:sz="0" w:space="0" w:color="auto"/>
      </w:divBdr>
    </w:div>
    <w:div w:id="939065771">
      <w:bodyDiv w:val="1"/>
      <w:marLeft w:val="0"/>
      <w:marRight w:val="0"/>
      <w:marTop w:val="0"/>
      <w:marBottom w:val="0"/>
      <w:divBdr>
        <w:top w:val="none" w:sz="0" w:space="0" w:color="auto"/>
        <w:left w:val="none" w:sz="0" w:space="0" w:color="auto"/>
        <w:bottom w:val="none" w:sz="0" w:space="0" w:color="auto"/>
        <w:right w:val="none" w:sz="0" w:space="0" w:color="auto"/>
      </w:divBdr>
      <w:divsChild>
        <w:div w:id="329911551">
          <w:marLeft w:val="274"/>
          <w:marRight w:val="0"/>
          <w:marTop w:val="0"/>
          <w:marBottom w:val="0"/>
          <w:divBdr>
            <w:top w:val="none" w:sz="0" w:space="0" w:color="auto"/>
            <w:left w:val="none" w:sz="0" w:space="0" w:color="auto"/>
            <w:bottom w:val="none" w:sz="0" w:space="0" w:color="auto"/>
            <w:right w:val="none" w:sz="0" w:space="0" w:color="auto"/>
          </w:divBdr>
        </w:div>
        <w:div w:id="821118826">
          <w:marLeft w:val="274"/>
          <w:marRight w:val="0"/>
          <w:marTop w:val="0"/>
          <w:marBottom w:val="0"/>
          <w:divBdr>
            <w:top w:val="none" w:sz="0" w:space="0" w:color="auto"/>
            <w:left w:val="none" w:sz="0" w:space="0" w:color="auto"/>
            <w:bottom w:val="none" w:sz="0" w:space="0" w:color="auto"/>
            <w:right w:val="none" w:sz="0" w:space="0" w:color="auto"/>
          </w:divBdr>
        </w:div>
        <w:div w:id="1261063682">
          <w:marLeft w:val="274"/>
          <w:marRight w:val="0"/>
          <w:marTop w:val="0"/>
          <w:marBottom w:val="0"/>
          <w:divBdr>
            <w:top w:val="none" w:sz="0" w:space="0" w:color="auto"/>
            <w:left w:val="none" w:sz="0" w:space="0" w:color="auto"/>
            <w:bottom w:val="none" w:sz="0" w:space="0" w:color="auto"/>
            <w:right w:val="none" w:sz="0" w:space="0" w:color="auto"/>
          </w:divBdr>
        </w:div>
      </w:divsChild>
    </w:div>
    <w:div w:id="941498213">
      <w:bodyDiv w:val="1"/>
      <w:marLeft w:val="0"/>
      <w:marRight w:val="0"/>
      <w:marTop w:val="0"/>
      <w:marBottom w:val="0"/>
      <w:divBdr>
        <w:top w:val="none" w:sz="0" w:space="0" w:color="auto"/>
        <w:left w:val="none" w:sz="0" w:space="0" w:color="auto"/>
        <w:bottom w:val="none" w:sz="0" w:space="0" w:color="auto"/>
        <w:right w:val="none" w:sz="0" w:space="0" w:color="auto"/>
      </w:divBdr>
      <w:divsChild>
        <w:div w:id="1693451869">
          <w:marLeft w:val="173"/>
          <w:marRight w:val="0"/>
          <w:marTop w:val="0"/>
          <w:marBottom w:val="0"/>
          <w:divBdr>
            <w:top w:val="none" w:sz="0" w:space="0" w:color="auto"/>
            <w:left w:val="none" w:sz="0" w:space="0" w:color="auto"/>
            <w:bottom w:val="none" w:sz="0" w:space="0" w:color="auto"/>
            <w:right w:val="none" w:sz="0" w:space="0" w:color="auto"/>
          </w:divBdr>
        </w:div>
      </w:divsChild>
    </w:div>
    <w:div w:id="965811554">
      <w:bodyDiv w:val="1"/>
      <w:marLeft w:val="0"/>
      <w:marRight w:val="0"/>
      <w:marTop w:val="0"/>
      <w:marBottom w:val="0"/>
      <w:divBdr>
        <w:top w:val="none" w:sz="0" w:space="0" w:color="auto"/>
        <w:left w:val="none" w:sz="0" w:space="0" w:color="auto"/>
        <w:bottom w:val="none" w:sz="0" w:space="0" w:color="auto"/>
        <w:right w:val="none" w:sz="0" w:space="0" w:color="auto"/>
      </w:divBdr>
    </w:div>
    <w:div w:id="976452483">
      <w:bodyDiv w:val="1"/>
      <w:marLeft w:val="0"/>
      <w:marRight w:val="0"/>
      <w:marTop w:val="0"/>
      <w:marBottom w:val="0"/>
      <w:divBdr>
        <w:top w:val="none" w:sz="0" w:space="0" w:color="auto"/>
        <w:left w:val="none" w:sz="0" w:space="0" w:color="auto"/>
        <w:bottom w:val="none" w:sz="0" w:space="0" w:color="auto"/>
        <w:right w:val="none" w:sz="0" w:space="0" w:color="auto"/>
      </w:divBdr>
    </w:div>
    <w:div w:id="983853870">
      <w:bodyDiv w:val="1"/>
      <w:marLeft w:val="0"/>
      <w:marRight w:val="0"/>
      <w:marTop w:val="0"/>
      <w:marBottom w:val="0"/>
      <w:divBdr>
        <w:top w:val="none" w:sz="0" w:space="0" w:color="auto"/>
        <w:left w:val="none" w:sz="0" w:space="0" w:color="auto"/>
        <w:bottom w:val="none" w:sz="0" w:space="0" w:color="auto"/>
        <w:right w:val="none" w:sz="0" w:space="0" w:color="auto"/>
      </w:divBdr>
      <w:divsChild>
        <w:div w:id="234827980">
          <w:marLeft w:val="274"/>
          <w:marRight w:val="0"/>
          <w:marTop w:val="200"/>
          <w:marBottom w:val="0"/>
          <w:divBdr>
            <w:top w:val="none" w:sz="0" w:space="0" w:color="auto"/>
            <w:left w:val="none" w:sz="0" w:space="0" w:color="auto"/>
            <w:bottom w:val="none" w:sz="0" w:space="0" w:color="auto"/>
            <w:right w:val="none" w:sz="0" w:space="0" w:color="auto"/>
          </w:divBdr>
        </w:div>
        <w:div w:id="271982831">
          <w:marLeft w:val="274"/>
          <w:marRight w:val="0"/>
          <w:marTop w:val="200"/>
          <w:marBottom w:val="0"/>
          <w:divBdr>
            <w:top w:val="none" w:sz="0" w:space="0" w:color="auto"/>
            <w:left w:val="none" w:sz="0" w:space="0" w:color="auto"/>
            <w:bottom w:val="none" w:sz="0" w:space="0" w:color="auto"/>
            <w:right w:val="none" w:sz="0" w:space="0" w:color="auto"/>
          </w:divBdr>
        </w:div>
        <w:div w:id="600573453">
          <w:marLeft w:val="274"/>
          <w:marRight w:val="0"/>
          <w:marTop w:val="200"/>
          <w:marBottom w:val="0"/>
          <w:divBdr>
            <w:top w:val="none" w:sz="0" w:space="0" w:color="auto"/>
            <w:left w:val="none" w:sz="0" w:space="0" w:color="auto"/>
            <w:bottom w:val="none" w:sz="0" w:space="0" w:color="auto"/>
            <w:right w:val="none" w:sz="0" w:space="0" w:color="auto"/>
          </w:divBdr>
        </w:div>
        <w:div w:id="901212318">
          <w:marLeft w:val="274"/>
          <w:marRight w:val="0"/>
          <w:marTop w:val="200"/>
          <w:marBottom w:val="0"/>
          <w:divBdr>
            <w:top w:val="none" w:sz="0" w:space="0" w:color="auto"/>
            <w:left w:val="none" w:sz="0" w:space="0" w:color="auto"/>
            <w:bottom w:val="none" w:sz="0" w:space="0" w:color="auto"/>
            <w:right w:val="none" w:sz="0" w:space="0" w:color="auto"/>
          </w:divBdr>
        </w:div>
        <w:div w:id="906719438">
          <w:marLeft w:val="274"/>
          <w:marRight w:val="0"/>
          <w:marTop w:val="200"/>
          <w:marBottom w:val="0"/>
          <w:divBdr>
            <w:top w:val="none" w:sz="0" w:space="0" w:color="auto"/>
            <w:left w:val="none" w:sz="0" w:space="0" w:color="auto"/>
            <w:bottom w:val="none" w:sz="0" w:space="0" w:color="auto"/>
            <w:right w:val="none" w:sz="0" w:space="0" w:color="auto"/>
          </w:divBdr>
        </w:div>
        <w:div w:id="1894535274">
          <w:marLeft w:val="274"/>
          <w:marRight w:val="0"/>
          <w:marTop w:val="200"/>
          <w:marBottom w:val="0"/>
          <w:divBdr>
            <w:top w:val="none" w:sz="0" w:space="0" w:color="auto"/>
            <w:left w:val="none" w:sz="0" w:space="0" w:color="auto"/>
            <w:bottom w:val="none" w:sz="0" w:space="0" w:color="auto"/>
            <w:right w:val="none" w:sz="0" w:space="0" w:color="auto"/>
          </w:divBdr>
        </w:div>
      </w:divsChild>
    </w:div>
    <w:div w:id="1001542433">
      <w:bodyDiv w:val="1"/>
      <w:marLeft w:val="0"/>
      <w:marRight w:val="0"/>
      <w:marTop w:val="0"/>
      <w:marBottom w:val="0"/>
      <w:divBdr>
        <w:top w:val="none" w:sz="0" w:space="0" w:color="auto"/>
        <w:left w:val="none" w:sz="0" w:space="0" w:color="auto"/>
        <w:bottom w:val="none" w:sz="0" w:space="0" w:color="auto"/>
        <w:right w:val="none" w:sz="0" w:space="0" w:color="auto"/>
      </w:divBdr>
      <w:divsChild>
        <w:div w:id="11692357">
          <w:marLeft w:val="0"/>
          <w:marRight w:val="0"/>
          <w:marTop w:val="0"/>
          <w:marBottom w:val="0"/>
          <w:divBdr>
            <w:top w:val="none" w:sz="0" w:space="0" w:color="auto"/>
            <w:left w:val="none" w:sz="0" w:space="0" w:color="auto"/>
            <w:bottom w:val="none" w:sz="0" w:space="0" w:color="auto"/>
            <w:right w:val="none" w:sz="0" w:space="0" w:color="auto"/>
          </w:divBdr>
        </w:div>
        <w:div w:id="292442067">
          <w:marLeft w:val="0"/>
          <w:marRight w:val="0"/>
          <w:marTop w:val="0"/>
          <w:marBottom w:val="0"/>
          <w:divBdr>
            <w:top w:val="none" w:sz="0" w:space="0" w:color="auto"/>
            <w:left w:val="none" w:sz="0" w:space="0" w:color="auto"/>
            <w:bottom w:val="none" w:sz="0" w:space="0" w:color="auto"/>
            <w:right w:val="none" w:sz="0" w:space="0" w:color="auto"/>
          </w:divBdr>
        </w:div>
        <w:div w:id="310596298">
          <w:marLeft w:val="0"/>
          <w:marRight w:val="0"/>
          <w:marTop w:val="0"/>
          <w:marBottom w:val="0"/>
          <w:divBdr>
            <w:top w:val="none" w:sz="0" w:space="0" w:color="auto"/>
            <w:left w:val="none" w:sz="0" w:space="0" w:color="auto"/>
            <w:bottom w:val="none" w:sz="0" w:space="0" w:color="auto"/>
            <w:right w:val="none" w:sz="0" w:space="0" w:color="auto"/>
          </w:divBdr>
        </w:div>
        <w:div w:id="390614505">
          <w:marLeft w:val="0"/>
          <w:marRight w:val="0"/>
          <w:marTop w:val="0"/>
          <w:marBottom w:val="0"/>
          <w:divBdr>
            <w:top w:val="none" w:sz="0" w:space="0" w:color="auto"/>
            <w:left w:val="none" w:sz="0" w:space="0" w:color="auto"/>
            <w:bottom w:val="none" w:sz="0" w:space="0" w:color="auto"/>
            <w:right w:val="none" w:sz="0" w:space="0" w:color="auto"/>
          </w:divBdr>
        </w:div>
        <w:div w:id="626396450">
          <w:marLeft w:val="0"/>
          <w:marRight w:val="0"/>
          <w:marTop w:val="0"/>
          <w:marBottom w:val="0"/>
          <w:divBdr>
            <w:top w:val="none" w:sz="0" w:space="0" w:color="auto"/>
            <w:left w:val="none" w:sz="0" w:space="0" w:color="auto"/>
            <w:bottom w:val="none" w:sz="0" w:space="0" w:color="auto"/>
            <w:right w:val="none" w:sz="0" w:space="0" w:color="auto"/>
          </w:divBdr>
        </w:div>
        <w:div w:id="1304391004">
          <w:marLeft w:val="0"/>
          <w:marRight w:val="0"/>
          <w:marTop w:val="0"/>
          <w:marBottom w:val="0"/>
          <w:divBdr>
            <w:top w:val="none" w:sz="0" w:space="0" w:color="auto"/>
            <w:left w:val="none" w:sz="0" w:space="0" w:color="auto"/>
            <w:bottom w:val="none" w:sz="0" w:space="0" w:color="auto"/>
            <w:right w:val="none" w:sz="0" w:space="0" w:color="auto"/>
          </w:divBdr>
        </w:div>
        <w:div w:id="1314291203">
          <w:marLeft w:val="0"/>
          <w:marRight w:val="0"/>
          <w:marTop w:val="0"/>
          <w:marBottom w:val="0"/>
          <w:divBdr>
            <w:top w:val="none" w:sz="0" w:space="0" w:color="auto"/>
            <w:left w:val="none" w:sz="0" w:space="0" w:color="auto"/>
            <w:bottom w:val="none" w:sz="0" w:space="0" w:color="auto"/>
            <w:right w:val="none" w:sz="0" w:space="0" w:color="auto"/>
          </w:divBdr>
        </w:div>
        <w:div w:id="2127042133">
          <w:marLeft w:val="0"/>
          <w:marRight w:val="0"/>
          <w:marTop w:val="0"/>
          <w:marBottom w:val="0"/>
          <w:divBdr>
            <w:top w:val="none" w:sz="0" w:space="0" w:color="auto"/>
            <w:left w:val="none" w:sz="0" w:space="0" w:color="auto"/>
            <w:bottom w:val="none" w:sz="0" w:space="0" w:color="auto"/>
            <w:right w:val="none" w:sz="0" w:space="0" w:color="auto"/>
          </w:divBdr>
        </w:div>
      </w:divsChild>
    </w:div>
    <w:div w:id="1009679883">
      <w:bodyDiv w:val="1"/>
      <w:marLeft w:val="0"/>
      <w:marRight w:val="0"/>
      <w:marTop w:val="0"/>
      <w:marBottom w:val="0"/>
      <w:divBdr>
        <w:top w:val="none" w:sz="0" w:space="0" w:color="auto"/>
        <w:left w:val="none" w:sz="0" w:space="0" w:color="auto"/>
        <w:bottom w:val="none" w:sz="0" w:space="0" w:color="auto"/>
        <w:right w:val="none" w:sz="0" w:space="0" w:color="auto"/>
      </w:divBdr>
    </w:div>
    <w:div w:id="1011108901">
      <w:bodyDiv w:val="1"/>
      <w:marLeft w:val="0"/>
      <w:marRight w:val="0"/>
      <w:marTop w:val="0"/>
      <w:marBottom w:val="0"/>
      <w:divBdr>
        <w:top w:val="none" w:sz="0" w:space="0" w:color="auto"/>
        <w:left w:val="none" w:sz="0" w:space="0" w:color="auto"/>
        <w:bottom w:val="none" w:sz="0" w:space="0" w:color="auto"/>
        <w:right w:val="none" w:sz="0" w:space="0" w:color="auto"/>
      </w:divBdr>
      <w:divsChild>
        <w:div w:id="34550417">
          <w:marLeft w:val="274"/>
          <w:marRight w:val="0"/>
          <w:marTop w:val="0"/>
          <w:marBottom w:val="0"/>
          <w:divBdr>
            <w:top w:val="none" w:sz="0" w:space="0" w:color="auto"/>
            <w:left w:val="none" w:sz="0" w:space="0" w:color="auto"/>
            <w:bottom w:val="none" w:sz="0" w:space="0" w:color="auto"/>
            <w:right w:val="none" w:sz="0" w:space="0" w:color="auto"/>
          </w:divBdr>
        </w:div>
        <w:div w:id="1824462797">
          <w:marLeft w:val="274"/>
          <w:marRight w:val="0"/>
          <w:marTop w:val="0"/>
          <w:marBottom w:val="0"/>
          <w:divBdr>
            <w:top w:val="none" w:sz="0" w:space="0" w:color="auto"/>
            <w:left w:val="none" w:sz="0" w:space="0" w:color="auto"/>
            <w:bottom w:val="none" w:sz="0" w:space="0" w:color="auto"/>
            <w:right w:val="none" w:sz="0" w:space="0" w:color="auto"/>
          </w:divBdr>
        </w:div>
      </w:divsChild>
    </w:div>
    <w:div w:id="1017267561">
      <w:bodyDiv w:val="1"/>
      <w:marLeft w:val="0"/>
      <w:marRight w:val="0"/>
      <w:marTop w:val="0"/>
      <w:marBottom w:val="0"/>
      <w:divBdr>
        <w:top w:val="none" w:sz="0" w:space="0" w:color="auto"/>
        <w:left w:val="none" w:sz="0" w:space="0" w:color="auto"/>
        <w:bottom w:val="none" w:sz="0" w:space="0" w:color="auto"/>
        <w:right w:val="none" w:sz="0" w:space="0" w:color="auto"/>
      </w:divBdr>
    </w:div>
    <w:div w:id="1020010839">
      <w:bodyDiv w:val="1"/>
      <w:marLeft w:val="0"/>
      <w:marRight w:val="0"/>
      <w:marTop w:val="0"/>
      <w:marBottom w:val="0"/>
      <w:divBdr>
        <w:top w:val="none" w:sz="0" w:space="0" w:color="auto"/>
        <w:left w:val="none" w:sz="0" w:space="0" w:color="auto"/>
        <w:bottom w:val="none" w:sz="0" w:space="0" w:color="auto"/>
        <w:right w:val="none" w:sz="0" w:space="0" w:color="auto"/>
      </w:divBdr>
    </w:div>
    <w:div w:id="1027563163">
      <w:bodyDiv w:val="1"/>
      <w:marLeft w:val="0"/>
      <w:marRight w:val="0"/>
      <w:marTop w:val="0"/>
      <w:marBottom w:val="0"/>
      <w:divBdr>
        <w:top w:val="none" w:sz="0" w:space="0" w:color="auto"/>
        <w:left w:val="none" w:sz="0" w:space="0" w:color="auto"/>
        <w:bottom w:val="none" w:sz="0" w:space="0" w:color="auto"/>
        <w:right w:val="none" w:sz="0" w:space="0" w:color="auto"/>
      </w:divBdr>
    </w:div>
    <w:div w:id="1061902752">
      <w:bodyDiv w:val="1"/>
      <w:marLeft w:val="0"/>
      <w:marRight w:val="0"/>
      <w:marTop w:val="0"/>
      <w:marBottom w:val="0"/>
      <w:divBdr>
        <w:top w:val="none" w:sz="0" w:space="0" w:color="auto"/>
        <w:left w:val="none" w:sz="0" w:space="0" w:color="auto"/>
        <w:bottom w:val="none" w:sz="0" w:space="0" w:color="auto"/>
        <w:right w:val="none" w:sz="0" w:space="0" w:color="auto"/>
      </w:divBdr>
    </w:div>
    <w:div w:id="1066605961">
      <w:bodyDiv w:val="1"/>
      <w:marLeft w:val="0"/>
      <w:marRight w:val="0"/>
      <w:marTop w:val="0"/>
      <w:marBottom w:val="0"/>
      <w:divBdr>
        <w:top w:val="none" w:sz="0" w:space="0" w:color="auto"/>
        <w:left w:val="none" w:sz="0" w:space="0" w:color="auto"/>
        <w:bottom w:val="none" w:sz="0" w:space="0" w:color="auto"/>
        <w:right w:val="none" w:sz="0" w:space="0" w:color="auto"/>
      </w:divBdr>
      <w:divsChild>
        <w:div w:id="30502264">
          <w:marLeft w:val="274"/>
          <w:marRight w:val="0"/>
          <w:marTop w:val="0"/>
          <w:marBottom w:val="0"/>
          <w:divBdr>
            <w:top w:val="none" w:sz="0" w:space="0" w:color="auto"/>
            <w:left w:val="none" w:sz="0" w:space="0" w:color="auto"/>
            <w:bottom w:val="none" w:sz="0" w:space="0" w:color="auto"/>
            <w:right w:val="none" w:sz="0" w:space="0" w:color="auto"/>
          </w:divBdr>
        </w:div>
        <w:div w:id="725179135">
          <w:marLeft w:val="274"/>
          <w:marRight w:val="0"/>
          <w:marTop w:val="0"/>
          <w:marBottom w:val="0"/>
          <w:divBdr>
            <w:top w:val="none" w:sz="0" w:space="0" w:color="auto"/>
            <w:left w:val="none" w:sz="0" w:space="0" w:color="auto"/>
            <w:bottom w:val="none" w:sz="0" w:space="0" w:color="auto"/>
            <w:right w:val="none" w:sz="0" w:space="0" w:color="auto"/>
          </w:divBdr>
        </w:div>
        <w:div w:id="1624266418">
          <w:marLeft w:val="274"/>
          <w:marRight w:val="0"/>
          <w:marTop w:val="0"/>
          <w:marBottom w:val="0"/>
          <w:divBdr>
            <w:top w:val="none" w:sz="0" w:space="0" w:color="auto"/>
            <w:left w:val="none" w:sz="0" w:space="0" w:color="auto"/>
            <w:bottom w:val="none" w:sz="0" w:space="0" w:color="auto"/>
            <w:right w:val="none" w:sz="0" w:space="0" w:color="auto"/>
          </w:divBdr>
        </w:div>
      </w:divsChild>
    </w:div>
    <w:div w:id="1078215552">
      <w:bodyDiv w:val="1"/>
      <w:marLeft w:val="0"/>
      <w:marRight w:val="0"/>
      <w:marTop w:val="0"/>
      <w:marBottom w:val="0"/>
      <w:divBdr>
        <w:top w:val="none" w:sz="0" w:space="0" w:color="auto"/>
        <w:left w:val="none" w:sz="0" w:space="0" w:color="auto"/>
        <w:bottom w:val="none" w:sz="0" w:space="0" w:color="auto"/>
        <w:right w:val="none" w:sz="0" w:space="0" w:color="auto"/>
      </w:divBdr>
    </w:div>
    <w:div w:id="1086997415">
      <w:bodyDiv w:val="1"/>
      <w:marLeft w:val="0"/>
      <w:marRight w:val="0"/>
      <w:marTop w:val="0"/>
      <w:marBottom w:val="0"/>
      <w:divBdr>
        <w:top w:val="none" w:sz="0" w:space="0" w:color="auto"/>
        <w:left w:val="none" w:sz="0" w:space="0" w:color="auto"/>
        <w:bottom w:val="none" w:sz="0" w:space="0" w:color="auto"/>
        <w:right w:val="none" w:sz="0" w:space="0" w:color="auto"/>
      </w:divBdr>
      <w:divsChild>
        <w:div w:id="837424837">
          <w:marLeft w:val="274"/>
          <w:marRight w:val="0"/>
          <w:marTop w:val="0"/>
          <w:marBottom w:val="0"/>
          <w:divBdr>
            <w:top w:val="none" w:sz="0" w:space="0" w:color="auto"/>
            <w:left w:val="none" w:sz="0" w:space="0" w:color="auto"/>
            <w:bottom w:val="none" w:sz="0" w:space="0" w:color="auto"/>
            <w:right w:val="none" w:sz="0" w:space="0" w:color="auto"/>
          </w:divBdr>
        </w:div>
        <w:div w:id="1142239036">
          <w:marLeft w:val="274"/>
          <w:marRight w:val="0"/>
          <w:marTop w:val="0"/>
          <w:marBottom w:val="0"/>
          <w:divBdr>
            <w:top w:val="none" w:sz="0" w:space="0" w:color="auto"/>
            <w:left w:val="none" w:sz="0" w:space="0" w:color="auto"/>
            <w:bottom w:val="none" w:sz="0" w:space="0" w:color="auto"/>
            <w:right w:val="none" w:sz="0" w:space="0" w:color="auto"/>
          </w:divBdr>
        </w:div>
      </w:divsChild>
    </w:div>
    <w:div w:id="1101221478">
      <w:bodyDiv w:val="1"/>
      <w:marLeft w:val="0"/>
      <w:marRight w:val="0"/>
      <w:marTop w:val="0"/>
      <w:marBottom w:val="0"/>
      <w:divBdr>
        <w:top w:val="none" w:sz="0" w:space="0" w:color="auto"/>
        <w:left w:val="none" w:sz="0" w:space="0" w:color="auto"/>
        <w:bottom w:val="none" w:sz="0" w:space="0" w:color="auto"/>
        <w:right w:val="none" w:sz="0" w:space="0" w:color="auto"/>
      </w:divBdr>
    </w:div>
    <w:div w:id="1106000437">
      <w:bodyDiv w:val="1"/>
      <w:marLeft w:val="0"/>
      <w:marRight w:val="0"/>
      <w:marTop w:val="0"/>
      <w:marBottom w:val="0"/>
      <w:divBdr>
        <w:top w:val="none" w:sz="0" w:space="0" w:color="auto"/>
        <w:left w:val="none" w:sz="0" w:space="0" w:color="auto"/>
        <w:bottom w:val="none" w:sz="0" w:space="0" w:color="auto"/>
        <w:right w:val="none" w:sz="0" w:space="0" w:color="auto"/>
      </w:divBdr>
    </w:div>
    <w:div w:id="1124806519">
      <w:bodyDiv w:val="1"/>
      <w:marLeft w:val="0"/>
      <w:marRight w:val="0"/>
      <w:marTop w:val="0"/>
      <w:marBottom w:val="0"/>
      <w:divBdr>
        <w:top w:val="none" w:sz="0" w:space="0" w:color="auto"/>
        <w:left w:val="none" w:sz="0" w:space="0" w:color="auto"/>
        <w:bottom w:val="none" w:sz="0" w:space="0" w:color="auto"/>
        <w:right w:val="none" w:sz="0" w:space="0" w:color="auto"/>
      </w:divBdr>
    </w:div>
    <w:div w:id="1134105277">
      <w:bodyDiv w:val="1"/>
      <w:marLeft w:val="0"/>
      <w:marRight w:val="0"/>
      <w:marTop w:val="0"/>
      <w:marBottom w:val="0"/>
      <w:divBdr>
        <w:top w:val="none" w:sz="0" w:space="0" w:color="auto"/>
        <w:left w:val="none" w:sz="0" w:space="0" w:color="auto"/>
        <w:bottom w:val="none" w:sz="0" w:space="0" w:color="auto"/>
        <w:right w:val="none" w:sz="0" w:space="0" w:color="auto"/>
      </w:divBdr>
    </w:div>
    <w:div w:id="1142116335">
      <w:bodyDiv w:val="1"/>
      <w:marLeft w:val="0"/>
      <w:marRight w:val="0"/>
      <w:marTop w:val="0"/>
      <w:marBottom w:val="0"/>
      <w:divBdr>
        <w:top w:val="none" w:sz="0" w:space="0" w:color="auto"/>
        <w:left w:val="none" w:sz="0" w:space="0" w:color="auto"/>
        <w:bottom w:val="none" w:sz="0" w:space="0" w:color="auto"/>
        <w:right w:val="none" w:sz="0" w:space="0" w:color="auto"/>
      </w:divBdr>
    </w:div>
    <w:div w:id="1147358695">
      <w:bodyDiv w:val="1"/>
      <w:marLeft w:val="0"/>
      <w:marRight w:val="0"/>
      <w:marTop w:val="0"/>
      <w:marBottom w:val="0"/>
      <w:divBdr>
        <w:top w:val="none" w:sz="0" w:space="0" w:color="auto"/>
        <w:left w:val="none" w:sz="0" w:space="0" w:color="auto"/>
        <w:bottom w:val="none" w:sz="0" w:space="0" w:color="auto"/>
        <w:right w:val="none" w:sz="0" w:space="0" w:color="auto"/>
      </w:divBdr>
    </w:div>
    <w:div w:id="1148747463">
      <w:bodyDiv w:val="1"/>
      <w:marLeft w:val="0"/>
      <w:marRight w:val="0"/>
      <w:marTop w:val="0"/>
      <w:marBottom w:val="0"/>
      <w:divBdr>
        <w:top w:val="none" w:sz="0" w:space="0" w:color="auto"/>
        <w:left w:val="none" w:sz="0" w:space="0" w:color="auto"/>
        <w:bottom w:val="none" w:sz="0" w:space="0" w:color="auto"/>
        <w:right w:val="none" w:sz="0" w:space="0" w:color="auto"/>
      </w:divBdr>
    </w:div>
    <w:div w:id="1153444996">
      <w:bodyDiv w:val="1"/>
      <w:marLeft w:val="0"/>
      <w:marRight w:val="0"/>
      <w:marTop w:val="0"/>
      <w:marBottom w:val="0"/>
      <w:divBdr>
        <w:top w:val="none" w:sz="0" w:space="0" w:color="auto"/>
        <w:left w:val="none" w:sz="0" w:space="0" w:color="auto"/>
        <w:bottom w:val="none" w:sz="0" w:space="0" w:color="auto"/>
        <w:right w:val="none" w:sz="0" w:space="0" w:color="auto"/>
      </w:divBdr>
    </w:div>
    <w:div w:id="1153525002">
      <w:bodyDiv w:val="1"/>
      <w:marLeft w:val="0"/>
      <w:marRight w:val="0"/>
      <w:marTop w:val="0"/>
      <w:marBottom w:val="0"/>
      <w:divBdr>
        <w:top w:val="none" w:sz="0" w:space="0" w:color="auto"/>
        <w:left w:val="none" w:sz="0" w:space="0" w:color="auto"/>
        <w:bottom w:val="none" w:sz="0" w:space="0" w:color="auto"/>
        <w:right w:val="none" w:sz="0" w:space="0" w:color="auto"/>
      </w:divBdr>
      <w:divsChild>
        <w:div w:id="1145514849">
          <w:marLeft w:val="274"/>
          <w:marRight w:val="0"/>
          <w:marTop w:val="0"/>
          <w:marBottom w:val="0"/>
          <w:divBdr>
            <w:top w:val="none" w:sz="0" w:space="0" w:color="auto"/>
            <w:left w:val="none" w:sz="0" w:space="0" w:color="auto"/>
            <w:bottom w:val="none" w:sz="0" w:space="0" w:color="auto"/>
            <w:right w:val="none" w:sz="0" w:space="0" w:color="auto"/>
          </w:divBdr>
        </w:div>
        <w:div w:id="1280801148">
          <w:marLeft w:val="274"/>
          <w:marRight w:val="0"/>
          <w:marTop w:val="0"/>
          <w:marBottom w:val="0"/>
          <w:divBdr>
            <w:top w:val="none" w:sz="0" w:space="0" w:color="auto"/>
            <w:left w:val="none" w:sz="0" w:space="0" w:color="auto"/>
            <w:bottom w:val="none" w:sz="0" w:space="0" w:color="auto"/>
            <w:right w:val="none" w:sz="0" w:space="0" w:color="auto"/>
          </w:divBdr>
        </w:div>
        <w:div w:id="1787113372">
          <w:marLeft w:val="274"/>
          <w:marRight w:val="0"/>
          <w:marTop w:val="0"/>
          <w:marBottom w:val="0"/>
          <w:divBdr>
            <w:top w:val="none" w:sz="0" w:space="0" w:color="auto"/>
            <w:left w:val="none" w:sz="0" w:space="0" w:color="auto"/>
            <w:bottom w:val="none" w:sz="0" w:space="0" w:color="auto"/>
            <w:right w:val="none" w:sz="0" w:space="0" w:color="auto"/>
          </w:divBdr>
        </w:div>
        <w:div w:id="2015910767">
          <w:marLeft w:val="274"/>
          <w:marRight w:val="0"/>
          <w:marTop w:val="0"/>
          <w:marBottom w:val="0"/>
          <w:divBdr>
            <w:top w:val="none" w:sz="0" w:space="0" w:color="auto"/>
            <w:left w:val="none" w:sz="0" w:space="0" w:color="auto"/>
            <w:bottom w:val="none" w:sz="0" w:space="0" w:color="auto"/>
            <w:right w:val="none" w:sz="0" w:space="0" w:color="auto"/>
          </w:divBdr>
        </w:div>
      </w:divsChild>
    </w:div>
    <w:div w:id="1155223890">
      <w:bodyDiv w:val="1"/>
      <w:marLeft w:val="0"/>
      <w:marRight w:val="0"/>
      <w:marTop w:val="0"/>
      <w:marBottom w:val="0"/>
      <w:divBdr>
        <w:top w:val="none" w:sz="0" w:space="0" w:color="auto"/>
        <w:left w:val="none" w:sz="0" w:space="0" w:color="auto"/>
        <w:bottom w:val="none" w:sz="0" w:space="0" w:color="auto"/>
        <w:right w:val="none" w:sz="0" w:space="0" w:color="auto"/>
      </w:divBdr>
      <w:divsChild>
        <w:div w:id="18241441">
          <w:marLeft w:val="274"/>
          <w:marRight w:val="0"/>
          <w:marTop w:val="0"/>
          <w:marBottom w:val="240"/>
          <w:divBdr>
            <w:top w:val="none" w:sz="0" w:space="0" w:color="auto"/>
            <w:left w:val="none" w:sz="0" w:space="0" w:color="auto"/>
            <w:bottom w:val="none" w:sz="0" w:space="0" w:color="auto"/>
            <w:right w:val="none" w:sz="0" w:space="0" w:color="auto"/>
          </w:divBdr>
        </w:div>
        <w:div w:id="89357969">
          <w:marLeft w:val="274"/>
          <w:marRight w:val="0"/>
          <w:marTop w:val="0"/>
          <w:marBottom w:val="240"/>
          <w:divBdr>
            <w:top w:val="none" w:sz="0" w:space="0" w:color="auto"/>
            <w:left w:val="none" w:sz="0" w:space="0" w:color="auto"/>
            <w:bottom w:val="none" w:sz="0" w:space="0" w:color="auto"/>
            <w:right w:val="none" w:sz="0" w:space="0" w:color="auto"/>
          </w:divBdr>
        </w:div>
        <w:div w:id="200828565">
          <w:marLeft w:val="274"/>
          <w:marRight w:val="0"/>
          <w:marTop w:val="0"/>
          <w:marBottom w:val="240"/>
          <w:divBdr>
            <w:top w:val="none" w:sz="0" w:space="0" w:color="auto"/>
            <w:left w:val="none" w:sz="0" w:space="0" w:color="auto"/>
            <w:bottom w:val="none" w:sz="0" w:space="0" w:color="auto"/>
            <w:right w:val="none" w:sz="0" w:space="0" w:color="auto"/>
          </w:divBdr>
        </w:div>
        <w:div w:id="328749422">
          <w:marLeft w:val="274"/>
          <w:marRight w:val="0"/>
          <w:marTop w:val="0"/>
          <w:marBottom w:val="240"/>
          <w:divBdr>
            <w:top w:val="none" w:sz="0" w:space="0" w:color="auto"/>
            <w:left w:val="none" w:sz="0" w:space="0" w:color="auto"/>
            <w:bottom w:val="none" w:sz="0" w:space="0" w:color="auto"/>
            <w:right w:val="none" w:sz="0" w:space="0" w:color="auto"/>
          </w:divBdr>
        </w:div>
        <w:div w:id="872621907">
          <w:marLeft w:val="274"/>
          <w:marRight w:val="0"/>
          <w:marTop w:val="0"/>
          <w:marBottom w:val="240"/>
          <w:divBdr>
            <w:top w:val="none" w:sz="0" w:space="0" w:color="auto"/>
            <w:left w:val="none" w:sz="0" w:space="0" w:color="auto"/>
            <w:bottom w:val="none" w:sz="0" w:space="0" w:color="auto"/>
            <w:right w:val="none" w:sz="0" w:space="0" w:color="auto"/>
          </w:divBdr>
        </w:div>
        <w:div w:id="1016613257">
          <w:marLeft w:val="274"/>
          <w:marRight w:val="0"/>
          <w:marTop w:val="0"/>
          <w:marBottom w:val="240"/>
          <w:divBdr>
            <w:top w:val="none" w:sz="0" w:space="0" w:color="auto"/>
            <w:left w:val="none" w:sz="0" w:space="0" w:color="auto"/>
            <w:bottom w:val="none" w:sz="0" w:space="0" w:color="auto"/>
            <w:right w:val="none" w:sz="0" w:space="0" w:color="auto"/>
          </w:divBdr>
        </w:div>
        <w:div w:id="1399985302">
          <w:marLeft w:val="274"/>
          <w:marRight w:val="0"/>
          <w:marTop w:val="0"/>
          <w:marBottom w:val="240"/>
          <w:divBdr>
            <w:top w:val="none" w:sz="0" w:space="0" w:color="auto"/>
            <w:left w:val="none" w:sz="0" w:space="0" w:color="auto"/>
            <w:bottom w:val="none" w:sz="0" w:space="0" w:color="auto"/>
            <w:right w:val="none" w:sz="0" w:space="0" w:color="auto"/>
          </w:divBdr>
        </w:div>
      </w:divsChild>
    </w:div>
    <w:div w:id="1157838997">
      <w:bodyDiv w:val="1"/>
      <w:marLeft w:val="0"/>
      <w:marRight w:val="0"/>
      <w:marTop w:val="0"/>
      <w:marBottom w:val="0"/>
      <w:divBdr>
        <w:top w:val="none" w:sz="0" w:space="0" w:color="auto"/>
        <w:left w:val="none" w:sz="0" w:space="0" w:color="auto"/>
        <w:bottom w:val="none" w:sz="0" w:space="0" w:color="auto"/>
        <w:right w:val="none" w:sz="0" w:space="0" w:color="auto"/>
      </w:divBdr>
    </w:div>
    <w:div w:id="1163737264">
      <w:bodyDiv w:val="1"/>
      <w:marLeft w:val="0"/>
      <w:marRight w:val="0"/>
      <w:marTop w:val="0"/>
      <w:marBottom w:val="0"/>
      <w:divBdr>
        <w:top w:val="none" w:sz="0" w:space="0" w:color="auto"/>
        <w:left w:val="none" w:sz="0" w:space="0" w:color="auto"/>
        <w:bottom w:val="none" w:sz="0" w:space="0" w:color="auto"/>
        <w:right w:val="none" w:sz="0" w:space="0" w:color="auto"/>
      </w:divBdr>
    </w:div>
    <w:div w:id="1167746340">
      <w:bodyDiv w:val="1"/>
      <w:marLeft w:val="0"/>
      <w:marRight w:val="0"/>
      <w:marTop w:val="0"/>
      <w:marBottom w:val="0"/>
      <w:divBdr>
        <w:top w:val="none" w:sz="0" w:space="0" w:color="auto"/>
        <w:left w:val="none" w:sz="0" w:space="0" w:color="auto"/>
        <w:bottom w:val="none" w:sz="0" w:space="0" w:color="auto"/>
        <w:right w:val="none" w:sz="0" w:space="0" w:color="auto"/>
      </w:divBdr>
    </w:div>
    <w:div w:id="1172064790">
      <w:bodyDiv w:val="1"/>
      <w:marLeft w:val="0"/>
      <w:marRight w:val="0"/>
      <w:marTop w:val="0"/>
      <w:marBottom w:val="0"/>
      <w:divBdr>
        <w:top w:val="none" w:sz="0" w:space="0" w:color="auto"/>
        <w:left w:val="none" w:sz="0" w:space="0" w:color="auto"/>
        <w:bottom w:val="none" w:sz="0" w:space="0" w:color="auto"/>
        <w:right w:val="none" w:sz="0" w:space="0" w:color="auto"/>
      </w:divBdr>
    </w:div>
    <w:div w:id="1178811841">
      <w:bodyDiv w:val="1"/>
      <w:marLeft w:val="0"/>
      <w:marRight w:val="0"/>
      <w:marTop w:val="0"/>
      <w:marBottom w:val="0"/>
      <w:divBdr>
        <w:top w:val="none" w:sz="0" w:space="0" w:color="auto"/>
        <w:left w:val="none" w:sz="0" w:space="0" w:color="auto"/>
        <w:bottom w:val="none" w:sz="0" w:space="0" w:color="auto"/>
        <w:right w:val="none" w:sz="0" w:space="0" w:color="auto"/>
      </w:divBdr>
    </w:div>
    <w:div w:id="1197618038">
      <w:bodyDiv w:val="1"/>
      <w:marLeft w:val="0"/>
      <w:marRight w:val="0"/>
      <w:marTop w:val="0"/>
      <w:marBottom w:val="0"/>
      <w:divBdr>
        <w:top w:val="none" w:sz="0" w:space="0" w:color="auto"/>
        <w:left w:val="none" w:sz="0" w:space="0" w:color="auto"/>
        <w:bottom w:val="none" w:sz="0" w:space="0" w:color="auto"/>
        <w:right w:val="none" w:sz="0" w:space="0" w:color="auto"/>
      </w:divBdr>
    </w:div>
    <w:div w:id="1197619554">
      <w:bodyDiv w:val="1"/>
      <w:marLeft w:val="0"/>
      <w:marRight w:val="0"/>
      <w:marTop w:val="0"/>
      <w:marBottom w:val="0"/>
      <w:divBdr>
        <w:top w:val="none" w:sz="0" w:space="0" w:color="auto"/>
        <w:left w:val="none" w:sz="0" w:space="0" w:color="auto"/>
        <w:bottom w:val="none" w:sz="0" w:space="0" w:color="auto"/>
        <w:right w:val="none" w:sz="0" w:space="0" w:color="auto"/>
      </w:divBdr>
    </w:div>
    <w:div w:id="1198348805">
      <w:bodyDiv w:val="1"/>
      <w:marLeft w:val="0"/>
      <w:marRight w:val="0"/>
      <w:marTop w:val="0"/>
      <w:marBottom w:val="0"/>
      <w:divBdr>
        <w:top w:val="none" w:sz="0" w:space="0" w:color="auto"/>
        <w:left w:val="none" w:sz="0" w:space="0" w:color="auto"/>
        <w:bottom w:val="none" w:sz="0" w:space="0" w:color="auto"/>
        <w:right w:val="none" w:sz="0" w:space="0" w:color="auto"/>
      </w:divBdr>
    </w:div>
    <w:div w:id="1274635915">
      <w:bodyDiv w:val="1"/>
      <w:marLeft w:val="0"/>
      <w:marRight w:val="0"/>
      <w:marTop w:val="0"/>
      <w:marBottom w:val="0"/>
      <w:divBdr>
        <w:top w:val="none" w:sz="0" w:space="0" w:color="auto"/>
        <w:left w:val="none" w:sz="0" w:space="0" w:color="auto"/>
        <w:bottom w:val="none" w:sz="0" w:space="0" w:color="auto"/>
        <w:right w:val="none" w:sz="0" w:space="0" w:color="auto"/>
      </w:divBdr>
    </w:div>
    <w:div w:id="1278684219">
      <w:bodyDiv w:val="1"/>
      <w:marLeft w:val="0"/>
      <w:marRight w:val="0"/>
      <w:marTop w:val="0"/>
      <w:marBottom w:val="0"/>
      <w:divBdr>
        <w:top w:val="none" w:sz="0" w:space="0" w:color="auto"/>
        <w:left w:val="none" w:sz="0" w:space="0" w:color="auto"/>
        <w:bottom w:val="none" w:sz="0" w:space="0" w:color="auto"/>
        <w:right w:val="none" w:sz="0" w:space="0" w:color="auto"/>
      </w:divBdr>
    </w:div>
    <w:div w:id="1297565730">
      <w:bodyDiv w:val="1"/>
      <w:marLeft w:val="0"/>
      <w:marRight w:val="0"/>
      <w:marTop w:val="0"/>
      <w:marBottom w:val="0"/>
      <w:divBdr>
        <w:top w:val="none" w:sz="0" w:space="0" w:color="auto"/>
        <w:left w:val="none" w:sz="0" w:space="0" w:color="auto"/>
        <w:bottom w:val="none" w:sz="0" w:space="0" w:color="auto"/>
        <w:right w:val="none" w:sz="0" w:space="0" w:color="auto"/>
      </w:divBdr>
      <w:divsChild>
        <w:div w:id="495003388">
          <w:marLeft w:val="274"/>
          <w:marRight w:val="0"/>
          <w:marTop w:val="0"/>
          <w:marBottom w:val="0"/>
          <w:divBdr>
            <w:top w:val="none" w:sz="0" w:space="0" w:color="auto"/>
            <w:left w:val="none" w:sz="0" w:space="0" w:color="auto"/>
            <w:bottom w:val="none" w:sz="0" w:space="0" w:color="auto"/>
            <w:right w:val="none" w:sz="0" w:space="0" w:color="auto"/>
          </w:divBdr>
        </w:div>
        <w:div w:id="1043290873">
          <w:marLeft w:val="274"/>
          <w:marRight w:val="0"/>
          <w:marTop w:val="0"/>
          <w:marBottom w:val="0"/>
          <w:divBdr>
            <w:top w:val="none" w:sz="0" w:space="0" w:color="auto"/>
            <w:left w:val="none" w:sz="0" w:space="0" w:color="auto"/>
            <w:bottom w:val="none" w:sz="0" w:space="0" w:color="auto"/>
            <w:right w:val="none" w:sz="0" w:space="0" w:color="auto"/>
          </w:divBdr>
        </w:div>
        <w:div w:id="1193769017">
          <w:marLeft w:val="274"/>
          <w:marRight w:val="0"/>
          <w:marTop w:val="0"/>
          <w:marBottom w:val="0"/>
          <w:divBdr>
            <w:top w:val="none" w:sz="0" w:space="0" w:color="auto"/>
            <w:left w:val="none" w:sz="0" w:space="0" w:color="auto"/>
            <w:bottom w:val="none" w:sz="0" w:space="0" w:color="auto"/>
            <w:right w:val="none" w:sz="0" w:space="0" w:color="auto"/>
          </w:divBdr>
        </w:div>
      </w:divsChild>
    </w:div>
    <w:div w:id="1312826506">
      <w:bodyDiv w:val="1"/>
      <w:marLeft w:val="0"/>
      <w:marRight w:val="0"/>
      <w:marTop w:val="0"/>
      <w:marBottom w:val="0"/>
      <w:divBdr>
        <w:top w:val="none" w:sz="0" w:space="0" w:color="auto"/>
        <w:left w:val="none" w:sz="0" w:space="0" w:color="auto"/>
        <w:bottom w:val="none" w:sz="0" w:space="0" w:color="auto"/>
        <w:right w:val="none" w:sz="0" w:space="0" w:color="auto"/>
      </w:divBdr>
    </w:div>
    <w:div w:id="1314989016">
      <w:bodyDiv w:val="1"/>
      <w:marLeft w:val="0"/>
      <w:marRight w:val="0"/>
      <w:marTop w:val="0"/>
      <w:marBottom w:val="0"/>
      <w:divBdr>
        <w:top w:val="none" w:sz="0" w:space="0" w:color="auto"/>
        <w:left w:val="none" w:sz="0" w:space="0" w:color="auto"/>
        <w:bottom w:val="none" w:sz="0" w:space="0" w:color="auto"/>
        <w:right w:val="none" w:sz="0" w:space="0" w:color="auto"/>
      </w:divBdr>
    </w:div>
    <w:div w:id="1326207258">
      <w:bodyDiv w:val="1"/>
      <w:marLeft w:val="0"/>
      <w:marRight w:val="0"/>
      <w:marTop w:val="0"/>
      <w:marBottom w:val="0"/>
      <w:divBdr>
        <w:top w:val="none" w:sz="0" w:space="0" w:color="auto"/>
        <w:left w:val="none" w:sz="0" w:space="0" w:color="auto"/>
        <w:bottom w:val="none" w:sz="0" w:space="0" w:color="auto"/>
        <w:right w:val="none" w:sz="0" w:space="0" w:color="auto"/>
      </w:divBdr>
    </w:div>
    <w:div w:id="1333603211">
      <w:bodyDiv w:val="1"/>
      <w:marLeft w:val="0"/>
      <w:marRight w:val="0"/>
      <w:marTop w:val="0"/>
      <w:marBottom w:val="0"/>
      <w:divBdr>
        <w:top w:val="none" w:sz="0" w:space="0" w:color="auto"/>
        <w:left w:val="none" w:sz="0" w:space="0" w:color="auto"/>
        <w:bottom w:val="none" w:sz="0" w:space="0" w:color="auto"/>
        <w:right w:val="none" w:sz="0" w:space="0" w:color="auto"/>
      </w:divBdr>
    </w:div>
    <w:div w:id="1333798864">
      <w:bodyDiv w:val="1"/>
      <w:marLeft w:val="0"/>
      <w:marRight w:val="0"/>
      <w:marTop w:val="0"/>
      <w:marBottom w:val="0"/>
      <w:divBdr>
        <w:top w:val="none" w:sz="0" w:space="0" w:color="auto"/>
        <w:left w:val="none" w:sz="0" w:space="0" w:color="auto"/>
        <w:bottom w:val="none" w:sz="0" w:space="0" w:color="auto"/>
        <w:right w:val="none" w:sz="0" w:space="0" w:color="auto"/>
      </w:divBdr>
    </w:div>
    <w:div w:id="1401519284">
      <w:bodyDiv w:val="1"/>
      <w:marLeft w:val="0"/>
      <w:marRight w:val="0"/>
      <w:marTop w:val="0"/>
      <w:marBottom w:val="0"/>
      <w:divBdr>
        <w:top w:val="none" w:sz="0" w:space="0" w:color="auto"/>
        <w:left w:val="none" w:sz="0" w:space="0" w:color="auto"/>
        <w:bottom w:val="none" w:sz="0" w:space="0" w:color="auto"/>
        <w:right w:val="none" w:sz="0" w:space="0" w:color="auto"/>
      </w:divBdr>
    </w:div>
    <w:div w:id="1411733280">
      <w:bodyDiv w:val="1"/>
      <w:marLeft w:val="0"/>
      <w:marRight w:val="0"/>
      <w:marTop w:val="0"/>
      <w:marBottom w:val="0"/>
      <w:divBdr>
        <w:top w:val="none" w:sz="0" w:space="0" w:color="auto"/>
        <w:left w:val="none" w:sz="0" w:space="0" w:color="auto"/>
        <w:bottom w:val="none" w:sz="0" w:space="0" w:color="auto"/>
        <w:right w:val="none" w:sz="0" w:space="0" w:color="auto"/>
      </w:divBdr>
    </w:div>
    <w:div w:id="1438215323">
      <w:bodyDiv w:val="1"/>
      <w:marLeft w:val="0"/>
      <w:marRight w:val="0"/>
      <w:marTop w:val="0"/>
      <w:marBottom w:val="0"/>
      <w:divBdr>
        <w:top w:val="none" w:sz="0" w:space="0" w:color="auto"/>
        <w:left w:val="none" w:sz="0" w:space="0" w:color="auto"/>
        <w:bottom w:val="none" w:sz="0" w:space="0" w:color="auto"/>
        <w:right w:val="none" w:sz="0" w:space="0" w:color="auto"/>
      </w:divBdr>
      <w:divsChild>
        <w:div w:id="27145519">
          <w:marLeft w:val="360"/>
          <w:marRight w:val="0"/>
          <w:marTop w:val="0"/>
          <w:marBottom w:val="0"/>
          <w:divBdr>
            <w:top w:val="none" w:sz="0" w:space="0" w:color="auto"/>
            <w:left w:val="none" w:sz="0" w:space="0" w:color="auto"/>
            <w:bottom w:val="none" w:sz="0" w:space="0" w:color="auto"/>
            <w:right w:val="none" w:sz="0" w:space="0" w:color="auto"/>
          </w:divBdr>
        </w:div>
        <w:div w:id="1085879802">
          <w:marLeft w:val="360"/>
          <w:marRight w:val="0"/>
          <w:marTop w:val="0"/>
          <w:marBottom w:val="0"/>
          <w:divBdr>
            <w:top w:val="none" w:sz="0" w:space="0" w:color="auto"/>
            <w:left w:val="none" w:sz="0" w:space="0" w:color="auto"/>
            <w:bottom w:val="none" w:sz="0" w:space="0" w:color="auto"/>
            <w:right w:val="none" w:sz="0" w:space="0" w:color="auto"/>
          </w:divBdr>
        </w:div>
        <w:div w:id="1941064449">
          <w:marLeft w:val="360"/>
          <w:marRight w:val="0"/>
          <w:marTop w:val="0"/>
          <w:marBottom w:val="0"/>
          <w:divBdr>
            <w:top w:val="none" w:sz="0" w:space="0" w:color="auto"/>
            <w:left w:val="none" w:sz="0" w:space="0" w:color="auto"/>
            <w:bottom w:val="none" w:sz="0" w:space="0" w:color="auto"/>
            <w:right w:val="none" w:sz="0" w:space="0" w:color="auto"/>
          </w:divBdr>
        </w:div>
      </w:divsChild>
    </w:div>
    <w:div w:id="1444306847">
      <w:bodyDiv w:val="1"/>
      <w:marLeft w:val="0"/>
      <w:marRight w:val="0"/>
      <w:marTop w:val="0"/>
      <w:marBottom w:val="0"/>
      <w:divBdr>
        <w:top w:val="none" w:sz="0" w:space="0" w:color="auto"/>
        <w:left w:val="none" w:sz="0" w:space="0" w:color="auto"/>
        <w:bottom w:val="none" w:sz="0" w:space="0" w:color="auto"/>
        <w:right w:val="none" w:sz="0" w:space="0" w:color="auto"/>
      </w:divBdr>
      <w:divsChild>
        <w:div w:id="168297846">
          <w:marLeft w:val="446"/>
          <w:marRight w:val="0"/>
          <w:marTop w:val="0"/>
          <w:marBottom w:val="0"/>
          <w:divBdr>
            <w:top w:val="none" w:sz="0" w:space="0" w:color="auto"/>
            <w:left w:val="none" w:sz="0" w:space="0" w:color="auto"/>
            <w:bottom w:val="none" w:sz="0" w:space="0" w:color="auto"/>
            <w:right w:val="none" w:sz="0" w:space="0" w:color="auto"/>
          </w:divBdr>
        </w:div>
        <w:div w:id="350880147">
          <w:marLeft w:val="446"/>
          <w:marRight w:val="0"/>
          <w:marTop w:val="0"/>
          <w:marBottom w:val="0"/>
          <w:divBdr>
            <w:top w:val="none" w:sz="0" w:space="0" w:color="auto"/>
            <w:left w:val="none" w:sz="0" w:space="0" w:color="auto"/>
            <w:bottom w:val="none" w:sz="0" w:space="0" w:color="auto"/>
            <w:right w:val="none" w:sz="0" w:space="0" w:color="auto"/>
          </w:divBdr>
        </w:div>
        <w:div w:id="391585399">
          <w:marLeft w:val="446"/>
          <w:marRight w:val="0"/>
          <w:marTop w:val="0"/>
          <w:marBottom w:val="0"/>
          <w:divBdr>
            <w:top w:val="none" w:sz="0" w:space="0" w:color="auto"/>
            <w:left w:val="none" w:sz="0" w:space="0" w:color="auto"/>
            <w:bottom w:val="none" w:sz="0" w:space="0" w:color="auto"/>
            <w:right w:val="none" w:sz="0" w:space="0" w:color="auto"/>
          </w:divBdr>
        </w:div>
        <w:div w:id="1100417743">
          <w:marLeft w:val="446"/>
          <w:marRight w:val="0"/>
          <w:marTop w:val="0"/>
          <w:marBottom w:val="0"/>
          <w:divBdr>
            <w:top w:val="none" w:sz="0" w:space="0" w:color="auto"/>
            <w:left w:val="none" w:sz="0" w:space="0" w:color="auto"/>
            <w:bottom w:val="none" w:sz="0" w:space="0" w:color="auto"/>
            <w:right w:val="none" w:sz="0" w:space="0" w:color="auto"/>
          </w:divBdr>
        </w:div>
        <w:div w:id="1191992266">
          <w:marLeft w:val="446"/>
          <w:marRight w:val="0"/>
          <w:marTop w:val="0"/>
          <w:marBottom w:val="0"/>
          <w:divBdr>
            <w:top w:val="none" w:sz="0" w:space="0" w:color="auto"/>
            <w:left w:val="none" w:sz="0" w:space="0" w:color="auto"/>
            <w:bottom w:val="none" w:sz="0" w:space="0" w:color="auto"/>
            <w:right w:val="none" w:sz="0" w:space="0" w:color="auto"/>
          </w:divBdr>
        </w:div>
        <w:div w:id="1473447626">
          <w:marLeft w:val="446"/>
          <w:marRight w:val="0"/>
          <w:marTop w:val="0"/>
          <w:marBottom w:val="0"/>
          <w:divBdr>
            <w:top w:val="none" w:sz="0" w:space="0" w:color="auto"/>
            <w:left w:val="none" w:sz="0" w:space="0" w:color="auto"/>
            <w:bottom w:val="none" w:sz="0" w:space="0" w:color="auto"/>
            <w:right w:val="none" w:sz="0" w:space="0" w:color="auto"/>
          </w:divBdr>
        </w:div>
        <w:div w:id="1848668544">
          <w:marLeft w:val="446"/>
          <w:marRight w:val="0"/>
          <w:marTop w:val="0"/>
          <w:marBottom w:val="0"/>
          <w:divBdr>
            <w:top w:val="none" w:sz="0" w:space="0" w:color="auto"/>
            <w:left w:val="none" w:sz="0" w:space="0" w:color="auto"/>
            <w:bottom w:val="none" w:sz="0" w:space="0" w:color="auto"/>
            <w:right w:val="none" w:sz="0" w:space="0" w:color="auto"/>
          </w:divBdr>
        </w:div>
        <w:div w:id="1979921320">
          <w:marLeft w:val="446"/>
          <w:marRight w:val="0"/>
          <w:marTop w:val="0"/>
          <w:marBottom w:val="0"/>
          <w:divBdr>
            <w:top w:val="none" w:sz="0" w:space="0" w:color="auto"/>
            <w:left w:val="none" w:sz="0" w:space="0" w:color="auto"/>
            <w:bottom w:val="none" w:sz="0" w:space="0" w:color="auto"/>
            <w:right w:val="none" w:sz="0" w:space="0" w:color="auto"/>
          </w:divBdr>
        </w:div>
        <w:div w:id="2066561604">
          <w:marLeft w:val="446"/>
          <w:marRight w:val="0"/>
          <w:marTop w:val="0"/>
          <w:marBottom w:val="0"/>
          <w:divBdr>
            <w:top w:val="none" w:sz="0" w:space="0" w:color="auto"/>
            <w:left w:val="none" w:sz="0" w:space="0" w:color="auto"/>
            <w:bottom w:val="none" w:sz="0" w:space="0" w:color="auto"/>
            <w:right w:val="none" w:sz="0" w:space="0" w:color="auto"/>
          </w:divBdr>
        </w:div>
      </w:divsChild>
    </w:div>
    <w:div w:id="1463889755">
      <w:bodyDiv w:val="1"/>
      <w:marLeft w:val="0"/>
      <w:marRight w:val="0"/>
      <w:marTop w:val="0"/>
      <w:marBottom w:val="0"/>
      <w:divBdr>
        <w:top w:val="none" w:sz="0" w:space="0" w:color="auto"/>
        <w:left w:val="none" w:sz="0" w:space="0" w:color="auto"/>
        <w:bottom w:val="none" w:sz="0" w:space="0" w:color="auto"/>
        <w:right w:val="none" w:sz="0" w:space="0" w:color="auto"/>
      </w:divBdr>
    </w:div>
    <w:div w:id="1464225346">
      <w:bodyDiv w:val="1"/>
      <w:marLeft w:val="0"/>
      <w:marRight w:val="0"/>
      <w:marTop w:val="0"/>
      <w:marBottom w:val="0"/>
      <w:divBdr>
        <w:top w:val="none" w:sz="0" w:space="0" w:color="auto"/>
        <w:left w:val="none" w:sz="0" w:space="0" w:color="auto"/>
        <w:bottom w:val="none" w:sz="0" w:space="0" w:color="auto"/>
        <w:right w:val="none" w:sz="0" w:space="0" w:color="auto"/>
      </w:divBdr>
    </w:div>
    <w:div w:id="1467240387">
      <w:bodyDiv w:val="1"/>
      <w:marLeft w:val="0"/>
      <w:marRight w:val="0"/>
      <w:marTop w:val="0"/>
      <w:marBottom w:val="0"/>
      <w:divBdr>
        <w:top w:val="none" w:sz="0" w:space="0" w:color="auto"/>
        <w:left w:val="none" w:sz="0" w:space="0" w:color="auto"/>
        <w:bottom w:val="none" w:sz="0" w:space="0" w:color="auto"/>
        <w:right w:val="none" w:sz="0" w:space="0" w:color="auto"/>
      </w:divBdr>
      <w:divsChild>
        <w:div w:id="644822996">
          <w:marLeft w:val="274"/>
          <w:marRight w:val="0"/>
          <w:marTop w:val="0"/>
          <w:marBottom w:val="0"/>
          <w:divBdr>
            <w:top w:val="none" w:sz="0" w:space="0" w:color="auto"/>
            <w:left w:val="none" w:sz="0" w:space="0" w:color="auto"/>
            <w:bottom w:val="none" w:sz="0" w:space="0" w:color="auto"/>
            <w:right w:val="none" w:sz="0" w:space="0" w:color="auto"/>
          </w:divBdr>
        </w:div>
        <w:div w:id="2085492896">
          <w:marLeft w:val="274"/>
          <w:marRight w:val="0"/>
          <w:marTop w:val="0"/>
          <w:marBottom w:val="0"/>
          <w:divBdr>
            <w:top w:val="none" w:sz="0" w:space="0" w:color="auto"/>
            <w:left w:val="none" w:sz="0" w:space="0" w:color="auto"/>
            <w:bottom w:val="none" w:sz="0" w:space="0" w:color="auto"/>
            <w:right w:val="none" w:sz="0" w:space="0" w:color="auto"/>
          </w:divBdr>
        </w:div>
      </w:divsChild>
    </w:div>
    <w:div w:id="1467312087">
      <w:bodyDiv w:val="1"/>
      <w:marLeft w:val="0"/>
      <w:marRight w:val="0"/>
      <w:marTop w:val="0"/>
      <w:marBottom w:val="0"/>
      <w:divBdr>
        <w:top w:val="none" w:sz="0" w:space="0" w:color="auto"/>
        <w:left w:val="none" w:sz="0" w:space="0" w:color="auto"/>
        <w:bottom w:val="none" w:sz="0" w:space="0" w:color="auto"/>
        <w:right w:val="none" w:sz="0" w:space="0" w:color="auto"/>
      </w:divBdr>
    </w:div>
    <w:div w:id="1480345827">
      <w:bodyDiv w:val="1"/>
      <w:marLeft w:val="0"/>
      <w:marRight w:val="0"/>
      <w:marTop w:val="0"/>
      <w:marBottom w:val="0"/>
      <w:divBdr>
        <w:top w:val="none" w:sz="0" w:space="0" w:color="auto"/>
        <w:left w:val="none" w:sz="0" w:space="0" w:color="auto"/>
        <w:bottom w:val="none" w:sz="0" w:space="0" w:color="auto"/>
        <w:right w:val="none" w:sz="0" w:space="0" w:color="auto"/>
      </w:divBdr>
    </w:div>
    <w:div w:id="1509566423">
      <w:bodyDiv w:val="1"/>
      <w:marLeft w:val="0"/>
      <w:marRight w:val="0"/>
      <w:marTop w:val="0"/>
      <w:marBottom w:val="0"/>
      <w:divBdr>
        <w:top w:val="none" w:sz="0" w:space="0" w:color="auto"/>
        <w:left w:val="none" w:sz="0" w:space="0" w:color="auto"/>
        <w:bottom w:val="none" w:sz="0" w:space="0" w:color="auto"/>
        <w:right w:val="none" w:sz="0" w:space="0" w:color="auto"/>
      </w:divBdr>
    </w:div>
    <w:div w:id="1530871534">
      <w:bodyDiv w:val="1"/>
      <w:marLeft w:val="0"/>
      <w:marRight w:val="0"/>
      <w:marTop w:val="0"/>
      <w:marBottom w:val="0"/>
      <w:divBdr>
        <w:top w:val="none" w:sz="0" w:space="0" w:color="auto"/>
        <w:left w:val="none" w:sz="0" w:space="0" w:color="auto"/>
        <w:bottom w:val="none" w:sz="0" w:space="0" w:color="auto"/>
        <w:right w:val="none" w:sz="0" w:space="0" w:color="auto"/>
      </w:divBdr>
    </w:div>
    <w:div w:id="1532841208">
      <w:bodyDiv w:val="1"/>
      <w:marLeft w:val="0"/>
      <w:marRight w:val="0"/>
      <w:marTop w:val="0"/>
      <w:marBottom w:val="0"/>
      <w:divBdr>
        <w:top w:val="none" w:sz="0" w:space="0" w:color="auto"/>
        <w:left w:val="none" w:sz="0" w:space="0" w:color="auto"/>
        <w:bottom w:val="none" w:sz="0" w:space="0" w:color="auto"/>
        <w:right w:val="none" w:sz="0" w:space="0" w:color="auto"/>
      </w:divBdr>
    </w:div>
    <w:div w:id="1547568823">
      <w:bodyDiv w:val="1"/>
      <w:marLeft w:val="0"/>
      <w:marRight w:val="0"/>
      <w:marTop w:val="0"/>
      <w:marBottom w:val="0"/>
      <w:divBdr>
        <w:top w:val="none" w:sz="0" w:space="0" w:color="auto"/>
        <w:left w:val="none" w:sz="0" w:space="0" w:color="auto"/>
        <w:bottom w:val="none" w:sz="0" w:space="0" w:color="auto"/>
        <w:right w:val="none" w:sz="0" w:space="0" w:color="auto"/>
      </w:divBdr>
      <w:divsChild>
        <w:div w:id="232739281">
          <w:marLeft w:val="994"/>
          <w:marRight w:val="0"/>
          <w:marTop w:val="0"/>
          <w:marBottom w:val="120"/>
          <w:divBdr>
            <w:top w:val="none" w:sz="0" w:space="0" w:color="auto"/>
            <w:left w:val="none" w:sz="0" w:space="0" w:color="auto"/>
            <w:bottom w:val="none" w:sz="0" w:space="0" w:color="auto"/>
            <w:right w:val="none" w:sz="0" w:space="0" w:color="auto"/>
          </w:divBdr>
        </w:div>
        <w:div w:id="808280051">
          <w:marLeft w:val="274"/>
          <w:marRight w:val="0"/>
          <w:marTop w:val="0"/>
          <w:marBottom w:val="120"/>
          <w:divBdr>
            <w:top w:val="none" w:sz="0" w:space="0" w:color="auto"/>
            <w:left w:val="none" w:sz="0" w:space="0" w:color="auto"/>
            <w:bottom w:val="none" w:sz="0" w:space="0" w:color="auto"/>
            <w:right w:val="none" w:sz="0" w:space="0" w:color="auto"/>
          </w:divBdr>
        </w:div>
        <w:div w:id="810901545">
          <w:marLeft w:val="994"/>
          <w:marRight w:val="0"/>
          <w:marTop w:val="0"/>
          <w:marBottom w:val="120"/>
          <w:divBdr>
            <w:top w:val="none" w:sz="0" w:space="0" w:color="auto"/>
            <w:left w:val="none" w:sz="0" w:space="0" w:color="auto"/>
            <w:bottom w:val="none" w:sz="0" w:space="0" w:color="auto"/>
            <w:right w:val="none" w:sz="0" w:space="0" w:color="auto"/>
          </w:divBdr>
        </w:div>
        <w:div w:id="1034765567">
          <w:marLeft w:val="274"/>
          <w:marRight w:val="0"/>
          <w:marTop w:val="0"/>
          <w:marBottom w:val="120"/>
          <w:divBdr>
            <w:top w:val="none" w:sz="0" w:space="0" w:color="auto"/>
            <w:left w:val="none" w:sz="0" w:space="0" w:color="auto"/>
            <w:bottom w:val="none" w:sz="0" w:space="0" w:color="auto"/>
            <w:right w:val="none" w:sz="0" w:space="0" w:color="auto"/>
          </w:divBdr>
        </w:div>
        <w:div w:id="1405108631">
          <w:marLeft w:val="274"/>
          <w:marRight w:val="0"/>
          <w:marTop w:val="0"/>
          <w:marBottom w:val="120"/>
          <w:divBdr>
            <w:top w:val="none" w:sz="0" w:space="0" w:color="auto"/>
            <w:left w:val="none" w:sz="0" w:space="0" w:color="auto"/>
            <w:bottom w:val="none" w:sz="0" w:space="0" w:color="auto"/>
            <w:right w:val="none" w:sz="0" w:space="0" w:color="auto"/>
          </w:divBdr>
        </w:div>
        <w:div w:id="1600989708">
          <w:marLeft w:val="274"/>
          <w:marRight w:val="0"/>
          <w:marTop w:val="0"/>
          <w:marBottom w:val="120"/>
          <w:divBdr>
            <w:top w:val="none" w:sz="0" w:space="0" w:color="auto"/>
            <w:left w:val="none" w:sz="0" w:space="0" w:color="auto"/>
            <w:bottom w:val="none" w:sz="0" w:space="0" w:color="auto"/>
            <w:right w:val="none" w:sz="0" w:space="0" w:color="auto"/>
          </w:divBdr>
        </w:div>
        <w:div w:id="1631209505">
          <w:marLeft w:val="274"/>
          <w:marRight w:val="0"/>
          <w:marTop w:val="0"/>
          <w:marBottom w:val="120"/>
          <w:divBdr>
            <w:top w:val="none" w:sz="0" w:space="0" w:color="auto"/>
            <w:left w:val="none" w:sz="0" w:space="0" w:color="auto"/>
            <w:bottom w:val="none" w:sz="0" w:space="0" w:color="auto"/>
            <w:right w:val="none" w:sz="0" w:space="0" w:color="auto"/>
          </w:divBdr>
        </w:div>
        <w:div w:id="1747073454">
          <w:marLeft w:val="274"/>
          <w:marRight w:val="0"/>
          <w:marTop w:val="0"/>
          <w:marBottom w:val="120"/>
          <w:divBdr>
            <w:top w:val="none" w:sz="0" w:space="0" w:color="auto"/>
            <w:left w:val="none" w:sz="0" w:space="0" w:color="auto"/>
            <w:bottom w:val="none" w:sz="0" w:space="0" w:color="auto"/>
            <w:right w:val="none" w:sz="0" w:space="0" w:color="auto"/>
          </w:divBdr>
        </w:div>
        <w:div w:id="1887598500">
          <w:marLeft w:val="994"/>
          <w:marRight w:val="0"/>
          <w:marTop w:val="0"/>
          <w:marBottom w:val="120"/>
          <w:divBdr>
            <w:top w:val="none" w:sz="0" w:space="0" w:color="auto"/>
            <w:left w:val="none" w:sz="0" w:space="0" w:color="auto"/>
            <w:bottom w:val="none" w:sz="0" w:space="0" w:color="auto"/>
            <w:right w:val="none" w:sz="0" w:space="0" w:color="auto"/>
          </w:divBdr>
        </w:div>
        <w:div w:id="2081975496">
          <w:marLeft w:val="274"/>
          <w:marRight w:val="0"/>
          <w:marTop w:val="0"/>
          <w:marBottom w:val="120"/>
          <w:divBdr>
            <w:top w:val="none" w:sz="0" w:space="0" w:color="auto"/>
            <w:left w:val="none" w:sz="0" w:space="0" w:color="auto"/>
            <w:bottom w:val="none" w:sz="0" w:space="0" w:color="auto"/>
            <w:right w:val="none" w:sz="0" w:space="0" w:color="auto"/>
          </w:divBdr>
        </w:div>
      </w:divsChild>
    </w:div>
    <w:div w:id="1549533363">
      <w:bodyDiv w:val="1"/>
      <w:marLeft w:val="0"/>
      <w:marRight w:val="0"/>
      <w:marTop w:val="0"/>
      <w:marBottom w:val="0"/>
      <w:divBdr>
        <w:top w:val="none" w:sz="0" w:space="0" w:color="auto"/>
        <w:left w:val="none" w:sz="0" w:space="0" w:color="auto"/>
        <w:bottom w:val="none" w:sz="0" w:space="0" w:color="auto"/>
        <w:right w:val="none" w:sz="0" w:space="0" w:color="auto"/>
      </w:divBdr>
      <w:divsChild>
        <w:div w:id="466975832">
          <w:marLeft w:val="274"/>
          <w:marRight w:val="0"/>
          <w:marTop w:val="0"/>
          <w:marBottom w:val="0"/>
          <w:divBdr>
            <w:top w:val="none" w:sz="0" w:space="0" w:color="auto"/>
            <w:left w:val="none" w:sz="0" w:space="0" w:color="auto"/>
            <w:bottom w:val="none" w:sz="0" w:space="0" w:color="auto"/>
            <w:right w:val="none" w:sz="0" w:space="0" w:color="auto"/>
          </w:divBdr>
        </w:div>
        <w:div w:id="968389720">
          <w:marLeft w:val="274"/>
          <w:marRight w:val="0"/>
          <w:marTop w:val="0"/>
          <w:marBottom w:val="0"/>
          <w:divBdr>
            <w:top w:val="none" w:sz="0" w:space="0" w:color="auto"/>
            <w:left w:val="none" w:sz="0" w:space="0" w:color="auto"/>
            <w:bottom w:val="none" w:sz="0" w:space="0" w:color="auto"/>
            <w:right w:val="none" w:sz="0" w:space="0" w:color="auto"/>
          </w:divBdr>
        </w:div>
        <w:div w:id="1910186828">
          <w:marLeft w:val="274"/>
          <w:marRight w:val="0"/>
          <w:marTop w:val="0"/>
          <w:marBottom w:val="0"/>
          <w:divBdr>
            <w:top w:val="none" w:sz="0" w:space="0" w:color="auto"/>
            <w:left w:val="none" w:sz="0" w:space="0" w:color="auto"/>
            <w:bottom w:val="none" w:sz="0" w:space="0" w:color="auto"/>
            <w:right w:val="none" w:sz="0" w:space="0" w:color="auto"/>
          </w:divBdr>
        </w:div>
      </w:divsChild>
    </w:div>
    <w:div w:id="1564488326">
      <w:bodyDiv w:val="1"/>
      <w:marLeft w:val="0"/>
      <w:marRight w:val="0"/>
      <w:marTop w:val="0"/>
      <w:marBottom w:val="0"/>
      <w:divBdr>
        <w:top w:val="none" w:sz="0" w:space="0" w:color="auto"/>
        <w:left w:val="none" w:sz="0" w:space="0" w:color="auto"/>
        <w:bottom w:val="none" w:sz="0" w:space="0" w:color="auto"/>
        <w:right w:val="none" w:sz="0" w:space="0" w:color="auto"/>
      </w:divBdr>
    </w:div>
    <w:div w:id="1568103318">
      <w:bodyDiv w:val="1"/>
      <w:marLeft w:val="0"/>
      <w:marRight w:val="0"/>
      <w:marTop w:val="0"/>
      <w:marBottom w:val="0"/>
      <w:divBdr>
        <w:top w:val="none" w:sz="0" w:space="0" w:color="auto"/>
        <w:left w:val="none" w:sz="0" w:space="0" w:color="auto"/>
        <w:bottom w:val="none" w:sz="0" w:space="0" w:color="auto"/>
        <w:right w:val="none" w:sz="0" w:space="0" w:color="auto"/>
      </w:divBdr>
    </w:div>
    <w:div w:id="1580946852">
      <w:bodyDiv w:val="1"/>
      <w:marLeft w:val="0"/>
      <w:marRight w:val="0"/>
      <w:marTop w:val="0"/>
      <w:marBottom w:val="0"/>
      <w:divBdr>
        <w:top w:val="none" w:sz="0" w:space="0" w:color="auto"/>
        <w:left w:val="none" w:sz="0" w:space="0" w:color="auto"/>
        <w:bottom w:val="none" w:sz="0" w:space="0" w:color="auto"/>
        <w:right w:val="none" w:sz="0" w:space="0" w:color="auto"/>
      </w:divBdr>
    </w:div>
    <w:div w:id="1602907011">
      <w:bodyDiv w:val="1"/>
      <w:marLeft w:val="0"/>
      <w:marRight w:val="0"/>
      <w:marTop w:val="0"/>
      <w:marBottom w:val="0"/>
      <w:divBdr>
        <w:top w:val="none" w:sz="0" w:space="0" w:color="auto"/>
        <w:left w:val="none" w:sz="0" w:space="0" w:color="auto"/>
        <w:bottom w:val="none" w:sz="0" w:space="0" w:color="auto"/>
        <w:right w:val="none" w:sz="0" w:space="0" w:color="auto"/>
      </w:divBdr>
    </w:div>
    <w:div w:id="1619332848">
      <w:bodyDiv w:val="1"/>
      <w:marLeft w:val="0"/>
      <w:marRight w:val="0"/>
      <w:marTop w:val="0"/>
      <w:marBottom w:val="0"/>
      <w:divBdr>
        <w:top w:val="none" w:sz="0" w:space="0" w:color="auto"/>
        <w:left w:val="none" w:sz="0" w:space="0" w:color="auto"/>
        <w:bottom w:val="none" w:sz="0" w:space="0" w:color="auto"/>
        <w:right w:val="none" w:sz="0" w:space="0" w:color="auto"/>
      </w:divBdr>
      <w:divsChild>
        <w:div w:id="565074422">
          <w:marLeft w:val="446"/>
          <w:marRight w:val="0"/>
          <w:marTop w:val="0"/>
          <w:marBottom w:val="0"/>
          <w:divBdr>
            <w:top w:val="none" w:sz="0" w:space="0" w:color="auto"/>
            <w:left w:val="none" w:sz="0" w:space="0" w:color="auto"/>
            <w:bottom w:val="none" w:sz="0" w:space="0" w:color="auto"/>
            <w:right w:val="none" w:sz="0" w:space="0" w:color="auto"/>
          </w:divBdr>
        </w:div>
        <w:div w:id="736247310">
          <w:marLeft w:val="446"/>
          <w:marRight w:val="0"/>
          <w:marTop w:val="0"/>
          <w:marBottom w:val="0"/>
          <w:divBdr>
            <w:top w:val="none" w:sz="0" w:space="0" w:color="auto"/>
            <w:left w:val="none" w:sz="0" w:space="0" w:color="auto"/>
            <w:bottom w:val="none" w:sz="0" w:space="0" w:color="auto"/>
            <w:right w:val="none" w:sz="0" w:space="0" w:color="auto"/>
          </w:divBdr>
        </w:div>
        <w:div w:id="888996795">
          <w:marLeft w:val="446"/>
          <w:marRight w:val="0"/>
          <w:marTop w:val="0"/>
          <w:marBottom w:val="0"/>
          <w:divBdr>
            <w:top w:val="none" w:sz="0" w:space="0" w:color="auto"/>
            <w:left w:val="none" w:sz="0" w:space="0" w:color="auto"/>
            <w:bottom w:val="none" w:sz="0" w:space="0" w:color="auto"/>
            <w:right w:val="none" w:sz="0" w:space="0" w:color="auto"/>
          </w:divBdr>
        </w:div>
        <w:div w:id="1101414215">
          <w:marLeft w:val="446"/>
          <w:marRight w:val="0"/>
          <w:marTop w:val="0"/>
          <w:marBottom w:val="0"/>
          <w:divBdr>
            <w:top w:val="none" w:sz="0" w:space="0" w:color="auto"/>
            <w:left w:val="none" w:sz="0" w:space="0" w:color="auto"/>
            <w:bottom w:val="none" w:sz="0" w:space="0" w:color="auto"/>
            <w:right w:val="none" w:sz="0" w:space="0" w:color="auto"/>
          </w:divBdr>
        </w:div>
        <w:div w:id="1292127334">
          <w:marLeft w:val="446"/>
          <w:marRight w:val="0"/>
          <w:marTop w:val="0"/>
          <w:marBottom w:val="0"/>
          <w:divBdr>
            <w:top w:val="none" w:sz="0" w:space="0" w:color="auto"/>
            <w:left w:val="none" w:sz="0" w:space="0" w:color="auto"/>
            <w:bottom w:val="none" w:sz="0" w:space="0" w:color="auto"/>
            <w:right w:val="none" w:sz="0" w:space="0" w:color="auto"/>
          </w:divBdr>
        </w:div>
        <w:div w:id="1497763545">
          <w:marLeft w:val="446"/>
          <w:marRight w:val="0"/>
          <w:marTop w:val="0"/>
          <w:marBottom w:val="0"/>
          <w:divBdr>
            <w:top w:val="none" w:sz="0" w:space="0" w:color="auto"/>
            <w:left w:val="none" w:sz="0" w:space="0" w:color="auto"/>
            <w:bottom w:val="none" w:sz="0" w:space="0" w:color="auto"/>
            <w:right w:val="none" w:sz="0" w:space="0" w:color="auto"/>
          </w:divBdr>
        </w:div>
        <w:div w:id="1640111019">
          <w:marLeft w:val="446"/>
          <w:marRight w:val="0"/>
          <w:marTop w:val="0"/>
          <w:marBottom w:val="0"/>
          <w:divBdr>
            <w:top w:val="none" w:sz="0" w:space="0" w:color="auto"/>
            <w:left w:val="none" w:sz="0" w:space="0" w:color="auto"/>
            <w:bottom w:val="none" w:sz="0" w:space="0" w:color="auto"/>
            <w:right w:val="none" w:sz="0" w:space="0" w:color="auto"/>
          </w:divBdr>
        </w:div>
        <w:div w:id="1700475545">
          <w:marLeft w:val="446"/>
          <w:marRight w:val="0"/>
          <w:marTop w:val="0"/>
          <w:marBottom w:val="0"/>
          <w:divBdr>
            <w:top w:val="none" w:sz="0" w:space="0" w:color="auto"/>
            <w:left w:val="none" w:sz="0" w:space="0" w:color="auto"/>
            <w:bottom w:val="none" w:sz="0" w:space="0" w:color="auto"/>
            <w:right w:val="none" w:sz="0" w:space="0" w:color="auto"/>
          </w:divBdr>
        </w:div>
        <w:div w:id="1873957988">
          <w:marLeft w:val="446"/>
          <w:marRight w:val="0"/>
          <w:marTop w:val="0"/>
          <w:marBottom w:val="0"/>
          <w:divBdr>
            <w:top w:val="none" w:sz="0" w:space="0" w:color="auto"/>
            <w:left w:val="none" w:sz="0" w:space="0" w:color="auto"/>
            <w:bottom w:val="none" w:sz="0" w:space="0" w:color="auto"/>
            <w:right w:val="none" w:sz="0" w:space="0" w:color="auto"/>
          </w:divBdr>
        </w:div>
      </w:divsChild>
    </w:div>
    <w:div w:id="1634365202">
      <w:bodyDiv w:val="1"/>
      <w:marLeft w:val="0"/>
      <w:marRight w:val="0"/>
      <w:marTop w:val="0"/>
      <w:marBottom w:val="0"/>
      <w:divBdr>
        <w:top w:val="none" w:sz="0" w:space="0" w:color="auto"/>
        <w:left w:val="none" w:sz="0" w:space="0" w:color="auto"/>
        <w:bottom w:val="none" w:sz="0" w:space="0" w:color="auto"/>
        <w:right w:val="none" w:sz="0" w:space="0" w:color="auto"/>
      </w:divBdr>
    </w:div>
    <w:div w:id="1657998238">
      <w:bodyDiv w:val="1"/>
      <w:marLeft w:val="0"/>
      <w:marRight w:val="0"/>
      <w:marTop w:val="0"/>
      <w:marBottom w:val="0"/>
      <w:divBdr>
        <w:top w:val="none" w:sz="0" w:space="0" w:color="auto"/>
        <w:left w:val="none" w:sz="0" w:space="0" w:color="auto"/>
        <w:bottom w:val="none" w:sz="0" w:space="0" w:color="auto"/>
        <w:right w:val="none" w:sz="0" w:space="0" w:color="auto"/>
      </w:divBdr>
    </w:div>
    <w:div w:id="1661613641">
      <w:bodyDiv w:val="1"/>
      <w:marLeft w:val="0"/>
      <w:marRight w:val="0"/>
      <w:marTop w:val="0"/>
      <w:marBottom w:val="0"/>
      <w:divBdr>
        <w:top w:val="none" w:sz="0" w:space="0" w:color="auto"/>
        <w:left w:val="none" w:sz="0" w:space="0" w:color="auto"/>
        <w:bottom w:val="none" w:sz="0" w:space="0" w:color="auto"/>
        <w:right w:val="none" w:sz="0" w:space="0" w:color="auto"/>
      </w:divBdr>
    </w:div>
    <w:div w:id="1696610939">
      <w:bodyDiv w:val="1"/>
      <w:marLeft w:val="0"/>
      <w:marRight w:val="0"/>
      <w:marTop w:val="0"/>
      <w:marBottom w:val="0"/>
      <w:divBdr>
        <w:top w:val="none" w:sz="0" w:space="0" w:color="auto"/>
        <w:left w:val="none" w:sz="0" w:space="0" w:color="auto"/>
        <w:bottom w:val="none" w:sz="0" w:space="0" w:color="auto"/>
        <w:right w:val="none" w:sz="0" w:space="0" w:color="auto"/>
      </w:divBdr>
    </w:div>
    <w:div w:id="1697274087">
      <w:bodyDiv w:val="1"/>
      <w:marLeft w:val="0"/>
      <w:marRight w:val="0"/>
      <w:marTop w:val="0"/>
      <w:marBottom w:val="0"/>
      <w:divBdr>
        <w:top w:val="none" w:sz="0" w:space="0" w:color="auto"/>
        <w:left w:val="none" w:sz="0" w:space="0" w:color="auto"/>
        <w:bottom w:val="none" w:sz="0" w:space="0" w:color="auto"/>
        <w:right w:val="none" w:sz="0" w:space="0" w:color="auto"/>
      </w:divBdr>
      <w:divsChild>
        <w:div w:id="234511975">
          <w:marLeft w:val="360"/>
          <w:marRight w:val="0"/>
          <w:marTop w:val="200"/>
          <w:marBottom w:val="0"/>
          <w:divBdr>
            <w:top w:val="none" w:sz="0" w:space="0" w:color="auto"/>
            <w:left w:val="none" w:sz="0" w:space="0" w:color="auto"/>
            <w:bottom w:val="none" w:sz="0" w:space="0" w:color="auto"/>
            <w:right w:val="none" w:sz="0" w:space="0" w:color="auto"/>
          </w:divBdr>
        </w:div>
        <w:div w:id="838234359">
          <w:marLeft w:val="360"/>
          <w:marRight w:val="0"/>
          <w:marTop w:val="120"/>
          <w:marBottom w:val="0"/>
          <w:divBdr>
            <w:top w:val="none" w:sz="0" w:space="0" w:color="auto"/>
            <w:left w:val="none" w:sz="0" w:space="0" w:color="auto"/>
            <w:bottom w:val="none" w:sz="0" w:space="0" w:color="auto"/>
            <w:right w:val="none" w:sz="0" w:space="0" w:color="auto"/>
          </w:divBdr>
        </w:div>
      </w:divsChild>
    </w:div>
    <w:div w:id="1699817521">
      <w:bodyDiv w:val="1"/>
      <w:marLeft w:val="0"/>
      <w:marRight w:val="0"/>
      <w:marTop w:val="0"/>
      <w:marBottom w:val="0"/>
      <w:divBdr>
        <w:top w:val="none" w:sz="0" w:space="0" w:color="auto"/>
        <w:left w:val="none" w:sz="0" w:space="0" w:color="auto"/>
        <w:bottom w:val="none" w:sz="0" w:space="0" w:color="auto"/>
        <w:right w:val="none" w:sz="0" w:space="0" w:color="auto"/>
      </w:divBdr>
      <w:divsChild>
        <w:div w:id="688529059">
          <w:marLeft w:val="360"/>
          <w:marRight w:val="0"/>
          <w:marTop w:val="0"/>
          <w:marBottom w:val="0"/>
          <w:divBdr>
            <w:top w:val="none" w:sz="0" w:space="0" w:color="auto"/>
            <w:left w:val="none" w:sz="0" w:space="0" w:color="auto"/>
            <w:bottom w:val="none" w:sz="0" w:space="0" w:color="auto"/>
            <w:right w:val="none" w:sz="0" w:space="0" w:color="auto"/>
          </w:divBdr>
        </w:div>
      </w:divsChild>
    </w:div>
    <w:div w:id="1713267544">
      <w:bodyDiv w:val="1"/>
      <w:marLeft w:val="0"/>
      <w:marRight w:val="0"/>
      <w:marTop w:val="0"/>
      <w:marBottom w:val="0"/>
      <w:divBdr>
        <w:top w:val="none" w:sz="0" w:space="0" w:color="auto"/>
        <w:left w:val="none" w:sz="0" w:space="0" w:color="auto"/>
        <w:bottom w:val="none" w:sz="0" w:space="0" w:color="auto"/>
        <w:right w:val="none" w:sz="0" w:space="0" w:color="auto"/>
      </w:divBdr>
    </w:div>
    <w:div w:id="1719233691">
      <w:bodyDiv w:val="1"/>
      <w:marLeft w:val="0"/>
      <w:marRight w:val="0"/>
      <w:marTop w:val="0"/>
      <w:marBottom w:val="0"/>
      <w:divBdr>
        <w:top w:val="none" w:sz="0" w:space="0" w:color="auto"/>
        <w:left w:val="none" w:sz="0" w:space="0" w:color="auto"/>
        <w:bottom w:val="none" w:sz="0" w:space="0" w:color="auto"/>
        <w:right w:val="none" w:sz="0" w:space="0" w:color="auto"/>
      </w:divBdr>
      <w:divsChild>
        <w:div w:id="323971846">
          <w:marLeft w:val="346"/>
          <w:marRight w:val="0"/>
          <w:marTop w:val="0"/>
          <w:marBottom w:val="0"/>
          <w:divBdr>
            <w:top w:val="none" w:sz="0" w:space="0" w:color="auto"/>
            <w:left w:val="none" w:sz="0" w:space="0" w:color="auto"/>
            <w:bottom w:val="none" w:sz="0" w:space="0" w:color="auto"/>
            <w:right w:val="none" w:sz="0" w:space="0" w:color="auto"/>
          </w:divBdr>
        </w:div>
      </w:divsChild>
    </w:div>
    <w:div w:id="1739087184">
      <w:bodyDiv w:val="1"/>
      <w:marLeft w:val="0"/>
      <w:marRight w:val="0"/>
      <w:marTop w:val="0"/>
      <w:marBottom w:val="0"/>
      <w:divBdr>
        <w:top w:val="none" w:sz="0" w:space="0" w:color="auto"/>
        <w:left w:val="none" w:sz="0" w:space="0" w:color="auto"/>
        <w:bottom w:val="none" w:sz="0" w:space="0" w:color="auto"/>
        <w:right w:val="none" w:sz="0" w:space="0" w:color="auto"/>
      </w:divBdr>
    </w:div>
    <w:div w:id="1740786146">
      <w:bodyDiv w:val="1"/>
      <w:marLeft w:val="0"/>
      <w:marRight w:val="0"/>
      <w:marTop w:val="0"/>
      <w:marBottom w:val="0"/>
      <w:divBdr>
        <w:top w:val="none" w:sz="0" w:space="0" w:color="auto"/>
        <w:left w:val="none" w:sz="0" w:space="0" w:color="auto"/>
        <w:bottom w:val="none" w:sz="0" w:space="0" w:color="auto"/>
        <w:right w:val="none" w:sz="0" w:space="0" w:color="auto"/>
      </w:divBdr>
    </w:div>
    <w:div w:id="1744984878">
      <w:bodyDiv w:val="1"/>
      <w:marLeft w:val="0"/>
      <w:marRight w:val="0"/>
      <w:marTop w:val="0"/>
      <w:marBottom w:val="0"/>
      <w:divBdr>
        <w:top w:val="none" w:sz="0" w:space="0" w:color="auto"/>
        <w:left w:val="none" w:sz="0" w:space="0" w:color="auto"/>
        <w:bottom w:val="none" w:sz="0" w:space="0" w:color="auto"/>
        <w:right w:val="none" w:sz="0" w:space="0" w:color="auto"/>
      </w:divBdr>
    </w:div>
    <w:div w:id="1816529808">
      <w:bodyDiv w:val="1"/>
      <w:marLeft w:val="0"/>
      <w:marRight w:val="0"/>
      <w:marTop w:val="0"/>
      <w:marBottom w:val="0"/>
      <w:divBdr>
        <w:top w:val="none" w:sz="0" w:space="0" w:color="auto"/>
        <w:left w:val="none" w:sz="0" w:space="0" w:color="auto"/>
        <w:bottom w:val="none" w:sz="0" w:space="0" w:color="auto"/>
        <w:right w:val="none" w:sz="0" w:space="0" w:color="auto"/>
      </w:divBdr>
    </w:div>
    <w:div w:id="1825007275">
      <w:bodyDiv w:val="1"/>
      <w:marLeft w:val="0"/>
      <w:marRight w:val="0"/>
      <w:marTop w:val="0"/>
      <w:marBottom w:val="0"/>
      <w:divBdr>
        <w:top w:val="none" w:sz="0" w:space="0" w:color="auto"/>
        <w:left w:val="none" w:sz="0" w:space="0" w:color="auto"/>
        <w:bottom w:val="none" w:sz="0" w:space="0" w:color="auto"/>
        <w:right w:val="none" w:sz="0" w:space="0" w:color="auto"/>
      </w:divBdr>
    </w:div>
    <w:div w:id="1835948155">
      <w:bodyDiv w:val="1"/>
      <w:marLeft w:val="0"/>
      <w:marRight w:val="0"/>
      <w:marTop w:val="0"/>
      <w:marBottom w:val="0"/>
      <w:divBdr>
        <w:top w:val="none" w:sz="0" w:space="0" w:color="auto"/>
        <w:left w:val="none" w:sz="0" w:space="0" w:color="auto"/>
        <w:bottom w:val="none" w:sz="0" w:space="0" w:color="auto"/>
        <w:right w:val="none" w:sz="0" w:space="0" w:color="auto"/>
      </w:divBdr>
    </w:div>
    <w:div w:id="1838763961">
      <w:bodyDiv w:val="1"/>
      <w:marLeft w:val="0"/>
      <w:marRight w:val="0"/>
      <w:marTop w:val="0"/>
      <w:marBottom w:val="0"/>
      <w:divBdr>
        <w:top w:val="none" w:sz="0" w:space="0" w:color="auto"/>
        <w:left w:val="none" w:sz="0" w:space="0" w:color="auto"/>
        <w:bottom w:val="none" w:sz="0" w:space="0" w:color="auto"/>
        <w:right w:val="none" w:sz="0" w:space="0" w:color="auto"/>
      </w:divBdr>
      <w:divsChild>
        <w:div w:id="208809587">
          <w:marLeft w:val="446"/>
          <w:marRight w:val="0"/>
          <w:marTop w:val="0"/>
          <w:marBottom w:val="0"/>
          <w:divBdr>
            <w:top w:val="none" w:sz="0" w:space="0" w:color="auto"/>
            <w:left w:val="none" w:sz="0" w:space="0" w:color="auto"/>
            <w:bottom w:val="none" w:sz="0" w:space="0" w:color="auto"/>
            <w:right w:val="none" w:sz="0" w:space="0" w:color="auto"/>
          </w:divBdr>
        </w:div>
        <w:div w:id="241644488">
          <w:marLeft w:val="446"/>
          <w:marRight w:val="0"/>
          <w:marTop w:val="0"/>
          <w:marBottom w:val="0"/>
          <w:divBdr>
            <w:top w:val="none" w:sz="0" w:space="0" w:color="auto"/>
            <w:left w:val="none" w:sz="0" w:space="0" w:color="auto"/>
            <w:bottom w:val="none" w:sz="0" w:space="0" w:color="auto"/>
            <w:right w:val="none" w:sz="0" w:space="0" w:color="auto"/>
          </w:divBdr>
        </w:div>
        <w:div w:id="289364766">
          <w:marLeft w:val="446"/>
          <w:marRight w:val="0"/>
          <w:marTop w:val="0"/>
          <w:marBottom w:val="0"/>
          <w:divBdr>
            <w:top w:val="none" w:sz="0" w:space="0" w:color="auto"/>
            <w:left w:val="none" w:sz="0" w:space="0" w:color="auto"/>
            <w:bottom w:val="none" w:sz="0" w:space="0" w:color="auto"/>
            <w:right w:val="none" w:sz="0" w:space="0" w:color="auto"/>
          </w:divBdr>
        </w:div>
        <w:div w:id="327943115">
          <w:marLeft w:val="446"/>
          <w:marRight w:val="0"/>
          <w:marTop w:val="0"/>
          <w:marBottom w:val="0"/>
          <w:divBdr>
            <w:top w:val="none" w:sz="0" w:space="0" w:color="auto"/>
            <w:left w:val="none" w:sz="0" w:space="0" w:color="auto"/>
            <w:bottom w:val="none" w:sz="0" w:space="0" w:color="auto"/>
            <w:right w:val="none" w:sz="0" w:space="0" w:color="auto"/>
          </w:divBdr>
        </w:div>
        <w:div w:id="423117126">
          <w:marLeft w:val="446"/>
          <w:marRight w:val="0"/>
          <w:marTop w:val="0"/>
          <w:marBottom w:val="0"/>
          <w:divBdr>
            <w:top w:val="none" w:sz="0" w:space="0" w:color="auto"/>
            <w:left w:val="none" w:sz="0" w:space="0" w:color="auto"/>
            <w:bottom w:val="none" w:sz="0" w:space="0" w:color="auto"/>
            <w:right w:val="none" w:sz="0" w:space="0" w:color="auto"/>
          </w:divBdr>
        </w:div>
        <w:div w:id="538711847">
          <w:marLeft w:val="446"/>
          <w:marRight w:val="0"/>
          <w:marTop w:val="0"/>
          <w:marBottom w:val="0"/>
          <w:divBdr>
            <w:top w:val="none" w:sz="0" w:space="0" w:color="auto"/>
            <w:left w:val="none" w:sz="0" w:space="0" w:color="auto"/>
            <w:bottom w:val="none" w:sz="0" w:space="0" w:color="auto"/>
            <w:right w:val="none" w:sz="0" w:space="0" w:color="auto"/>
          </w:divBdr>
        </w:div>
        <w:div w:id="662898845">
          <w:marLeft w:val="446"/>
          <w:marRight w:val="0"/>
          <w:marTop w:val="0"/>
          <w:marBottom w:val="0"/>
          <w:divBdr>
            <w:top w:val="none" w:sz="0" w:space="0" w:color="auto"/>
            <w:left w:val="none" w:sz="0" w:space="0" w:color="auto"/>
            <w:bottom w:val="none" w:sz="0" w:space="0" w:color="auto"/>
            <w:right w:val="none" w:sz="0" w:space="0" w:color="auto"/>
          </w:divBdr>
        </w:div>
        <w:div w:id="738984365">
          <w:marLeft w:val="446"/>
          <w:marRight w:val="0"/>
          <w:marTop w:val="0"/>
          <w:marBottom w:val="0"/>
          <w:divBdr>
            <w:top w:val="none" w:sz="0" w:space="0" w:color="auto"/>
            <w:left w:val="none" w:sz="0" w:space="0" w:color="auto"/>
            <w:bottom w:val="none" w:sz="0" w:space="0" w:color="auto"/>
            <w:right w:val="none" w:sz="0" w:space="0" w:color="auto"/>
          </w:divBdr>
        </w:div>
        <w:div w:id="967931589">
          <w:marLeft w:val="446"/>
          <w:marRight w:val="0"/>
          <w:marTop w:val="0"/>
          <w:marBottom w:val="0"/>
          <w:divBdr>
            <w:top w:val="none" w:sz="0" w:space="0" w:color="auto"/>
            <w:left w:val="none" w:sz="0" w:space="0" w:color="auto"/>
            <w:bottom w:val="none" w:sz="0" w:space="0" w:color="auto"/>
            <w:right w:val="none" w:sz="0" w:space="0" w:color="auto"/>
          </w:divBdr>
        </w:div>
        <w:div w:id="1012803392">
          <w:marLeft w:val="446"/>
          <w:marRight w:val="0"/>
          <w:marTop w:val="0"/>
          <w:marBottom w:val="0"/>
          <w:divBdr>
            <w:top w:val="none" w:sz="0" w:space="0" w:color="auto"/>
            <w:left w:val="none" w:sz="0" w:space="0" w:color="auto"/>
            <w:bottom w:val="none" w:sz="0" w:space="0" w:color="auto"/>
            <w:right w:val="none" w:sz="0" w:space="0" w:color="auto"/>
          </w:divBdr>
        </w:div>
        <w:div w:id="1069158349">
          <w:marLeft w:val="446"/>
          <w:marRight w:val="0"/>
          <w:marTop w:val="0"/>
          <w:marBottom w:val="0"/>
          <w:divBdr>
            <w:top w:val="none" w:sz="0" w:space="0" w:color="auto"/>
            <w:left w:val="none" w:sz="0" w:space="0" w:color="auto"/>
            <w:bottom w:val="none" w:sz="0" w:space="0" w:color="auto"/>
            <w:right w:val="none" w:sz="0" w:space="0" w:color="auto"/>
          </w:divBdr>
        </w:div>
        <w:div w:id="1101754085">
          <w:marLeft w:val="446"/>
          <w:marRight w:val="0"/>
          <w:marTop w:val="0"/>
          <w:marBottom w:val="0"/>
          <w:divBdr>
            <w:top w:val="none" w:sz="0" w:space="0" w:color="auto"/>
            <w:left w:val="none" w:sz="0" w:space="0" w:color="auto"/>
            <w:bottom w:val="none" w:sz="0" w:space="0" w:color="auto"/>
            <w:right w:val="none" w:sz="0" w:space="0" w:color="auto"/>
          </w:divBdr>
        </w:div>
        <w:div w:id="1411541706">
          <w:marLeft w:val="446"/>
          <w:marRight w:val="0"/>
          <w:marTop w:val="0"/>
          <w:marBottom w:val="0"/>
          <w:divBdr>
            <w:top w:val="none" w:sz="0" w:space="0" w:color="auto"/>
            <w:left w:val="none" w:sz="0" w:space="0" w:color="auto"/>
            <w:bottom w:val="none" w:sz="0" w:space="0" w:color="auto"/>
            <w:right w:val="none" w:sz="0" w:space="0" w:color="auto"/>
          </w:divBdr>
        </w:div>
        <w:div w:id="1590389721">
          <w:marLeft w:val="446"/>
          <w:marRight w:val="0"/>
          <w:marTop w:val="0"/>
          <w:marBottom w:val="0"/>
          <w:divBdr>
            <w:top w:val="none" w:sz="0" w:space="0" w:color="auto"/>
            <w:left w:val="none" w:sz="0" w:space="0" w:color="auto"/>
            <w:bottom w:val="none" w:sz="0" w:space="0" w:color="auto"/>
            <w:right w:val="none" w:sz="0" w:space="0" w:color="auto"/>
          </w:divBdr>
        </w:div>
        <w:div w:id="2116437809">
          <w:marLeft w:val="446"/>
          <w:marRight w:val="0"/>
          <w:marTop w:val="0"/>
          <w:marBottom w:val="0"/>
          <w:divBdr>
            <w:top w:val="none" w:sz="0" w:space="0" w:color="auto"/>
            <w:left w:val="none" w:sz="0" w:space="0" w:color="auto"/>
            <w:bottom w:val="none" w:sz="0" w:space="0" w:color="auto"/>
            <w:right w:val="none" w:sz="0" w:space="0" w:color="auto"/>
          </w:divBdr>
        </w:div>
        <w:div w:id="2120101270">
          <w:marLeft w:val="446"/>
          <w:marRight w:val="0"/>
          <w:marTop w:val="0"/>
          <w:marBottom w:val="0"/>
          <w:divBdr>
            <w:top w:val="none" w:sz="0" w:space="0" w:color="auto"/>
            <w:left w:val="none" w:sz="0" w:space="0" w:color="auto"/>
            <w:bottom w:val="none" w:sz="0" w:space="0" w:color="auto"/>
            <w:right w:val="none" w:sz="0" w:space="0" w:color="auto"/>
          </w:divBdr>
        </w:div>
      </w:divsChild>
    </w:div>
    <w:div w:id="1862621196">
      <w:bodyDiv w:val="1"/>
      <w:marLeft w:val="0"/>
      <w:marRight w:val="0"/>
      <w:marTop w:val="0"/>
      <w:marBottom w:val="0"/>
      <w:divBdr>
        <w:top w:val="none" w:sz="0" w:space="0" w:color="auto"/>
        <w:left w:val="none" w:sz="0" w:space="0" w:color="auto"/>
        <w:bottom w:val="none" w:sz="0" w:space="0" w:color="auto"/>
        <w:right w:val="none" w:sz="0" w:space="0" w:color="auto"/>
      </w:divBdr>
    </w:div>
    <w:div w:id="1879777980">
      <w:bodyDiv w:val="1"/>
      <w:marLeft w:val="0"/>
      <w:marRight w:val="0"/>
      <w:marTop w:val="0"/>
      <w:marBottom w:val="0"/>
      <w:divBdr>
        <w:top w:val="none" w:sz="0" w:space="0" w:color="auto"/>
        <w:left w:val="none" w:sz="0" w:space="0" w:color="auto"/>
        <w:bottom w:val="none" w:sz="0" w:space="0" w:color="auto"/>
        <w:right w:val="none" w:sz="0" w:space="0" w:color="auto"/>
      </w:divBdr>
    </w:div>
    <w:div w:id="1887182639">
      <w:bodyDiv w:val="1"/>
      <w:marLeft w:val="0"/>
      <w:marRight w:val="0"/>
      <w:marTop w:val="0"/>
      <w:marBottom w:val="0"/>
      <w:divBdr>
        <w:top w:val="none" w:sz="0" w:space="0" w:color="auto"/>
        <w:left w:val="none" w:sz="0" w:space="0" w:color="auto"/>
        <w:bottom w:val="none" w:sz="0" w:space="0" w:color="auto"/>
        <w:right w:val="none" w:sz="0" w:space="0" w:color="auto"/>
      </w:divBdr>
    </w:div>
    <w:div w:id="1891765657">
      <w:bodyDiv w:val="1"/>
      <w:marLeft w:val="0"/>
      <w:marRight w:val="0"/>
      <w:marTop w:val="0"/>
      <w:marBottom w:val="0"/>
      <w:divBdr>
        <w:top w:val="none" w:sz="0" w:space="0" w:color="auto"/>
        <w:left w:val="none" w:sz="0" w:space="0" w:color="auto"/>
        <w:bottom w:val="none" w:sz="0" w:space="0" w:color="auto"/>
        <w:right w:val="none" w:sz="0" w:space="0" w:color="auto"/>
      </w:divBdr>
      <w:divsChild>
        <w:div w:id="599217811">
          <w:marLeft w:val="274"/>
          <w:marRight w:val="0"/>
          <w:marTop w:val="0"/>
          <w:marBottom w:val="0"/>
          <w:divBdr>
            <w:top w:val="none" w:sz="0" w:space="0" w:color="auto"/>
            <w:left w:val="none" w:sz="0" w:space="0" w:color="auto"/>
            <w:bottom w:val="none" w:sz="0" w:space="0" w:color="auto"/>
            <w:right w:val="none" w:sz="0" w:space="0" w:color="auto"/>
          </w:divBdr>
        </w:div>
        <w:div w:id="1532450494">
          <w:marLeft w:val="274"/>
          <w:marRight w:val="0"/>
          <w:marTop w:val="0"/>
          <w:marBottom w:val="0"/>
          <w:divBdr>
            <w:top w:val="none" w:sz="0" w:space="0" w:color="auto"/>
            <w:left w:val="none" w:sz="0" w:space="0" w:color="auto"/>
            <w:bottom w:val="none" w:sz="0" w:space="0" w:color="auto"/>
            <w:right w:val="none" w:sz="0" w:space="0" w:color="auto"/>
          </w:divBdr>
        </w:div>
        <w:div w:id="1742868212">
          <w:marLeft w:val="274"/>
          <w:marRight w:val="0"/>
          <w:marTop w:val="0"/>
          <w:marBottom w:val="0"/>
          <w:divBdr>
            <w:top w:val="none" w:sz="0" w:space="0" w:color="auto"/>
            <w:left w:val="none" w:sz="0" w:space="0" w:color="auto"/>
            <w:bottom w:val="none" w:sz="0" w:space="0" w:color="auto"/>
            <w:right w:val="none" w:sz="0" w:space="0" w:color="auto"/>
          </w:divBdr>
        </w:div>
      </w:divsChild>
    </w:div>
    <w:div w:id="1897819045">
      <w:bodyDiv w:val="1"/>
      <w:marLeft w:val="0"/>
      <w:marRight w:val="0"/>
      <w:marTop w:val="0"/>
      <w:marBottom w:val="0"/>
      <w:divBdr>
        <w:top w:val="none" w:sz="0" w:space="0" w:color="auto"/>
        <w:left w:val="none" w:sz="0" w:space="0" w:color="auto"/>
        <w:bottom w:val="none" w:sz="0" w:space="0" w:color="auto"/>
        <w:right w:val="none" w:sz="0" w:space="0" w:color="auto"/>
      </w:divBdr>
    </w:div>
    <w:div w:id="1921017629">
      <w:bodyDiv w:val="1"/>
      <w:marLeft w:val="0"/>
      <w:marRight w:val="0"/>
      <w:marTop w:val="0"/>
      <w:marBottom w:val="0"/>
      <w:divBdr>
        <w:top w:val="none" w:sz="0" w:space="0" w:color="auto"/>
        <w:left w:val="none" w:sz="0" w:space="0" w:color="auto"/>
        <w:bottom w:val="none" w:sz="0" w:space="0" w:color="auto"/>
        <w:right w:val="none" w:sz="0" w:space="0" w:color="auto"/>
      </w:divBdr>
      <w:divsChild>
        <w:div w:id="972826034">
          <w:marLeft w:val="346"/>
          <w:marRight w:val="0"/>
          <w:marTop w:val="0"/>
          <w:marBottom w:val="0"/>
          <w:divBdr>
            <w:top w:val="none" w:sz="0" w:space="0" w:color="auto"/>
            <w:left w:val="none" w:sz="0" w:space="0" w:color="auto"/>
            <w:bottom w:val="none" w:sz="0" w:space="0" w:color="auto"/>
            <w:right w:val="none" w:sz="0" w:space="0" w:color="auto"/>
          </w:divBdr>
        </w:div>
        <w:div w:id="1906530049">
          <w:marLeft w:val="346"/>
          <w:marRight w:val="0"/>
          <w:marTop w:val="0"/>
          <w:marBottom w:val="0"/>
          <w:divBdr>
            <w:top w:val="none" w:sz="0" w:space="0" w:color="auto"/>
            <w:left w:val="none" w:sz="0" w:space="0" w:color="auto"/>
            <w:bottom w:val="none" w:sz="0" w:space="0" w:color="auto"/>
            <w:right w:val="none" w:sz="0" w:space="0" w:color="auto"/>
          </w:divBdr>
        </w:div>
      </w:divsChild>
    </w:div>
    <w:div w:id="1930430920">
      <w:bodyDiv w:val="1"/>
      <w:marLeft w:val="0"/>
      <w:marRight w:val="0"/>
      <w:marTop w:val="0"/>
      <w:marBottom w:val="0"/>
      <w:divBdr>
        <w:top w:val="none" w:sz="0" w:space="0" w:color="auto"/>
        <w:left w:val="none" w:sz="0" w:space="0" w:color="auto"/>
        <w:bottom w:val="none" w:sz="0" w:space="0" w:color="auto"/>
        <w:right w:val="none" w:sz="0" w:space="0" w:color="auto"/>
      </w:divBdr>
    </w:div>
    <w:div w:id="1936211986">
      <w:bodyDiv w:val="1"/>
      <w:marLeft w:val="0"/>
      <w:marRight w:val="0"/>
      <w:marTop w:val="0"/>
      <w:marBottom w:val="0"/>
      <w:divBdr>
        <w:top w:val="none" w:sz="0" w:space="0" w:color="auto"/>
        <w:left w:val="none" w:sz="0" w:space="0" w:color="auto"/>
        <w:bottom w:val="none" w:sz="0" w:space="0" w:color="auto"/>
        <w:right w:val="none" w:sz="0" w:space="0" w:color="auto"/>
      </w:divBdr>
      <w:divsChild>
        <w:div w:id="138309771">
          <w:marLeft w:val="274"/>
          <w:marRight w:val="0"/>
          <w:marTop w:val="0"/>
          <w:marBottom w:val="120"/>
          <w:divBdr>
            <w:top w:val="none" w:sz="0" w:space="0" w:color="auto"/>
            <w:left w:val="none" w:sz="0" w:space="0" w:color="auto"/>
            <w:bottom w:val="none" w:sz="0" w:space="0" w:color="auto"/>
            <w:right w:val="none" w:sz="0" w:space="0" w:color="auto"/>
          </w:divBdr>
        </w:div>
        <w:div w:id="240137966">
          <w:marLeft w:val="274"/>
          <w:marRight w:val="0"/>
          <w:marTop w:val="0"/>
          <w:marBottom w:val="120"/>
          <w:divBdr>
            <w:top w:val="none" w:sz="0" w:space="0" w:color="auto"/>
            <w:left w:val="none" w:sz="0" w:space="0" w:color="auto"/>
            <w:bottom w:val="none" w:sz="0" w:space="0" w:color="auto"/>
            <w:right w:val="none" w:sz="0" w:space="0" w:color="auto"/>
          </w:divBdr>
        </w:div>
        <w:div w:id="326636989">
          <w:marLeft w:val="274"/>
          <w:marRight w:val="0"/>
          <w:marTop w:val="0"/>
          <w:marBottom w:val="120"/>
          <w:divBdr>
            <w:top w:val="none" w:sz="0" w:space="0" w:color="auto"/>
            <w:left w:val="none" w:sz="0" w:space="0" w:color="auto"/>
            <w:bottom w:val="none" w:sz="0" w:space="0" w:color="auto"/>
            <w:right w:val="none" w:sz="0" w:space="0" w:color="auto"/>
          </w:divBdr>
        </w:div>
        <w:div w:id="358776126">
          <w:marLeft w:val="274"/>
          <w:marRight w:val="0"/>
          <w:marTop w:val="0"/>
          <w:marBottom w:val="120"/>
          <w:divBdr>
            <w:top w:val="none" w:sz="0" w:space="0" w:color="auto"/>
            <w:left w:val="none" w:sz="0" w:space="0" w:color="auto"/>
            <w:bottom w:val="none" w:sz="0" w:space="0" w:color="auto"/>
            <w:right w:val="none" w:sz="0" w:space="0" w:color="auto"/>
          </w:divBdr>
        </w:div>
        <w:div w:id="426922072">
          <w:marLeft w:val="274"/>
          <w:marRight w:val="0"/>
          <w:marTop w:val="0"/>
          <w:marBottom w:val="120"/>
          <w:divBdr>
            <w:top w:val="none" w:sz="0" w:space="0" w:color="auto"/>
            <w:left w:val="none" w:sz="0" w:space="0" w:color="auto"/>
            <w:bottom w:val="none" w:sz="0" w:space="0" w:color="auto"/>
            <w:right w:val="none" w:sz="0" w:space="0" w:color="auto"/>
          </w:divBdr>
        </w:div>
        <w:div w:id="587542545">
          <w:marLeft w:val="274"/>
          <w:marRight w:val="0"/>
          <w:marTop w:val="0"/>
          <w:marBottom w:val="120"/>
          <w:divBdr>
            <w:top w:val="none" w:sz="0" w:space="0" w:color="auto"/>
            <w:left w:val="none" w:sz="0" w:space="0" w:color="auto"/>
            <w:bottom w:val="none" w:sz="0" w:space="0" w:color="auto"/>
            <w:right w:val="none" w:sz="0" w:space="0" w:color="auto"/>
          </w:divBdr>
        </w:div>
        <w:div w:id="626274579">
          <w:marLeft w:val="274"/>
          <w:marRight w:val="0"/>
          <w:marTop w:val="0"/>
          <w:marBottom w:val="120"/>
          <w:divBdr>
            <w:top w:val="none" w:sz="0" w:space="0" w:color="auto"/>
            <w:left w:val="none" w:sz="0" w:space="0" w:color="auto"/>
            <w:bottom w:val="none" w:sz="0" w:space="0" w:color="auto"/>
            <w:right w:val="none" w:sz="0" w:space="0" w:color="auto"/>
          </w:divBdr>
        </w:div>
        <w:div w:id="1082608360">
          <w:marLeft w:val="274"/>
          <w:marRight w:val="0"/>
          <w:marTop w:val="0"/>
          <w:marBottom w:val="120"/>
          <w:divBdr>
            <w:top w:val="none" w:sz="0" w:space="0" w:color="auto"/>
            <w:left w:val="none" w:sz="0" w:space="0" w:color="auto"/>
            <w:bottom w:val="none" w:sz="0" w:space="0" w:color="auto"/>
            <w:right w:val="none" w:sz="0" w:space="0" w:color="auto"/>
          </w:divBdr>
        </w:div>
        <w:div w:id="1378699618">
          <w:marLeft w:val="274"/>
          <w:marRight w:val="0"/>
          <w:marTop w:val="0"/>
          <w:marBottom w:val="120"/>
          <w:divBdr>
            <w:top w:val="none" w:sz="0" w:space="0" w:color="auto"/>
            <w:left w:val="none" w:sz="0" w:space="0" w:color="auto"/>
            <w:bottom w:val="none" w:sz="0" w:space="0" w:color="auto"/>
            <w:right w:val="none" w:sz="0" w:space="0" w:color="auto"/>
          </w:divBdr>
        </w:div>
        <w:div w:id="1392732875">
          <w:marLeft w:val="274"/>
          <w:marRight w:val="0"/>
          <w:marTop w:val="0"/>
          <w:marBottom w:val="120"/>
          <w:divBdr>
            <w:top w:val="none" w:sz="0" w:space="0" w:color="auto"/>
            <w:left w:val="none" w:sz="0" w:space="0" w:color="auto"/>
            <w:bottom w:val="none" w:sz="0" w:space="0" w:color="auto"/>
            <w:right w:val="none" w:sz="0" w:space="0" w:color="auto"/>
          </w:divBdr>
        </w:div>
        <w:div w:id="1465804857">
          <w:marLeft w:val="274"/>
          <w:marRight w:val="0"/>
          <w:marTop w:val="0"/>
          <w:marBottom w:val="120"/>
          <w:divBdr>
            <w:top w:val="none" w:sz="0" w:space="0" w:color="auto"/>
            <w:left w:val="none" w:sz="0" w:space="0" w:color="auto"/>
            <w:bottom w:val="none" w:sz="0" w:space="0" w:color="auto"/>
            <w:right w:val="none" w:sz="0" w:space="0" w:color="auto"/>
          </w:divBdr>
        </w:div>
        <w:div w:id="1518422851">
          <w:marLeft w:val="274"/>
          <w:marRight w:val="0"/>
          <w:marTop w:val="0"/>
          <w:marBottom w:val="120"/>
          <w:divBdr>
            <w:top w:val="none" w:sz="0" w:space="0" w:color="auto"/>
            <w:left w:val="none" w:sz="0" w:space="0" w:color="auto"/>
            <w:bottom w:val="none" w:sz="0" w:space="0" w:color="auto"/>
            <w:right w:val="none" w:sz="0" w:space="0" w:color="auto"/>
          </w:divBdr>
        </w:div>
        <w:div w:id="1750615480">
          <w:marLeft w:val="274"/>
          <w:marRight w:val="0"/>
          <w:marTop w:val="0"/>
          <w:marBottom w:val="120"/>
          <w:divBdr>
            <w:top w:val="none" w:sz="0" w:space="0" w:color="auto"/>
            <w:left w:val="none" w:sz="0" w:space="0" w:color="auto"/>
            <w:bottom w:val="none" w:sz="0" w:space="0" w:color="auto"/>
            <w:right w:val="none" w:sz="0" w:space="0" w:color="auto"/>
          </w:divBdr>
        </w:div>
        <w:div w:id="1757284733">
          <w:marLeft w:val="274"/>
          <w:marRight w:val="0"/>
          <w:marTop w:val="0"/>
          <w:marBottom w:val="120"/>
          <w:divBdr>
            <w:top w:val="none" w:sz="0" w:space="0" w:color="auto"/>
            <w:left w:val="none" w:sz="0" w:space="0" w:color="auto"/>
            <w:bottom w:val="none" w:sz="0" w:space="0" w:color="auto"/>
            <w:right w:val="none" w:sz="0" w:space="0" w:color="auto"/>
          </w:divBdr>
        </w:div>
        <w:div w:id="1978870486">
          <w:marLeft w:val="274"/>
          <w:marRight w:val="0"/>
          <w:marTop w:val="0"/>
          <w:marBottom w:val="120"/>
          <w:divBdr>
            <w:top w:val="none" w:sz="0" w:space="0" w:color="auto"/>
            <w:left w:val="none" w:sz="0" w:space="0" w:color="auto"/>
            <w:bottom w:val="none" w:sz="0" w:space="0" w:color="auto"/>
            <w:right w:val="none" w:sz="0" w:space="0" w:color="auto"/>
          </w:divBdr>
        </w:div>
        <w:div w:id="2130201512">
          <w:marLeft w:val="274"/>
          <w:marRight w:val="0"/>
          <w:marTop w:val="0"/>
          <w:marBottom w:val="120"/>
          <w:divBdr>
            <w:top w:val="none" w:sz="0" w:space="0" w:color="auto"/>
            <w:left w:val="none" w:sz="0" w:space="0" w:color="auto"/>
            <w:bottom w:val="none" w:sz="0" w:space="0" w:color="auto"/>
            <w:right w:val="none" w:sz="0" w:space="0" w:color="auto"/>
          </w:divBdr>
        </w:div>
      </w:divsChild>
    </w:div>
    <w:div w:id="1943688490">
      <w:bodyDiv w:val="1"/>
      <w:marLeft w:val="0"/>
      <w:marRight w:val="0"/>
      <w:marTop w:val="0"/>
      <w:marBottom w:val="0"/>
      <w:divBdr>
        <w:top w:val="none" w:sz="0" w:space="0" w:color="auto"/>
        <w:left w:val="none" w:sz="0" w:space="0" w:color="auto"/>
        <w:bottom w:val="none" w:sz="0" w:space="0" w:color="auto"/>
        <w:right w:val="none" w:sz="0" w:space="0" w:color="auto"/>
      </w:divBdr>
    </w:div>
    <w:div w:id="1948609902">
      <w:bodyDiv w:val="1"/>
      <w:marLeft w:val="0"/>
      <w:marRight w:val="0"/>
      <w:marTop w:val="0"/>
      <w:marBottom w:val="0"/>
      <w:divBdr>
        <w:top w:val="none" w:sz="0" w:space="0" w:color="auto"/>
        <w:left w:val="none" w:sz="0" w:space="0" w:color="auto"/>
        <w:bottom w:val="none" w:sz="0" w:space="0" w:color="auto"/>
        <w:right w:val="none" w:sz="0" w:space="0" w:color="auto"/>
      </w:divBdr>
    </w:div>
    <w:div w:id="1970668246">
      <w:bodyDiv w:val="1"/>
      <w:marLeft w:val="0"/>
      <w:marRight w:val="0"/>
      <w:marTop w:val="0"/>
      <w:marBottom w:val="0"/>
      <w:divBdr>
        <w:top w:val="none" w:sz="0" w:space="0" w:color="auto"/>
        <w:left w:val="none" w:sz="0" w:space="0" w:color="auto"/>
        <w:bottom w:val="none" w:sz="0" w:space="0" w:color="auto"/>
        <w:right w:val="none" w:sz="0" w:space="0" w:color="auto"/>
      </w:divBdr>
    </w:div>
    <w:div w:id="1972442676">
      <w:bodyDiv w:val="1"/>
      <w:marLeft w:val="0"/>
      <w:marRight w:val="0"/>
      <w:marTop w:val="0"/>
      <w:marBottom w:val="0"/>
      <w:divBdr>
        <w:top w:val="none" w:sz="0" w:space="0" w:color="auto"/>
        <w:left w:val="none" w:sz="0" w:space="0" w:color="auto"/>
        <w:bottom w:val="none" w:sz="0" w:space="0" w:color="auto"/>
        <w:right w:val="none" w:sz="0" w:space="0" w:color="auto"/>
      </w:divBdr>
    </w:div>
    <w:div w:id="1981421757">
      <w:bodyDiv w:val="1"/>
      <w:marLeft w:val="0"/>
      <w:marRight w:val="0"/>
      <w:marTop w:val="0"/>
      <w:marBottom w:val="0"/>
      <w:divBdr>
        <w:top w:val="none" w:sz="0" w:space="0" w:color="auto"/>
        <w:left w:val="none" w:sz="0" w:space="0" w:color="auto"/>
        <w:bottom w:val="none" w:sz="0" w:space="0" w:color="auto"/>
        <w:right w:val="none" w:sz="0" w:space="0" w:color="auto"/>
      </w:divBdr>
    </w:div>
    <w:div w:id="1984193605">
      <w:bodyDiv w:val="1"/>
      <w:marLeft w:val="0"/>
      <w:marRight w:val="0"/>
      <w:marTop w:val="0"/>
      <w:marBottom w:val="0"/>
      <w:divBdr>
        <w:top w:val="none" w:sz="0" w:space="0" w:color="auto"/>
        <w:left w:val="none" w:sz="0" w:space="0" w:color="auto"/>
        <w:bottom w:val="none" w:sz="0" w:space="0" w:color="auto"/>
        <w:right w:val="none" w:sz="0" w:space="0" w:color="auto"/>
      </w:divBdr>
    </w:div>
    <w:div w:id="1994406795">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9">
          <w:marLeft w:val="274"/>
          <w:marRight w:val="0"/>
          <w:marTop w:val="0"/>
          <w:marBottom w:val="0"/>
          <w:divBdr>
            <w:top w:val="none" w:sz="0" w:space="0" w:color="auto"/>
            <w:left w:val="none" w:sz="0" w:space="0" w:color="auto"/>
            <w:bottom w:val="none" w:sz="0" w:space="0" w:color="auto"/>
            <w:right w:val="none" w:sz="0" w:space="0" w:color="auto"/>
          </w:divBdr>
        </w:div>
        <w:div w:id="1907640529">
          <w:marLeft w:val="274"/>
          <w:marRight w:val="0"/>
          <w:marTop w:val="0"/>
          <w:marBottom w:val="0"/>
          <w:divBdr>
            <w:top w:val="none" w:sz="0" w:space="0" w:color="auto"/>
            <w:left w:val="none" w:sz="0" w:space="0" w:color="auto"/>
            <w:bottom w:val="none" w:sz="0" w:space="0" w:color="auto"/>
            <w:right w:val="none" w:sz="0" w:space="0" w:color="auto"/>
          </w:divBdr>
        </w:div>
      </w:divsChild>
    </w:div>
    <w:div w:id="1994865377">
      <w:bodyDiv w:val="1"/>
      <w:marLeft w:val="0"/>
      <w:marRight w:val="0"/>
      <w:marTop w:val="0"/>
      <w:marBottom w:val="0"/>
      <w:divBdr>
        <w:top w:val="none" w:sz="0" w:space="0" w:color="auto"/>
        <w:left w:val="none" w:sz="0" w:space="0" w:color="auto"/>
        <w:bottom w:val="none" w:sz="0" w:space="0" w:color="auto"/>
        <w:right w:val="none" w:sz="0" w:space="0" w:color="auto"/>
      </w:divBdr>
    </w:div>
    <w:div w:id="1995135099">
      <w:bodyDiv w:val="1"/>
      <w:marLeft w:val="0"/>
      <w:marRight w:val="0"/>
      <w:marTop w:val="0"/>
      <w:marBottom w:val="0"/>
      <w:divBdr>
        <w:top w:val="none" w:sz="0" w:space="0" w:color="auto"/>
        <w:left w:val="none" w:sz="0" w:space="0" w:color="auto"/>
        <w:bottom w:val="none" w:sz="0" w:space="0" w:color="auto"/>
        <w:right w:val="none" w:sz="0" w:space="0" w:color="auto"/>
      </w:divBdr>
    </w:div>
    <w:div w:id="1995528057">
      <w:bodyDiv w:val="1"/>
      <w:marLeft w:val="0"/>
      <w:marRight w:val="0"/>
      <w:marTop w:val="0"/>
      <w:marBottom w:val="0"/>
      <w:divBdr>
        <w:top w:val="none" w:sz="0" w:space="0" w:color="auto"/>
        <w:left w:val="none" w:sz="0" w:space="0" w:color="auto"/>
        <w:bottom w:val="none" w:sz="0" w:space="0" w:color="auto"/>
        <w:right w:val="none" w:sz="0" w:space="0" w:color="auto"/>
      </w:divBdr>
      <w:divsChild>
        <w:div w:id="1557666888">
          <w:marLeft w:val="274"/>
          <w:marRight w:val="0"/>
          <w:marTop w:val="0"/>
          <w:marBottom w:val="0"/>
          <w:divBdr>
            <w:top w:val="none" w:sz="0" w:space="0" w:color="auto"/>
            <w:left w:val="none" w:sz="0" w:space="0" w:color="auto"/>
            <w:bottom w:val="none" w:sz="0" w:space="0" w:color="auto"/>
            <w:right w:val="none" w:sz="0" w:space="0" w:color="auto"/>
          </w:divBdr>
        </w:div>
        <w:div w:id="1584485782">
          <w:marLeft w:val="274"/>
          <w:marRight w:val="0"/>
          <w:marTop w:val="0"/>
          <w:marBottom w:val="0"/>
          <w:divBdr>
            <w:top w:val="none" w:sz="0" w:space="0" w:color="auto"/>
            <w:left w:val="none" w:sz="0" w:space="0" w:color="auto"/>
            <w:bottom w:val="none" w:sz="0" w:space="0" w:color="auto"/>
            <w:right w:val="none" w:sz="0" w:space="0" w:color="auto"/>
          </w:divBdr>
        </w:div>
      </w:divsChild>
    </w:div>
    <w:div w:id="2002005979">
      <w:bodyDiv w:val="1"/>
      <w:marLeft w:val="0"/>
      <w:marRight w:val="0"/>
      <w:marTop w:val="0"/>
      <w:marBottom w:val="0"/>
      <w:divBdr>
        <w:top w:val="none" w:sz="0" w:space="0" w:color="auto"/>
        <w:left w:val="none" w:sz="0" w:space="0" w:color="auto"/>
        <w:bottom w:val="none" w:sz="0" w:space="0" w:color="auto"/>
        <w:right w:val="none" w:sz="0" w:space="0" w:color="auto"/>
      </w:divBdr>
    </w:div>
    <w:div w:id="2007123262">
      <w:bodyDiv w:val="1"/>
      <w:marLeft w:val="0"/>
      <w:marRight w:val="0"/>
      <w:marTop w:val="0"/>
      <w:marBottom w:val="0"/>
      <w:divBdr>
        <w:top w:val="none" w:sz="0" w:space="0" w:color="auto"/>
        <w:left w:val="none" w:sz="0" w:space="0" w:color="auto"/>
        <w:bottom w:val="none" w:sz="0" w:space="0" w:color="auto"/>
        <w:right w:val="none" w:sz="0" w:space="0" w:color="auto"/>
      </w:divBdr>
      <w:divsChild>
        <w:div w:id="1246840153">
          <w:marLeft w:val="346"/>
          <w:marRight w:val="0"/>
          <w:marTop w:val="0"/>
          <w:marBottom w:val="0"/>
          <w:divBdr>
            <w:top w:val="none" w:sz="0" w:space="0" w:color="auto"/>
            <w:left w:val="none" w:sz="0" w:space="0" w:color="auto"/>
            <w:bottom w:val="none" w:sz="0" w:space="0" w:color="auto"/>
            <w:right w:val="none" w:sz="0" w:space="0" w:color="auto"/>
          </w:divBdr>
        </w:div>
      </w:divsChild>
    </w:div>
    <w:div w:id="2012487134">
      <w:bodyDiv w:val="1"/>
      <w:marLeft w:val="0"/>
      <w:marRight w:val="0"/>
      <w:marTop w:val="0"/>
      <w:marBottom w:val="0"/>
      <w:divBdr>
        <w:top w:val="none" w:sz="0" w:space="0" w:color="auto"/>
        <w:left w:val="none" w:sz="0" w:space="0" w:color="auto"/>
        <w:bottom w:val="none" w:sz="0" w:space="0" w:color="auto"/>
        <w:right w:val="none" w:sz="0" w:space="0" w:color="auto"/>
      </w:divBdr>
    </w:div>
    <w:div w:id="2014645738">
      <w:bodyDiv w:val="1"/>
      <w:marLeft w:val="0"/>
      <w:marRight w:val="0"/>
      <w:marTop w:val="0"/>
      <w:marBottom w:val="0"/>
      <w:divBdr>
        <w:top w:val="none" w:sz="0" w:space="0" w:color="auto"/>
        <w:left w:val="none" w:sz="0" w:space="0" w:color="auto"/>
        <w:bottom w:val="none" w:sz="0" w:space="0" w:color="auto"/>
        <w:right w:val="none" w:sz="0" w:space="0" w:color="auto"/>
      </w:divBdr>
    </w:div>
    <w:div w:id="2016685511">
      <w:bodyDiv w:val="1"/>
      <w:marLeft w:val="0"/>
      <w:marRight w:val="0"/>
      <w:marTop w:val="0"/>
      <w:marBottom w:val="0"/>
      <w:divBdr>
        <w:top w:val="none" w:sz="0" w:space="0" w:color="auto"/>
        <w:left w:val="none" w:sz="0" w:space="0" w:color="auto"/>
        <w:bottom w:val="none" w:sz="0" w:space="0" w:color="auto"/>
        <w:right w:val="none" w:sz="0" w:space="0" w:color="auto"/>
      </w:divBdr>
    </w:div>
    <w:div w:id="2020623843">
      <w:bodyDiv w:val="1"/>
      <w:marLeft w:val="0"/>
      <w:marRight w:val="0"/>
      <w:marTop w:val="0"/>
      <w:marBottom w:val="0"/>
      <w:divBdr>
        <w:top w:val="none" w:sz="0" w:space="0" w:color="auto"/>
        <w:left w:val="none" w:sz="0" w:space="0" w:color="auto"/>
        <w:bottom w:val="none" w:sz="0" w:space="0" w:color="auto"/>
        <w:right w:val="none" w:sz="0" w:space="0" w:color="auto"/>
      </w:divBdr>
      <w:divsChild>
        <w:div w:id="722797125">
          <w:marLeft w:val="274"/>
          <w:marRight w:val="0"/>
          <w:marTop w:val="200"/>
          <w:marBottom w:val="0"/>
          <w:divBdr>
            <w:top w:val="none" w:sz="0" w:space="0" w:color="auto"/>
            <w:left w:val="none" w:sz="0" w:space="0" w:color="auto"/>
            <w:bottom w:val="none" w:sz="0" w:space="0" w:color="auto"/>
            <w:right w:val="none" w:sz="0" w:space="0" w:color="auto"/>
          </w:divBdr>
        </w:div>
        <w:div w:id="799767040">
          <w:marLeft w:val="274"/>
          <w:marRight w:val="0"/>
          <w:marTop w:val="200"/>
          <w:marBottom w:val="0"/>
          <w:divBdr>
            <w:top w:val="none" w:sz="0" w:space="0" w:color="auto"/>
            <w:left w:val="none" w:sz="0" w:space="0" w:color="auto"/>
            <w:bottom w:val="none" w:sz="0" w:space="0" w:color="auto"/>
            <w:right w:val="none" w:sz="0" w:space="0" w:color="auto"/>
          </w:divBdr>
        </w:div>
        <w:div w:id="1440028119">
          <w:marLeft w:val="274"/>
          <w:marRight w:val="0"/>
          <w:marTop w:val="200"/>
          <w:marBottom w:val="0"/>
          <w:divBdr>
            <w:top w:val="none" w:sz="0" w:space="0" w:color="auto"/>
            <w:left w:val="none" w:sz="0" w:space="0" w:color="auto"/>
            <w:bottom w:val="none" w:sz="0" w:space="0" w:color="auto"/>
            <w:right w:val="none" w:sz="0" w:space="0" w:color="auto"/>
          </w:divBdr>
        </w:div>
        <w:div w:id="1989941188">
          <w:marLeft w:val="274"/>
          <w:marRight w:val="0"/>
          <w:marTop w:val="200"/>
          <w:marBottom w:val="0"/>
          <w:divBdr>
            <w:top w:val="none" w:sz="0" w:space="0" w:color="auto"/>
            <w:left w:val="none" w:sz="0" w:space="0" w:color="auto"/>
            <w:bottom w:val="none" w:sz="0" w:space="0" w:color="auto"/>
            <w:right w:val="none" w:sz="0" w:space="0" w:color="auto"/>
          </w:divBdr>
        </w:div>
      </w:divsChild>
    </w:div>
    <w:div w:id="2021657434">
      <w:bodyDiv w:val="1"/>
      <w:marLeft w:val="0"/>
      <w:marRight w:val="0"/>
      <w:marTop w:val="0"/>
      <w:marBottom w:val="0"/>
      <w:divBdr>
        <w:top w:val="none" w:sz="0" w:space="0" w:color="auto"/>
        <w:left w:val="none" w:sz="0" w:space="0" w:color="auto"/>
        <w:bottom w:val="none" w:sz="0" w:space="0" w:color="auto"/>
        <w:right w:val="none" w:sz="0" w:space="0" w:color="auto"/>
      </w:divBdr>
    </w:div>
    <w:div w:id="2024044878">
      <w:bodyDiv w:val="1"/>
      <w:marLeft w:val="0"/>
      <w:marRight w:val="0"/>
      <w:marTop w:val="0"/>
      <w:marBottom w:val="0"/>
      <w:divBdr>
        <w:top w:val="none" w:sz="0" w:space="0" w:color="auto"/>
        <w:left w:val="none" w:sz="0" w:space="0" w:color="auto"/>
        <w:bottom w:val="none" w:sz="0" w:space="0" w:color="auto"/>
        <w:right w:val="none" w:sz="0" w:space="0" w:color="auto"/>
      </w:divBdr>
      <w:divsChild>
        <w:div w:id="105387439">
          <w:marLeft w:val="274"/>
          <w:marRight w:val="0"/>
          <w:marTop w:val="200"/>
          <w:marBottom w:val="0"/>
          <w:divBdr>
            <w:top w:val="none" w:sz="0" w:space="0" w:color="auto"/>
            <w:left w:val="none" w:sz="0" w:space="0" w:color="auto"/>
            <w:bottom w:val="none" w:sz="0" w:space="0" w:color="auto"/>
            <w:right w:val="none" w:sz="0" w:space="0" w:color="auto"/>
          </w:divBdr>
        </w:div>
        <w:div w:id="814028566">
          <w:marLeft w:val="274"/>
          <w:marRight w:val="0"/>
          <w:marTop w:val="200"/>
          <w:marBottom w:val="0"/>
          <w:divBdr>
            <w:top w:val="none" w:sz="0" w:space="0" w:color="auto"/>
            <w:left w:val="none" w:sz="0" w:space="0" w:color="auto"/>
            <w:bottom w:val="none" w:sz="0" w:space="0" w:color="auto"/>
            <w:right w:val="none" w:sz="0" w:space="0" w:color="auto"/>
          </w:divBdr>
        </w:div>
        <w:div w:id="838807144">
          <w:marLeft w:val="274"/>
          <w:marRight w:val="0"/>
          <w:marTop w:val="200"/>
          <w:marBottom w:val="0"/>
          <w:divBdr>
            <w:top w:val="none" w:sz="0" w:space="0" w:color="auto"/>
            <w:left w:val="none" w:sz="0" w:space="0" w:color="auto"/>
            <w:bottom w:val="none" w:sz="0" w:space="0" w:color="auto"/>
            <w:right w:val="none" w:sz="0" w:space="0" w:color="auto"/>
          </w:divBdr>
        </w:div>
        <w:div w:id="1682314854">
          <w:marLeft w:val="274"/>
          <w:marRight w:val="0"/>
          <w:marTop w:val="200"/>
          <w:marBottom w:val="0"/>
          <w:divBdr>
            <w:top w:val="none" w:sz="0" w:space="0" w:color="auto"/>
            <w:left w:val="none" w:sz="0" w:space="0" w:color="auto"/>
            <w:bottom w:val="none" w:sz="0" w:space="0" w:color="auto"/>
            <w:right w:val="none" w:sz="0" w:space="0" w:color="auto"/>
          </w:divBdr>
        </w:div>
      </w:divsChild>
    </w:div>
    <w:div w:id="2033802561">
      <w:bodyDiv w:val="1"/>
      <w:marLeft w:val="0"/>
      <w:marRight w:val="0"/>
      <w:marTop w:val="0"/>
      <w:marBottom w:val="0"/>
      <w:divBdr>
        <w:top w:val="none" w:sz="0" w:space="0" w:color="auto"/>
        <w:left w:val="none" w:sz="0" w:space="0" w:color="auto"/>
        <w:bottom w:val="none" w:sz="0" w:space="0" w:color="auto"/>
        <w:right w:val="none" w:sz="0" w:space="0" w:color="auto"/>
      </w:divBdr>
    </w:div>
    <w:div w:id="2038038784">
      <w:bodyDiv w:val="1"/>
      <w:marLeft w:val="0"/>
      <w:marRight w:val="0"/>
      <w:marTop w:val="0"/>
      <w:marBottom w:val="0"/>
      <w:divBdr>
        <w:top w:val="none" w:sz="0" w:space="0" w:color="auto"/>
        <w:left w:val="none" w:sz="0" w:space="0" w:color="auto"/>
        <w:bottom w:val="none" w:sz="0" w:space="0" w:color="auto"/>
        <w:right w:val="none" w:sz="0" w:space="0" w:color="auto"/>
      </w:divBdr>
      <w:divsChild>
        <w:div w:id="594217007">
          <w:marLeft w:val="274"/>
          <w:marRight w:val="0"/>
          <w:marTop w:val="0"/>
          <w:marBottom w:val="0"/>
          <w:divBdr>
            <w:top w:val="none" w:sz="0" w:space="0" w:color="auto"/>
            <w:left w:val="none" w:sz="0" w:space="0" w:color="auto"/>
            <w:bottom w:val="none" w:sz="0" w:space="0" w:color="auto"/>
            <w:right w:val="none" w:sz="0" w:space="0" w:color="auto"/>
          </w:divBdr>
        </w:div>
        <w:div w:id="716901387">
          <w:marLeft w:val="274"/>
          <w:marRight w:val="0"/>
          <w:marTop w:val="0"/>
          <w:marBottom w:val="0"/>
          <w:divBdr>
            <w:top w:val="none" w:sz="0" w:space="0" w:color="auto"/>
            <w:left w:val="none" w:sz="0" w:space="0" w:color="auto"/>
            <w:bottom w:val="none" w:sz="0" w:space="0" w:color="auto"/>
            <w:right w:val="none" w:sz="0" w:space="0" w:color="auto"/>
          </w:divBdr>
        </w:div>
        <w:div w:id="1389647551">
          <w:marLeft w:val="274"/>
          <w:marRight w:val="0"/>
          <w:marTop w:val="0"/>
          <w:marBottom w:val="0"/>
          <w:divBdr>
            <w:top w:val="none" w:sz="0" w:space="0" w:color="auto"/>
            <w:left w:val="none" w:sz="0" w:space="0" w:color="auto"/>
            <w:bottom w:val="none" w:sz="0" w:space="0" w:color="auto"/>
            <w:right w:val="none" w:sz="0" w:space="0" w:color="auto"/>
          </w:divBdr>
        </w:div>
      </w:divsChild>
    </w:div>
    <w:div w:id="2039157377">
      <w:bodyDiv w:val="1"/>
      <w:marLeft w:val="0"/>
      <w:marRight w:val="0"/>
      <w:marTop w:val="0"/>
      <w:marBottom w:val="0"/>
      <w:divBdr>
        <w:top w:val="none" w:sz="0" w:space="0" w:color="auto"/>
        <w:left w:val="none" w:sz="0" w:space="0" w:color="auto"/>
        <w:bottom w:val="none" w:sz="0" w:space="0" w:color="auto"/>
        <w:right w:val="none" w:sz="0" w:space="0" w:color="auto"/>
      </w:divBdr>
    </w:div>
    <w:div w:id="2061586109">
      <w:bodyDiv w:val="1"/>
      <w:marLeft w:val="0"/>
      <w:marRight w:val="0"/>
      <w:marTop w:val="0"/>
      <w:marBottom w:val="0"/>
      <w:divBdr>
        <w:top w:val="none" w:sz="0" w:space="0" w:color="auto"/>
        <w:left w:val="none" w:sz="0" w:space="0" w:color="auto"/>
        <w:bottom w:val="none" w:sz="0" w:space="0" w:color="auto"/>
        <w:right w:val="none" w:sz="0" w:space="0" w:color="auto"/>
      </w:divBdr>
    </w:div>
    <w:div w:id="2067365181">
      <w:bodyDiv w:val="1"/>
      <w:marLeft w:val="0"/>
      <w:marRight w:val="0"/>
      <w:marTop w:val="0"/>
      <w:marBottom w:val="0"/>
      <w:divBdr>
        <w:top w:val="none" w:sz="0" w:space="0" w:color="auto"/>
        <w:left w:val="none" w:sz="0" w:space="0" w:color="auto"/>
        <w:bottom w:val="none" w:sz="0" w:space="0" w:color="auto"/>
        <w:right w:val="none" w:sz="0" w:space="0" w:color="auto"/>
      </w:divBdr>
    </w:div>
    <w:div w:id="2088110384">
      <w:bodyDiv w:val="1"/>
      <w:marLeft w:val="0"/>
      <w:marRight w:val="0"/>
      <w:marTop w:val="0"/>
      <w:marBottom w:val="0"/>
      <w:divBdr>
        <w:top w:val="none" w:sz="0" w:space="0" w:color="auto"/>
        <w:left w:val="none" w:sz="0" w:space="0" w:color="auto"/>
        <w:bottom w:val="none" w:sz="0" w:space="0" w:color="auto"/>
        <w:right w:val="none" w:sz="0" w:space="0" w:color="auto"/>
      </w:divBdr>
    </w:div>
    <w:div w:id="2111050731">
      <w:bodyDiv w:val="1"/>
      <w:marLeft w:val="0"/>
      <w:marRight w:val="0"/>
      <w:marTop w:val="0"/>
      <w:marBottom w:val="0"/>
      <w:divBdr>
        <w:top w:val="none" w:sz="0" w:space="0" w:color="auto"/>
        <w:left w:val="none" w:sz="0" w:space="0" w:color="auto"/>
        <w:bottom w:val="none" w:sz="0" w:space="0" w:color="auto"/>
        <w:right w:val="none" w:sz="0" w:space="0" w:color="auto"/>
      </w:divBdr>
    </w:div>
    <w:div w:id="2112967282">
      <w:bodyDiv w:val="1"/>
      <w:marLeft w:val="0"/>
      <w:marRight w:val="0"/>
      <w:marTop w:val="0"/>
      <w:marBottom w:val="0"/>
      <w:divBdr>
        <w:top w:val="none" w:sz="0" w:space="0" w:color="auto"/>
        <w:left w:val="none" w:sz="0" w:space="0" w:color="auto"/>
        <w:bottom w:val="none" w:sz="0" w:space="0" w:color="auto"/>
        <w:right w:val="none" w:sz="0" w:space="0" w:color="auto"/>
      </w:divBdr>
    </w:div>
    <w:div w:id="2114323552">
      <w:bodyDiv w:val="1"/>
      <w:marLeft w:val="0"/>
      <w:marRight w:val="0"/>
      <w:marTop w:val="0"/>
      <w:marBottom w:val="0"/>
      <w:divBdr>
        <w:top w:val="none" w:sz="0" w:space="0" w:color="auto"/>
        <w:left w:val="none" w:sz="0" w:space="0" w:color="auto"/>
        <w:bottom w:val="none" w:sz="0" w:space="0" w:color="auto"/>
        <w:right w:val="none" w:sz="0" w:space="0" w:color="auto"/>
      </w:divBdr>
    </w:div>
    <w:div w:id="2119639311">
      <w:bodyDiv w:val="1"/>
      <w:marLeft w:val="0"/>
      <w:marRight w:val="0"/>
      <w:marTop w:val="0"/>
      <w:marBottom w:val="0"/>
      <w:divBdr>
        <w:top w:val="none" w:sz="0" w:space="0" w:color="auto"/>
        <w:left w:val="none" w:sz="0" w:space="0" w:color="auto"/>
        <w:bottom w:val="none" w:sz="0" w:space="0" w:color="auto"/>
        <w:right w:val="none" w:sz="0" w:space="0" w:color="auto"/>
      </w:divBdr>
    </w:div>
    <w:div w:id="213656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image" Target="media/image6.emf"/><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fairwork.gov.au/newsroom/news/new-paid-family-and-domestic-violence-leave" TargetMode="Externa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image" Target="media/image2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emf"/><Relationship Id="rId49"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seek.com.au/career-advice/role/disability-support-worker/salary" TargetMode="External"/><Relationship Id="rId13" Type="http://schemas.openxmlformats.org/officeDocument/2006/relationships/hyperlink" Target="https://www.qld.gov.au/health/conditions/health-alerts/coronavirus-covid-19/public-health-directions" TargetMode="External"/><Relationship Id="rId18" Type="http://schemas.openxmlformats.org/officeDocument/2006/relationships/hyperlink" Target="https://health.nt.gov.au/covid-19/restrictions/current-restrictions" TargetMode="External"/><Relationship Id="rId26" Type="http://schemas.openxmlformats.org/officeDocument/2006/relationships/hyperlink" Target="https://www.ndis.gov.au/providers/pricing-arrangements/making-pricing-decisions" TargetMode="External"/><Relationship Id="rId3" Type="http://schemas.openxmlformats.org/officeDocument/2006/relationships/hyperlink" Target="http://www.abs.gov.au/statistics/classifications/anzsco-australian-and-new-zealand-standard-classification-occupations/2022" TargetMode="External"/><Relationship Id="rId21" Type="http://schemas.openxmlformats.org/officeDocument/2006/relationships/hyperlink" Target="https://awardviewer.fwo.gov.au/award/show/MA000018" TargetMode="External"/><Relationship Id="rId7" Type="http://schemas.openxmlformats.org/officeDocument/2006/relationships/hyperlink" Target="https://awardviewer.fwo.gov.au/award/show/MA000018" TargetMode="External"/><Relationship Id="rId12" Type="http://schemas.openxmlformats.org/officeDocument/2006/relationships/hyperlink" Target="https://www.coronavirus.vic.gov.au/business-and-work" TargetMode="External"/><Relationship Id="rId17" Type="http://schemas.openxmlformats.org/officeDocument/2006/relationships/hyperlink" Target="https://www.covid19.act.gov.au/restrictions/current-restrictions" TargetMode="External"/><Relationship Id="rId25" Type="http://schemas.openxmlformats.org/officeDocument/2006/relationships/hyperlink" Target="http://www.nationalskillscommission.gov.au/topics/employment-projections" TargetMode="External"/><Relationship Id="rId2" Type="http://schemas.openxmlformats.org/officeDocument/2006/relationships/hyperlink" Target="https://www.ndis.gov.au/about-us/reference-group-updates/pricing-reference-group" TargetMode="External"/><Relationship Id="rId16" Type="http://schemas.openxmlformats.org/officeDocument/2006/relationships/hyperlink" Target="https://www.coronavirus.tas.gov.au/families-community/current-requirements" TargetMode="External"/><Relationship Id="rId20" Type="http://schemas.openxmlformats.org/officeDocument/2006/relationships/hyperlink" Target="https://www.fwc.gov.au/documents/sites/family-domestic-violence-leave/am202155-report-survey-analysis-101221.pdf" TargetMode="External"/><Relationship Id="rId29" Type="http://schemas.openxmlformats.org/officeDocument/2006/relationships/hyperlink" Target="https://www.publish.csiro.au/ah/pdf/AH21160" TargetMode="External"/><Relationship Id="rId1" Type="http://schemas.openxmlformats.org/officeDocument/2006/relationships/hyperlink" Target="file:///C:/Users/JSM883/Downloads/PB%20Report%20to%20disability%20ministers%20for%20Q2%20of%20Y10_Full_Report.pdf" TargetMode="External"/><Relationship Id="rId6" Type="http://schemas.openxmlformats.org/officeDocument/2006/relationships/hyperlink" Target="https://www.ndis.gov.au/providers/pricing-arrangements" TargetMode="External"/><Relationship Id="rId11" Type="http://schemas.openxmlformats.org/officeDocument/2006/relationships/hyperlink" Target="https://www.nsw.gov.au/covid-19/stay-safe/rules" TargetMode="External"/><Relationship Id="rId24" Type="http://schemas.openxmlformats.org/officeDocument/2006/relationships/hyperlink" Target="https://hwd.health.gov.au/alld-dashboards/index.html" TargetMode="External"/><Relationship Id="rId5" Type="http://schemas.openxmlformats.org/officeDocument/2006/relationships/hyperlink" Target="https://labourmarketinsights.gov.au/industries/industry-details?industryCode=Q" TargetMode="External"/><Relationship Id="rId15" Type="http://schemas.openxmlformats.org/officeDocument/2006/relationships/hyperlink" Target="https://www.legislation.sa.gov.au/legislation/CV19" TargetMode="External"/><Relationship Id="rId23" Type="http://schemas.openxmlformats.org/officeDocument/2006/relationships/hyperlink" Target="https://ndisgovau.sharepoint.com/sites/Pricing_and_Market_Analysis/Shared%20Documents/APR%202022-23/Report/Allied%20Health%20factsheets" TargetMode="External"/><Relationship Id="rId28" Type="http://schemas.openxmlformats.org/officeDocument/2006/relationships/hyperlink" Target="http://www.abs.gov.au/statistics/people/crime-and-justice/personal-safety-australia/2021-22/PSS%20National%20prevalence%20and%20time%20series%20%28Tables%201%20to%208%29.xlsx" TargetMode="External"/><Relationship Id="rId10" Type="http://schemas.openxmlformats.org/officeDocument/2006/relationships/hyperlink" Target="https://www.payscale.com/research/AU/Job=Aged_Care_Worker/Hourly_Rate" TargetMode="External"/><Relationship Id="rId19" Type="http://schemas.openxmlformats.org/officeDocument/2006/relationships/hyperlink" Target="https://www.ato.gov.au/Rates/Key-superannuation-rates-and-thresholds/?=redirected_SuperRate&amp;anchor=Superguaranteepercentage" TargetMode="External"/><Relationship Id="rId4" Type="http://schemas.openxmlformats.org/officeDocument/2006/relationships/hyperlink" Target="https://ndisgovau.sharepoint.com/sites/Pricing_and_Market_Analysis/Shared%20Documents/APR%202022-23/Report/data.oecd.org/socialexp/public-spending-on-incapacity.htm" TargetMode="External"/><Relationship Id="rId9" Type="http://schemas.openxmlformats.org/officeDocument/2006/relationships/hyperlink" Target="https://au.indeed.com/career/disability-support-worker/salaries" TargetMode="External"/><Relationship Id="rId14" Type="http://schemas.openxmlformats.org/officeDocument/2006/relationships/hyperlink" Target="https://www.wa.gov.au/government/covid-19-coronavirus" TargetMode="External"/><Relationship Id="rId22" Type="http://schemas.openxmlformats.org/officeDocument/2006/relationships/hyperlink" Target="https://www.health.gov.au/topics/aged-care/aged-care-reforms-and-reviews/royal-commission-into-aged-care-quality-and-safety/review-of-the-aged-care-quality-standards" TargetMode="External"/><Relationship Id="rId27" Type="http://schemas.openxmlformats.org/officeDocument/2006/relationships/hyperlink" Target="https://www.abs.gov.au/statistics/people/crime-and-justice/personal-safety-australia/latest-release" TargetMode="External"/><Relationship Id="rId30" Type="http://schemas.openxmlformats.org/officeDocument/2006/relationships/hyperlink" Target="https://www.health.gov.au/topics/aged-care/aged-care-reforms-and-reviews/royal-commission-into-aged-care-quality-and-safety/review-of-the-aged-care-quality-standards" TargetMode="External"/></Relationships>
</file>

<file path=word/theme/theme1.xml><?xml version="1.0" encoding="utf-8"?>
<a:theme xmlns:a="http://schemas.openxmlformats.org/drawingml/2006/main" name="NDIS">
  <a:themeElements>
    <a:clrScheme name="NDIA">
      <a:dk1>
        <a:srgbClr val="6B2976"/>
      </a:dk1>
      <a:lt1>
        <a:srgbClr val="FEFFFF"/>
      </a:lt1>
      <a:dk2>
        <a:srgbClr val="8AC640"/>
      </a:dk2>
      <a:lt2>
        <a:srgbClr val="6B2976"/>
      </a:lt2>
      <a:accent1>
        <a:srgbClr val="6B2976"/>
      </a:accent1>
      <a:accent2>
        <a:srgbClr val="8AC640"/>
      </a:accent2>
      <a:accent3>
        <a:srgbClr val="009EAD"/>
      </a:accent3>
      <a:accent4>
        <a:srgbClr val="FAA41A"/>
      </a:accent4>
      <a:accent5>
        <a:srgbClr val="F26322"/>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93CC9253-4F36-432F-AE54-4321C68F15C7}">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BFA41FF2-5725-4196-A860-216214845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94</Pages>
  <Words>33083</Words>
  <Characters>188575</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2022-2023 Annual Pricing Review Report</vt:lpstr>
    </vt:vector>
  </TitlesOfParts>
  <Company>FaHCSIA</Company>
  <LinksUpToDate>false</LinksUpToDate>
  <CharactersWithSpaces>221216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Annual Pricing Review Report</dc:title>
  <dc:subject/>
  <dc:creator>Green, Tamar</dc:creator>
  <cp:keywords/>
  <dc:description/>
  <cp:lastModifiedBy>Hiaujoo, Kee</cp:lastModifiedBy>
  <cp:revision>5</cp:revision>
  <cp:lastPrinted>2023-06-06T07:28:00Z</cp:lastPrinted>
  <dcterms:created xsi:type="dcterms:W3CDTF">2023-06-14T05:20:00Z</dcterms:created>
  <dcterms:modified xsi:type="dcterms:W3CDTF">2023-06-14T06:02:00Z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2023-02-13T02:04:15Z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6855857f-ae94-414f-9805-4e369926300c</vt:lpwstr>
  </property>
  <property fmtid="{D5CDD505-2E9C-101B-9397-08002B2CF9AE}" pid="14" name="MSIP_Label_2b83f8d7-e91f-4eee-a336-52a8061c0503_ContentBits">
    <vt:lpwstr>0</vt:lpwstr>
  </property>
  <property fmtid="{D5CDD505-2E9C-101B-9397-08002B2CF9AE}" pid="15" name="MediaServiceImageTags">
    <vt:lpwstr/>
  </property>
</Properties>
</file>